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6E28FFD" w:rsidR="009C300C" w:rsidRPr="00BE72CB" w:rsidRDefault="00BD0A82" w:rsidP="00875AB3">
            <w:pPr>
              <w:pStyle w:val="MGTHeader"/>
            </w:pPr>
            <w:r w:rsidRPr="00875AB3">
              <w:t>Goal 5: Achieve gender equality and empower all women and girls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5C15B26C" w:rsidR="009C300C" w:rsidRPr="009F305C" w:rsidRDefault="00BD0A82" w:rsidP="00875AB3">
            <w:pPr>
              <w:pStyle w:val="MGTHeader"/>
            </w:pPr>
            <w:r w:rsidRPr="00875AB3">
              <w:t>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615C26B6" w:rsidR="009C300C" w:rsidRPr="00BE72CB" w:rsidRDefault="00BD0A82" w:rsidP="00875AB3">
            <w:pPr>
              <w:pStyle w:val="MIndHeader"/>
            </w:pPr>
            <w:r w:rsidRPr="00CA5E67">
              <w:t>Indicator</w:t>
            </w:r>
            <w:r>
              <w:t xml:space="preserve"> 5.6.2</w:t>
            </w:r>
            <w:r w:rsidRPr="00CA5E67">
              <w:t xml:space="preserve">: </w:t>
            </w:r>
            <w:r w:rsidRPr="00B1704D">
              <w:t>Number of countries with laws and regulations that guarantee full and equal access to women and men aged 15 years and older to sexual and reproductive health care, information and education</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3D6D58FB" w:rsidR="009C300C" w:rsidRPr="00BD0A82" w:rsidRDefault="00BD0A82" w:rsidP="00875AB3">
            <w:pPr>
              <w:pStyle w:val="Header"/>
            </w:pPr>
            <w:bookmarkStart w:id="5" w:name="_Hlk506197003"/>
            <w:bookmarkStart w:id="6" w:name="_Hlk506197004"/>
            <w:bookmarkStart w:id="7" w:name="_Hlk506197005"/>
            <w:r w:rsidRPr="00757E8A">
              <w:rPr>
                <w:color w:val="404040" w:themeColor="text1" w:themeTint="BF"/>
                <w:sz w:val="18"/>
                <w:szCs w:val="18"/>
              </w:rPr>
              <w:t xml:space="preserve">Last updated: </w:t>
            </w:r>
            <w:bookmarkEnd w:id="5"/>
            <w:bookmarkEnd w:id="6"/>
            <w:bookmarkEnd w:id="7"/>
            <w:r>
              <w:rPr>
                <w:noProof/>
                <w:color w:val="404040" w:themeColor="text1" w:themeTint="BF"/>
                <w:sz w:val="18"/>
                <w:szCs w:val="18"/>
              </w:rP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7282956" w14:textId="77777777" w:rsidR="002E5C95" w:rsidRPr="00573631" w:rsidRDefault="002E5C95" w:rsidP="00875AB3">
            <w:pPr>
              <w:pStyle w:val="MHeader"/>
            </w:pPr>
            <w:r w:rsidRPr="00573631">
              <w:t>Related indicators as of February 2020</w:t>
            </w:r>
          </w:p>
          <w:p w14:paraId="1AC692E0" w14:textId="77777777" w:rsidR="002E5C95" w:rsidRDefault="002E5C95" w:rsidP="002E5C95">
            <w:pPr>
              <w:pStyle w:val="MText"/>
            </w:pPr>
            <w:r w:rsidRPr="00B1722C">
              <w:rPr>
                <w:b/>
              </w:rPr>
              <w:t>Indicator 5.6.1:</w:t>
            </w:r>
            <w:r w:rsidRPr="007449DC">
              <w:t xml:space="preserve"> Proportion of women aged 15-49 years who make their own informed decisions regarding sexual relations, contraceptive use and reproductive health care.</w:t>
            </w:r>
          </w:p>
          <w:p w14:paraId="4EFD4B8E" w14:textId="77777777" w:rsidR="002E5C95" w:rsidRDefault="002E5C95" w:rsidP="002E5C95">
            <w:pPr>
              <w:pStyle w:val="MText"/>
            </w:pPr>
          </w:p>
          <w:p w14:paraId="6EA656A1" w14:textId="7BA3C78D" w:rsidR="009C300C" w:rsidRPr="009F305C" w:rsidRDefault="002E5C95" w:rsidP="00024893">
            <w:pPr>
              <w:pStyle w:val="MText"/>
            </w:pPr>
            <w:r w:rsidRPr="00B1722C">
              <w:rPr>
                <w:b/>
              </w:rPr>
              <w:t xml:space="preserve">Target 3.7: </w:t>
            </w:r>
            <w:r w:rsidRPr="00B1722C">
              <w:t>By 2030, ensure universal access to sexual and reproductive health-care services, including for family planning, information and education, and the integration of reproductive health into national strategies and programmes.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0259CF7E" w14:textId="77777777" w:rsidR="00BD0A82" w:rsidRPr="00875AB3" w:rsidRDefault="00BD0A82" w:rsidP="00875AB3">
            <w:pPr>
              <w:pStyle w:val="MHeader"/>
            </w:pPr>
            <w:r w:rsidRPr="00875AB3">
              <w:t>Institutional information</w:t>
            </w:r>
          </w:p>
          <w:p w14:paraId="3DB0892A" w14:textId="77777777" w:rsidR="00BD0A82" w:rsidRPr="002B6D58" w:rsidRDefault="00BD0A82" w:rsidP="00BD0A82">
            <w:pPr>
              <w:pStyle w:val="MSubHeader"/>
              <w:rPr>
                <w:sz w:val="22"/>
                <w:szCs w:val="22"/>
              </w:rPr>
            </w:pPr>
            <w:r w:rsidRPr="002B6D58">
              <w:rPr>
                <w:sz w:val="22"/>
                <w:szCs w:val="22"/>
              </w:rPr>
              <w:t>Organization(s):</w:t>
            </w:r>
          </w:p>
          <w:p w14:paraId="4B06110B" w14:textId="52EA8001" w:rsidR="009C300C" w:rsidRPr="00875AB3" w:rsidRDefault="00BD0A82" w:rsidP="00875AB3">
            <w:pPr>
              <w:pStyle w:val="MText"/>
              <w:rPr>
                <w:sz w:val="22"/>
                <w:szCs w:val="22"/>
              </w:rPr>
            </w:pPr>
            <w:r>
              <w:rPr>
                <w:sz w:val="22"/>
                <w:szCs w:val="22"/>
              </w:rPr>
              <w:t>United Nations Population Fund (UNFPA)</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lastRenderedPageBreak/>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6F44C003" w14:textId="77777777" w:rsidR="00BD0A82" w:rsidRPr="00573631" w:rsidRDefault="00BD0A82" w:rsidP="00875AB3">
            <w:pPr>
              <w:pStyle w:val="MHeader"/>
            </w:pPr>
            <w:r w:rsidRPr="00573631">
              <w:t>Concepts and definitions</w:t>
            </w:r>
          </w:p>
          <w:p w14:paraId="4B072A2B" w14:textId="77777777" w:rsidR="00BD0A82" w:rsidRPr="006F7093" w:rsidRDefault="00BD0A82" w:rsidP="00BD0A82">
            <w:pPr>
              <w:pStyle w:val="MSubHeader"/>
            </w:pPr>
            <w:r w:rsidRPr="006F7093">
              <w:t>Definition:</w:t>
            </w:r>
          </w:p>
          <w:p w14:paraId="6CE98AAF" w14:textId="77777777" w:rsidR="00BD0A82" w:rsidRPr="006F7093" w:rsidRDefault="00BD0A82" w:rsidP="00BD0A82">
            <w:pPr>
              <w:pStyle w:val="MText"/>
            </w:pPr>
            <w:r w:rsidRPr="006F7093">
              <w:t xml:space="preserve">Sustainable Development Goal (SDG) Indicator 5.6.2 seeks to measure the extent to which countries have national laws and regulations that guarantee full and equal access to women and men aged 15 years and older to sexual and reproductive health care, information and education.  </w:t>
            </w:r>
          </w:p>
          <w:p w14:paraId="567A5E53" w14:textId="77777777" w:rsidR="00BD0A82" w:rsidRPr="006F7093" w:rsidRDefault="00BD0A82" w:rsidP="00BD0A82">
            <w:pPr>
              <w:pStyle w:val="MText"/>
            </w:pPr>
          </w:p>
          <w:p w14:paraId="2F816EA5" w14:textId="77777777" w:rsidR="00BD0A82" w:rsidRPr="006F7093" w:rsidRDefault="00BD0A82" w:rsidP="00BD0A82">
            <w:pPr>
              <w:pStyle w:val="MText"/>
            </w:pPr>
            <w:r w:rsidRPr="006F7093">
              <w:t xml:space="preserve">The indicator is a percentage (%) </w:t>
            </w:r>
            <w:r w:rsidRPr="00113030">
              <w:t>scale</w:t>
            </w:r>
            <w:r>
              <w:t xml:space="preserve"> of</w:t>
            </w:r>
            <w:r w:rsidRPr="006F7093">
              <w:t xml:space="preserve"> 0 to 100</w:t>
            </w:r>
            <w:r w:rsidRPr="006F7093">
              <w:rPr>
                <w:rFonts w:ascii="Calibri" w:hAnsi="Calibri" w:cs="Calibri"/>
              </w:rPr>
              <w:t xml:space="preserve"> (national laws and regulations exist to guarantee full and equal access), indicating a country’s status and progress in the existence of such national laws and regulations.  Indicator 5.6.2 measures only the </w:t>
            </w:r>
            <w:r w:rsidRPr="006F7093">
              <w:rPr>
                <w:rFonts w:ascii="Calibri" w:hAnsi="Calibri" w:cs="Calibri"/>
                <w:i/>
              </w:rPr>
              <w:t>existence</w:t>
            </w:r>
            <w:r w:rsidRPr="006F7093">
              <w:rPr>
                <w:rFonts w:ascii="Calibri" w:hAnsi="Calibri" w:cs="Calibri"/>
              </w:rPr>
              <w:t xml:space="preserve"> of laws and regulations; it does not measure their </w:t>
            </w:r>
            <w:r w:rsidRPr="006F7093">
              <w:rPr>
                <w:rFonts w:ascii="Calibri" w:hAnsi="Calibri" w:cs="Calibri"/>
                <w:i/>
              </w:rPr>
              <w:t>implementation</w:t>
            </w:r>
            <w:r w:rsidRPr="006F7093">
              <w:rPr>
                <w:rFonts w:ascii="Calibri" w:hAnsi="Calibri" w:cs="Calibri"/>
              </w:rPr>
              <w:t xml:space="preserve">.  </w:t>
            </w:r>
          </w:p>
          <w:p w14:paraId="137E7747" w14:textId="77777777" w:rsidR="00BD0A82" w:rsidRPr="002B6D58" w:rsidRDefault="00BD0A82" w:rsidP="00BD0A82">
            <w:pPr>
              <w:rPr>
                <w:rFonts w:cs="TimesNewRomanPS-BoldMT"/>
                <w:bCs/>
              </w:rPr>
            </w:pPr>
          </w:p>
          <w:p w14:paraId="56927C2C" w14:textId="7E651621" w:rsidR="00BD0A82" w:rsidRPr="002B6D58" w:rsidRDefault="00BD0A82" w:rsidP="00BD0A82">
            <w:pPr>
              <w:pStyle w:val="MSubHeader"/>
            </w:pPr>
            <w:r w:rsidRPr="002B6D58">
              <w:t>Concepts:</w:t>
            </w:r>
          </w:p>
          <w:p w14:paraId="4CB2920E" w14:textId="77777777" w:rsidR="00BD0A82" w:rsidRDefault="00BD0A82" w:rsidP="00BD0A82">
            <w:pPr>
              <w:pStyle w:val="MText"/>
            </w:pPr>
            <w:r w:rsidRPr="006F7093">
              <w:t>Laws:</w:t>
            </w:r>
            <w:r w:rsidRPr="006F7093">
              <w:rPr>
                <w:b/>
              </w:rPr>
              <w:t xml:space="preserve"> </w:t>
            </w:r>
            <w:r w:rsidRPr="006F7093">
              <w:t xml:space="preserve">laws and statutes are official rules of conduct or action prescribed, or formally recognized as binding, or enforced by a controlling authority that governs the </w:t>
            </w:r>
            <w:proofErr w:type="spellStart"/>
            <w:r w:rsidRPr="006F7093">
              <w:t>behavior</w:t>
            </w:r>
            <w:proofErr w:type="spellEnd"/>
            <w:r w:rsidRPr="006F7093">
              <w:t xml:space="preserve"> of actors (including people, corporations, associations, government agencies).  They are adopted or ratified by the legislative branch of government and may be formally recognized in the Constitution or interpreted by courts.  Laws governing sexual and reproductive health are not nec</w:t>
            </w:r>
            <w:r>
              <w:t xml:space="preserve">essarily contained in one law. </w:t>
            </w:r>
          </w:p>
          <w:p w14:paraId="7999F667" w14:textId="77777777" w:rsidR="00BD0A82" w:rsidRPr="006F7093" w:rsidRDefault="00BD0A82" w:rsidP="00BD0A82">
            <w:pPr>
              <w:pStyle w:val="MText"/>
            </w:pPr>
          </w:p>
          <w:p w14:paraId="228ECD06" w14:textId="499EA553" w:rsidR="00BD0A82" w:rsidRDefault="00BD0A82" w:rsidP="00BD0A82">
            <w:pPr>
              <w:pStyle w:val="MText"/>
            </w:pPr>
            <w:r w:rsidRPr="006F7093">
              <w:t>Regulations:</w:t>
            </w:r>
            <w:r w:rsidRPr="006F7093">
              <w:rPr>
                <w:b/>
              </w:rPr>
              <w:t xml:space="preserve"> </w:t>
            </w:r>
            <w:r w:rsidRPr="006F7093">
              <w:t xml:space="preserve">are considered to be executive, ministerial or other administrative orders or decrees.   At the municipal level, regulations are sometimes called ordinances.  Regulations and ordinances issued by governmental entities have the force of law, although circumscribed by the level of the issuing authority.  Under this methodology, only regulations with national-level application are considered.  </w:t>
            </w:r>
          </w:p>
          <w:p w14:paraId="663948B4" w14:textId="77777777" w:rsidR="00875AB3" w:rsidRPr="006F7093" w:rsidRDefault="00875AB3" w:rsidP="00BD0A82">
            <w:pPr>
              <w:pStyle w:val="MText"/>
            </w:pPr>
          </w:p>
          <w:p w14:paraId="5B5C1F8B" w14:textId="77777777" w:rsidR="00BD0A82" w:rsidRDefault="00BD0A82" w:rsidP="00BD0A82">
            <w:pPr>
              <w:pStyle w:val="MText"/>
            </w:pPr>
            <w:r w:rsidRPr="006F7093">
              <w:t xml:space="preserve">Restrictions: many laws and regulations contain restrictions in the scope of their applicability.  Such restrictions, which include, though are not limited to, those by age, sex, marital status, and requirement for third party authorization, represent barriers to </w:t>
            </w:r>
            <w:r w:rsidRPr="006F7093">
              <w:rPr>
                <w:i/>
              </w:rPr>
              <w:lastRenderedPageBreak/>
              <w:t>full and equal access to sexual and reproductive health care, information and education</w:t>
            </w:r>
            <w:r w:rsidRPr="006F7093">
              <w:t xml:space="preserve">.  </w:t>
            </w:r>
          </w:p>
          <w:p w14:paraId="7832F275" w14:textId="77777777" w:rsidR="00BD0A82" w:rsidRPr="006F7093" w:rsidRDefault="00BD0A82" w:rsidP="00BD0A82">
            <w:pPr>
              <w:pStyle w:val="MText"/>
            </w:pPr>
          </w:p>
          <w:p w14:paraId="558C5FF9" w14:textId="77777777" w:rsidR="00BD0A82" w:rsidRDefault="00BD0A82" w:rsidP="00BD0A82">
            <w:pPr>
              <w:pStyle w:val="MText"/>
            </w:pPr>
            <w:r w:rsidRPr="006F7093">
              <w:t>Plural legal systems:</w:t>
            </w:r>
            <w:r w:rsidRPr="006F7093">
              <w:rPr>
                <w:b/>
              </w:rPr>
              <w:t xml:space="preserve"> </w:t>
            </w:r>
            <w:r w:rsidRPr="006F7093">
              <w:t xml:space="preserve">are defined as legal systems in which multiple sources of law co-exist.  Such legal systems have typically developed over a period of time as a consequence of colonial inheritance, religion and other socio-cultural factors.  Examples of sources of law that might co-exist under a plural legal system include: English common law, French civil or other law, statutory law, and customary and religious law.  The co-existence of multiple sources of law can create fundamental contradictions in the legal system, which result in barriers to </w:t>
            </w:r>
            <w:r w:rsidRPr="006F7093">
              <w:rPr>
                <w:i/>
              </w:rPr>
              <w:t>full and equal access to sexual and reproductive health care, information and education</w:t>
            </w:r>
            <w:r w:rsidRPr="006F7093">
              <w:t xml:space="preserve">.  </w:t>
            </w:r>
          </w:p>
          <w:p w14:paraId="054ABBD6" w14:textId="77777777" w:rsidR="00BD0A82" w:rsidRPr="006F7093" w:rsidRDefault="00BD0A82" w:rsidP="00BD0A82">
            <w:pPr>
              <w:pStyle w:val="MText"/>
            </w:pPr>
          </w:p>
          <w:p w14:paraId="5CC200FA" w14:textId="6E4927AA" w:rsidR="009C300C" w:rsidRPr="009F305C" w:rsidRDefault="00BD0A82" w:rsidP="00875AB3">
            <w:pPr>
              <w:pStyle w:val="MText"/>
            </w:pPr>
            <w:r w:rsidRPr="006F7093">
              <w:t>“Guarantee” (access):</w:t>
            </w:r>
            <w:r w:rsidRPr="006F7093">
              <w:rPr>
                <w:b/>
              </w:rPr>
              <w:t xml:space="preserve"> </w:t>
            </w:r>
            <w:r w:rsidRPr="006F7093">
              <w:t>for the purpose of this methodology, “guarantee” is understood in relation to a law or regulation that assures a particular outcome or condition.  The methodology recognizes that laws can only guarantee “in principle”; for the outcomes to be fully realized in practice, additional steps, including policy and budgetary measures will need to be in place.</w:t>
            </w:r>
          </w:p>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lastRenderedPageBreak/>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D507A5A" w14:textId="371B2DC9" w:rsidR="0023460C" w:rsidRPr="009F305C" w:rsidRDefault="0023460C" w:rsidP="00E06BAD">
            <w:pPr>
              <w:pStyle w:val="MText"/>
            </w:pP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854955C" w14:textId="5F67EE2E" w:rsidR="0039237B" w:rsidRPr="00573631" w:rsidRDefault="0039237B" w:rsidP="00875AB3">
            <w:pPr>
              <w:pStyle w:val="MHeader"/>
            </w:pPr>
            <w:r w:rsidRPr="00573631">
              <w:t xml:space="preserve">Data </w:t>
            </w:r>
            <w:r w:rsidR="00875AB3">
              <w:t>s</w:t>
            </w:r>
            <w:r w:rsidRPr="00573631">
              <w:t>ources</w:t>
            </w:r>
          </w:p>
          <w:p w14:paraId="02F7E7E5" w14:textId="53C4773F" w:rsidR="009C300C" w:rsidRPr="009F305C" w:rsidRDefault="0039237B" w:rsidP="00875AB3">
            <w:pPr>
              <w:pStyle w:val="MText"/>
            </w:pPr>
            <w:r>
              <w:t xml:space="preserve">Indicator 5.6.2 is calculated based on official government responses collected through the </w:t>
            </w:r>
            <w:r w:rsidRPr="00EA162A">
              <w:t>United Nations Inquiry among Governments on Population and Development</w:t>
            </w:r>
            <w:r>
              <w:t xml:space="preserve">. </w:t>
            </w:r>
            <w:r w:rsidRPr="00EA162A">
              <w:t>The Inquiry, mandated by the General Assembly in its resolution 1838 (XVII) of 18 December 1962, has been conducted by t</w:t>
            </w:r>
            <w:r>
              <w:t>he Secretary-General</w:t>
            </w:r>
            <w:r w:rsidRPr="00EA162A">
              <w:t xml:space="preserve"> since 1963.</w:t>
            </w:r>
            <w:r>
              <w:t xml:space="preserve"> All questions required for indicator 5.6.2 are integrated into </w:t>
            </w:r>
            <w:r w:rsidRPr="00EA162A">
              <w:t>Module II on fertility, family planning and reproductive health</w:t>
            </w:r>
            <w:r>
              <w:t xml:space="preserve"> of the Inquiry.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5CAA1B40" w14:textId="77777777" w:rsidR="0039237B" w:rsidRPr="00573631" w:rsidRDefault="0039237B" w:rsidP="0005532F">
            <w:pPr>
              <w:pStyle w:val="MSubHeader"/>
            </w:pPr>
            <w:r w:rsidRPr="00573631">
              <w:t>Collection process:</w:t>
            </w:r>
          </w:p>
          <w:p w14:paraId="04E44770" w14:textId="77777777" w:rsidR="0039237B" w:rsidRDefault="0039237B" w:rsidP="0039237B">
            <w:pPr>
              <w:pStyle w:val="MText"/>
            </w:pPr>
            <w:r>
              <w:t xml:space="preserve">The Inquiry is sent to the Permanent Missions by </w:t>
            </w:r>
            <w:r w:rsidRPr="00EF271C">
              <w:t>UN Population Division (DESA)</w:t>
            </w:r>
            <w:r>
              <w:t>. UNFPA then follow-up with UNFPA Country Offices.</w:t>
            </w:r>
          </w:p>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FDCE409" w14:textId="77777777" w:rsidR="0039237B" w:rsidRPr="00573631" w:rsidRDefault="0039237B" w:rsidP="00875AB3">
            <w:pPr>
              <w:pStyle w:val="MHeader"/>
            </w:pPr>
            <w:r w:rsidRPr="00573631">
              <w:t>Calendar</w:t>
            </w:r>
          </w:p>
          <w:p w14:paraId="254B6CE9" w14:textId="77777777" w:rsidR="0039237B" w:rsidRPr="00573631" w:rsidRDefault="0039237B" w:rsidP="0039237B">
            <w:pPr>
              <w:pStyle w:val="MSubHeader"/>
            </w:pPr>
            <w:r w:rsidRPr="00573631">
              <w:t>Data collection:</w:t>
            </w:r>
          </w:p>
          <w:p w14:paraId="1FF4ADBD" w14:textId="4FFBEB9A" w:rsidR="009C300C" w:rsidRPr="009F305C" w:rsidRDefault="0039237B" w:rsidP="00875AB3">
            <w:pPr>
              <w:tabs>
                <w:tab w:val="left" w:pos="1320"/>
              </w:tabs>
            </w:pPr>
            <w:r w:rsidRPr="00CA5E67">
              <w:rPr>
                <w:rStyle w:val="MTextChar"/>
                <w:rFonts w:eastAsiaTheme="minorEastAsia"/>
              </w:rPr>
              <w:t xml:space="preserve">Baseline data </w:t>
            </w:r>
            <w:r>
              <w:rPr>
                <w:rStyle w:val="MTextChar"/>
                <w:rFonts w:eastAsiaTheme="minorEastAsia"/>
              </w:rPr>
              <w:t xml:space="preserve">is collected in </w:t>
            </w:r>
            <w:r w:rsidRPr="00CA5E67">
              <w:rPr>
                <w:rStyle w:val="MTextChar"/>
                <w:rFonts w:eastAsiaTheme="minorEastAsia"/>
              </w:rPr>
              <w:t xml:space="preserve">2019. </w:t>
            </w:r>
            <w:r>
              <w:rPr>
                <w:rStyle w:val="MTextChar"/>
                <w:rFonts w:eastAsiaTheme="minorEastAsia"/>
              </w:rPr>
              <w:t>Next data collection will be in 2021; further d</w:t>
            </w:r>
            <w:r w:rsidRPr="00CA5E67">
              <w:rPr>
                <w:rStyle w:val="MTextChar"/>
                <w:rFonts w:eastAsiaTheme="minorEastAsia"/>
              </w:rPr>
              <w:t xml:space="preserve">ata collection will be scheduled every </w:t>
            </w:r>
            <w:r>
              <w:rPr>
                <w:rStyle w:val="MTextChar"/>
                <w:rFonts w:eastAsiaTheme="minorEastAsia"/>
              </w:rPr>
              <w:t>4</w:t>
            </w:r>
            <w:r w:rsidRPr="00CA5E67">
              <w:rPr>
                <w:rStyle w:val="MTextChar"/>
                <w:rFonts w:eastAsiaTheme="minorEastAsia"/>
              </w:rPr>
              <w:t xml:space="preserve"> years</w:t>
            </w:r>
            <w:r w:rsidRPr="006F7093">
              <w:rPr>
                <w:rFonts w:cs="Times New Roman"/>
              </w:rPr>
              <w:t xml:space="preserve">.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46106106" w14:textId="77777777" w:rsidR="0039237B" w:rsidRPr="00573631" w:rsidRDefault="0039237B" w:rsidP="00875AB3">
            <w:pPr>
              <w:pStyle w:val="MSubHeader"/>
            </w:pPr>
            <w:r w:rsidRPr="00573631">
              <w:t>Data release:</w:t>
            </w:r>
          </w:p>
          <w:p w14:paraId="7788C02D" w14:textId="7134F788" w:rsidR="009C300C" w:rsidRPr="00856714" w:rsidRDefault="0039237B" w:rsidP="00875AB3">
            <w:pPr>
              <w:pStyle w:val="MText"/>
            </w:pPr>
            <w:r>
              <w:t>2020</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7934486" w14:textId="77777777" w:rsidR="0039237B" w:rsidRPr="00573631" w:rsidRDefault="0039237B" w:rsidP="00875AB3">
            <w:pPr>
              <w:pStyle w:val="MHeader"/>
            </w:pPr>
            <w:r w:rsidRPr="00573631">
              <w:t>Data providers</w:t>
            </w:r>
          </w:p>
          <w:p w14:paraId="0C575E97" w14:textId="1B11B15B" w:rsidR="009C300C" w:rsidRPr="005E6457" w:rsidRDefault="0039237B" w:rsidP="00875AB3">
            <w:pPr>
              <w:pStyle w:val="MText"/>
            </w:pPr>
            <w:r w:rsidRPr="006F7093">
              <w:t xml:space="preserve">Data will be provided by relevant government ministries, departments and agencies.  </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957574E" w14:textId="77777777" w:rsidR="0039237B" w:rsidRPr="00573631" w:rsidRDefault="0039237B" w:rsidP="00875AB3">
            <w:pPr>
              <w:pStyle w:val="MHeader"/>
            </w:pPr>
            <w:r w:rsidRPr="00573631">
              <w:t>Data compilers</w:t>
            </w:r>
          </w:p>
          <w:p w14:paraId="3015356B" w14:textId="0551ED4D" w:rsidR="009C300C" w:rsidRPr="005E6457" w:rsidRDefault="0039237B" w:rsidP="00875AB3">
            <w:pPr>
              <w:pStyle w:val="MText"/>
            </w:pPr>
            <w:r w:rsidRPr="006F7093">
              <w:t xml:space="preserve">UNFPA, with inputs from partner international agencies. </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70EE255" w14:textId="77777777" w:rsidR="00BD0A82" w:rsidRPr="006F7093" w:rsidRDefault="00BD0A82" w:rsidP="00BD0A82">
            <w:pPr>
              <w:pStyle w:val="MSubHeader"/>
            </w:pPr>
            <w:r w:rsidRPr="006F7093">
              <w:t>Rationale:</w:t>
            </w:r>
          </w:p>
          <w:p w14:paraId="610D918C" w14:textId="77777777" w:rsidR="00BD0A82" w:rsidRPr="006F7093" w:rsidRDefault="00BD0A82" w:rsidP="00875AB3">
            <w:pPr>
              <w:pStyle w:val="MText"/>
            </w:pPr>
            <w:r w:rsidRPr="006F7093">
              <w:t>Indicator 5.6.2 seeks to provide the first comprehensive global assessment of legal and regulatory frameworks in line with the 1994 International Conference on Population and Development (ICPD) Programme of Action</w:t>
            </w:r>
            <w:r w:rsidRPr="006F7093">
              <w:rPr>
                <w:rStyle w:val="FootnoteReference"/>
              </w:rPr>
              <w:footnoteReference w:id="1"/>
            </w:r>
            <w:r w:rsidRPr="006F7093">
              <w:t>, the Beijing Platform for Action</w:t>
            </w:r>
            <w:r w:rsidRPr="006F7093">
              <w:rPr>
                <w:rStyle w:val="FootnoteReference"/>
              </w:rPr>
              <w:footnoteReference w:id="2"/>
            </w:r>
            <w:r w:rsidRPr="006F7093">
              <w:t>, and international human rights standards</w:t>
            </w:r>
            <w:r w:rsidRPr="006F7093">
              <w:rPr>
                <w:rStyle w:val="FootnoteReference"/>
              </w:rPr>
              <w:footnoteReference w:id="3"/>
            </w:r>
            <w:r w:rsidRPr="006F7093">
              <w:t xml:space="preserve">.  The indicator measures the legal and regulatory environment across four thematic sections, defined as the key parameters of sexual and reproductive health care, information and education according to </w:t>
            </w:r>
            <w:r w:rsidRPr="006F7093">
              <w:lastRenderedPageBreak/>
              <w:t>these international consensus documents and human rights standards:</w:t>
            </w:r>
          </w:p>
          <w:p w14:paraId="60958A50" w14:textId="77777777" w:rsidR="00BD0A82" w:rsidRPr="006F7093" w:rsidRDefault="00BD0A82" w:rsidP="00875AB3">
            <w:pPr>
              <w:pStyle w:val="MText"/>
            </w:pPr>
          </w:p>
          <w:tbl>
            <w:tblPr>
              <w:tblStyle w:val="TableGrid"/>
              <w:tblW w:w="0" w:type="auto"/>
              <w:tblLayout w:type="fixed"/>
              <w:tblLook w:val="04A0" w:firstRow="1" w:lastRow="0" w:firstColumn="1" w:lastColumn="0" w:noHBand="0" w:noVBand="1"/>
            </w:tblPr>
            <w:tblGrid>
              <w:gridCol w:w="9016"/>
            </w:tblGrid>
            <w:tr w:rsidR="00BD0A82" w:rsidRPr="006F7093" w14:paraId="59271AD8" w14:textId="77777777" w:rsidTr="007F57BC">
              <w:tc>
                <w:tcPr>
                  <w:tcW w:w="9016" w:type="dxa"/>
                </w:tcPr>
                <w:p w14:paraId="63E812D3" w14:textId="77777777" w:rsidR="00BD0A82" w:rsidRPr="006F7093" w:rsidRDefault="00BD0A82" w:rsidP="00875AB3">
                  <w:pPr>
                    <w:pStyle w:val="MText"/>
                  </w:pPr>
                  <w:r w:rsidRPr="006F7093">
                    <w:t>Maternity care</w:t>
                  </w:r>
                </w:p>
              </w:tc>
            </w:tr>
            <w:tr w:rsidR="00BD0A82" w:rsidRPr="006F7093" w14:paraId="73B2F644" w14:textId="77777777" w:rsidTr="007F57BC">
              <w:tc>
                <w:tcPr>
                  <w:tcW w:w="9016" w:type="dxa"/>
                </w:tcPr>
                <w:p w14:paraId="4C3DA36A" w14:textId="77777777" w:rsidR="00BD0A82" w:rsidRPr="006F7093" w:rsidRDefault="00BD0A82" w:rsidP="00875AB3">
                  <w:pPr>
                    <w:pStyle w:val="MText"/>
                  </w:pPr>
                  <w:r w:rsidRPr="006F7093">
                    <w:t>Contraception and family planning</w:t>
                  </w:r>
                </w:p>
              </w:tc>
            </w:tr>
            <w:tr w:rsidR="00BD0A82" w:rsidRPr="006F7093" w14:paraId="641F7490" w14:textId="77777777" w:rsidTr="007F57BC">
              <w:tc>
                <w:tcPr>
                  <w:tcW w:w="9016" w:type="dxa"/>
                </w:tcPr>
                <w:p w14:paraId="339E89F6" w14:textId="77777777" w:rsidR="00BD0A82" w:rsidRPr="006F7093" w:rsidRDefault="00BD0A82" w:rsidP="00875AB3">
                  <w:pPr>
                    <w:pStyle w:val="MText"/>
                  </w:pPr>
                  <w:r w:rsidRPr="006F7093">
                    <w:t>Comprehensive sexuality education and information</w:t>
                  </w:r>
                </w:p>
              </w:tc>
            </w:tr>
            <w:tr w:rsidR="00BD0A82" w:rsidRPr="006F7093" w14:paraId="75BD02A3" w14:textId="77777777" w:rsidTr="007F57BC">
              <w:tc>
                <w:tcPr>
                  <w:tcW w:w="9016" w:type="dxa"/>
                </w:tcPr>
                <w:p w14:paraId="25C79C1E" w14:textId="77777777" w:rsidR="00BD0A82" w:rsidRPr="006F7093" w:rsidRDefault="00BD0A82" w:rsidP="00875AB3">
                  <w:pPr>
                    <w:pStyle w:val="MText"/>
                  </w:pPr>
                  <w:r>
                    <w:t>HIV and HPV</w:t>
                  </w:r>
                </w:p>
              </w:tc>
            </w:tr>
          </w:tbl>
          <w:p w14:paraId="6F1B1BF3" w14:textId="77777777" w:rsidR="00BD0A82" w:rsidRPr="006F7093" w:rsidRDefault="00BD0A82" w:rsidP="00875AB3">
            <w:pPr>
              <w:pStyle w:val="MText"/>
            </w:pPr>
          </w:p>
          <w:p w14:paraId="7E0C397A" w14:textId="77777777" w:rsidR="00BD0A82" w:rsidRPr="006F7093" w:rsidRDefault="00BD0A82" w:rsidP="00875AB3">
            <w:pPr>
              <w:pStyle w:val="MText"/>
            </w:pPr>
            <w:r w:rsidRPr="006F7093">
              <w:t>Each of the four thematic areas (sections) is represented by individual components, reflect</w:t>
            </w:r>
            <w:r>
              <w:t>ing</w:t>
            </w:r>
            <w:r w:rsidRPr="006F7093">
              <w:t xml:space="preserve"> topics that are: </w:t>
            </w:r>
            <w:proofErr w:type="spellStart"/>
            <w:r w:rsidRPr="006F7093">
              <w:t>i</w:t>
            </w:r>
            <w:proofErr w:type="spellEnd"/>
            <w:r w:rsidRPr="006F7093">
              <w:t>) critical from a substantive perspective, ii) span a broad spectrum of sexual and reproductive health care, information and education, and iii) the subject of national legal and regulatory frameworks.  In total, Indicator 5.6.2 measures 13 components, categorized as follows:</w:t>
            </w:r>
          </w:p>
          <w:p w14:paraId="3605F56E" w14:textId="77777777" w:rsidR="00BD0A82" w:rsidRPr="006F7093" w:rsidRDefault="00BD0A82" w:rsidP="00875AB3">
            <w:pPr>
              <w:pStyle w:val="MText"/>
            </w:pPr>
          </w:p>
          <w:tbl>
            <w:tblPr>
              <w:tblStyle w:val="TableGrid"/>
              <w:tblW w:w="0" w:type="auto"/>
              <w:tblLayout w:type="fixed"/>
              <w:tblLook w:val="04A0" w:firstRow="1" w:lastRow="0" w:firstColumn="1" w:lastColumn="0" w:noHBand="0" w:noVBand="1"/>
            </w:tblPr>
            <w:tblGrid>
              <w:gridCol w:w="9016"/>
            </w:tblGrid>
            <w:tr w:rsidR="00BD0A82" w:rsidRPr="006F7093" w14:paraId="6BFCBCC3" w14:textId="77777777" w:rsidTr="007F57BC">
              <w:tc>
                <w:tcPr>
                  <w:tcW w:w="9016" w:type="dxa"/>
                </w:tcPr>
                <w:p w14:paraId="1DA55D65" w14:textId="77777777" w:rsidR="00BD0A82" w:rsidRPr="00CA5E67" w:rsidRDefault="00BD0A82" w:rsidP="00875AB3">
                  <w:pPr>
                    <w:pStyle w:val="MText"/>
                    <w:rPr>
                      <w:b/>
                      <w:bCs/>
                    </w:rPr>
                  </w:pPr>
                  <w:r w:rsidRPr="00CA5E67">
                    <w:rPr>
                      <w:b/>
                      <w:bCs/>
                    </w:rPr>
                    <w:t>SECTION I: MATERNITY CARE</w:t>
                  </w:r>
                </w:p>
              </w:tc>
            </w:tr>
            <w:tr w:rsidR="00BD0A82" w:rsidRPr="006F7093" w14:paraId="5F6AA785" w14:textId="77777777" w:rsidTr="007F57BC">
              <w:tc>
                <w:tcPr>
                  <w:tcW w:w="9016" w:type="dxa"/>
                </w:tcPr>
                <w:p w14:paraId="59E27335" w14:textId="77777777" w:rsidR="00BD0A82" w:rsidRPr="006F7093" w:rsidRDefault="00BD0A82" w:rsidP="00875AB3">
                  <w:pPr>
                    <w:pStyle w:val="MText"/>
                  </w:pPr>
                  <w:r>
                    <w:t xml:space="preserve">Component </w:t>
                  </w:r>
                  <w:r w:rsidRPr="006F7093">
                    <w:t>1. Maternity care</w:t>
                  </w:r>
                </w:p>
              </w:tc>
            </w:tr>
            <w:tr w:rsidR="00BD0A82" w:rsidRPr="006F7093" w14:paraId="18EF4673" w14:textId="77777777" w:rsidTr="007F57BC">
              <w:tc>
                <w:tcPr>
                  <w:tcW w:w="9016" w:type="dxa"/>
                </w:tcPr>
                <w:p w14:paraId="19A98F68" w14:textId="77777777" w:rsidR="00BD0A82" w:rsidRPr="006F7093" w:rsidRDefault="00BD0A82" w:rsidP="00875AB3">
                  <w:pPr>
                    <w:pStyle w:val="MText"/>
                  </w:pPr>
                  <w:r>
                    <w:t xml:space="preserve">Component </w:t>
                  </w:r>
                  <w:r w:rsidRPr="006F7093">
                    <w:t>2. Life-saving commodities</w:t>
                  </w:r>
                </w:p>
              </w:tc>
            </w:tr>
            <w:tr w:rsidR="00BD0A82" w:rsidRPr="006F7093" w14:paraId="5DCDD7D3" w14:textId="77777777" w:rsidTr="007F57BC">
              <w:tc>
                <w:tcPr>
                  <w:tcW w:w="9016" w:type="dxa"/>
                </w:tcPr>
                <w:p w14:paraId="2E6E7010" w14:textId="77777777" w:rsidR="00BD0A82" w:rsidRPr="006F7093" w:rsidRDefault="00BD0A82" w:rsidP="00875AB3">
                  <w:pPr>
                    <w:pStyle w:val="MText"/>
                  </w:pPr>
                  <w:r>
                    <w:t xml:space="preserve">Component </w:t>
                  </w:r>
                  <w:r w:rsidRPr="006F7093">
                    <w:t>3. Abortion</w:t>
                  </w:r>
                </w:p>
              </w:tc>
            </w:tr>
            <w:tr w:rsidR="00BD0A82" w:rsidRPr="006F7093" w14:paraId="1B9578C4" w14:textId="77777777" w:rsidTr="007F57BC">
              <w:tc>
                <w:tcPr>
                  <w:tcW w:w="9016" w:type="dxa"/>
                  <w:tcBorders>
                    <w:bottom w:val="single" w:sz="4" w:space="0" w:color="auto"/>
                  </w:tcBorders>
                </w:tcPr>
                <w:p w14:paraId="3CDD9477" w14:textId="77777777" w:rsidR="00BD0A82" w:rsidRPr="006F7093" w:rsidRDefault="00BD0A82" w:rsidP="00875AB3">
                  <w:pPr>
                    <w:pStyle w:val="MText"/>
                  </w:pPr>
                  <w:r>
                    <w:t xml:space="preserve">Component </w:t>
                  </w:r>
                  <w:r w:rsidRPr="006F7093">
                    <w:t>4. Post-abortion care</w:t>
                  </w:r>
                </w:p>
              </w:tc>
            </w:tr>
            <w:tr w:rsidR="00BD0A82" w:rsidRPr="006F7093" w14:paraId="45759FB2" w14:textId="77777777" w:rsidTr="007F57BC">
              <w:tc>
                <w:tcPr>
                  <w:tcW w:w="9016" w:type="dxa"/>
                </w:tcPr>
                <w:p w14:paraId="5046C162" w14:textId="77777777" w:rsidR="00BD0A82" w:rsidRPr="00BE4170" w:rsidRDefault="00BD0A82" w:rsidP="00875AB3">
                  <w:pPr>
                    <w:pStyle w:val="MText"/>
                    <w:rPr>
                      <w:b/>
                    </w:rPr>
                  </w:pPr>
                  <w:r w:rsidRPr="00BE4170">
                    <w:rPr>
                      <w:b/>
                    </w:rPr>
                    <w:t>SECTION II: CONTRACEPTION AND FAMILY PLANNING</w:t>
                  </w:r>
                </w:p>
              </w:tc>
            </w:tr>
            <w:tr w:rsidR="00BD0A82" w:rsidRPr="006F7093" w14:paraId="59A36E70" w14:textId="77777777" w:rsidTr="007F57BC">
              <w:tc>
                <w:tcPr>
                  <w:tcW w:w="9016" w:type="dxa"/>
                </w:tcPr>
                <w:p w14:paraId="4C7C5A5D" w14:textId="77777777" w:rsidR="00BD0A82" w:rsidRPr="006F7093" w:rsidRDefault="00BD0A82" w:rsidP="00875AB3">
                  <w:pPr>
                    <w:pStyle w:val="MText"/>
                  </w:pPr>
                  <w:r>
                    <w:t xml:space="preserve">Component </w:t>
                  </w:r>
                  <w:r w:rsidRPr="006F7093">
                    <w:t>5. Contraception</w:t>
                  </w:r>
                </w:p>
              </w:tc>
            </w:tr>
            <w:tr w:rsidR="00BD0A82" w:rsidRPr="006F7093" w14:paraId="756CF0BD" w14:textId="77777777" w:rsidTr="007F57BC">
              <w:tc>
                <w:tcPr>
                  <w:tcW w:w="9016" w:type="dxa"/>
                </w:tcPr>
                <w:p w14:paraId="6DD0918E" w14:textId="77777777" w:rsidR="00BD0A82" w:rsidRPr="006F7093" w:rsidRDefault="00BD0A82" w:rsidP="00875AB3">
                  <w:pPr>
                    <w:pStyle w:val="MText"/>
                  </w:pPr>
                  <w:r>
                    <w:t xml:space="preserve">Component </w:t>
                  </w:r>
                  <w:r w:rsidRPr="006F7093">
                    <w:t>6. Consent for contraceptive services</w:t>
                  </w:r>
                </w:p>
              </w:tc>
            </w:tr>
            <w:tr w:rsidR="00BD0A82" w:rsidRPr="006F7093" w14:paraId="4AF86B53" w14:textId="77777777" w:rsidTr="007F57BC">
              <w:tc>
                <w:tcPr>
                  <w:tcW w:w="9016" w:type="dxa"/>
                </w:tcPr>
                <w:p w14:paraId="6F5C821C" w14:textId="77777777" w:rsidR="00BD0A82" w:rsidRPr="006F7093" w:rsidRDefault="00BD0A82" w:rsidP="00875AB3">
                  <w:pPr>
                    <w:pStyle w:val="MText"/>
                  </w:pPr>
                  <w:r>
                    <w:t xml:space="preserve">Component </w:t>
                  </w:r>
                  <w:r w:rsidRPr="006F7093">
                    <w:t>7. Emergency contraception</w:t>
                  </w:r>
                </w:p>
              </w:tc>
            </w:tr>
            <w:tr w:rsidR="00BD0A82" w:rsidRPr="006F7093" w14:paraId="4EAD99A6" w14:textId="77777777" w:rsidTr="007F57BC">
              <w:tc>
                <w:tcPr>
                  <w:tcW w:w="9016" w:type="dxa"/>
                </w:tcPr>
                <w:p w14:paraId="373A326F" w14:textId="77777777" w:rsidR="00BD0A82" w:rsidRPr="00BE4170" w:rsidRDefault="00BD0A82" w:rsidP="00875AB3">
                  <w:pPr>
                    <w:pStyle w:val="MText"/>
                    <w:rPr>
                      <w:b/>
                    </w:rPr>
                  </w:pPr>
                  <w:r w:rsidRPr="00BE4170">
                    <w:rPr>
                      <w:b/>
                    </w:rPr>
                    <w:t>SECTION III: COMPREHENSIVE SEXUALITY EDUCATION AND INFORMATION</w:t>
                  </w:r>
                </w:p>
              </w:tc>
            </w:tr>
            <w:tr w:rsidR="00BD0A82" w:rsidRPr="006F7093" w14:paraId="2B3FF21C" w14:textId="77777777" w:rsidTr="007F57BC">
              <w:tc>
                <w:tcPr>
                  <w:tcW w:w="9016" w:type="dxa"/>
                </w:tcPr>
                <w:p w14:paraId="74EC6086" w14:textId="77777777" w:rsidR="00BD0A82" w:rsidRPr="006F7093" w:rsidRDefault="00BD0A82" w:rsidP="00875AB3">
                  <w:pPr>
                    <w:pStyle w:val="MText"/>
                  </w:pPr>
                  <w:r>
                    <w:t xml:space="preserve">Component </w:t>
                  </w:r>
                  <w:r w:rsidRPr="006F7093">
                    <w:t>8. CSE law</w:t>
                  </w:r>
                </w:p>
              </w:tc>
            </w:tr>
            <w:tr w:rsidR="00BD0A82" w:rsidRPr="002B6D58" w14:paraId="314D1E1B" w14:textId="77777777" w:rsidTr="007F57BC">
              <w:tc>
                <w:tcPr>
                  <w:tcW w:w="9016" w:type="dxa"/>
                </w:tcPr>
                <w:p w14:paraId="4F37F8B5" w14:textId="77777777" w:rsidR="00BD0A82" w:rsidRPr="002B6D58" w:rsidRDefault="00BD0A82" w:rsidP="00875AB3">
                  <w:pPr>
                    <w:pStyle w:val="MText"/>
                  </w:pPr>
                  <w:r>
                    <w:t xml:space="preserve">Component </w:t>
                  </w:r>
                  <w:r w:rsidRPr="002B6D58">
                    <w:t>9. CSE curriculum</w:t>
                  </w:r>
                </w:p>
              </w:tc>
            </w:tr>
            <w:tr w:rsidR="00BD0A82" w:rsidRPr="002B6D58" w14:paraId="79ABA8F5" w14:textId="77777777" w:rsidTr="007F57BC">
              <w:tc>
                <w:tcPr>
                  <w:tcW w:w="9016" w:type="dxa"/>
                </w:tcPr>
                <w:p w14:paraId="7688D04A" w14:textId="77777777" w:rsidR="00BD0A82" w:rsidRPr="00BE4170" w:rsidRDefault="00BD0A82" w:rsidP="00875AB3">
                  <w:pPr>
                    <w:pStyle w:val="MText"/>
                    <w:rPr>
                      <w:b/>
                    </w:rPr>
                  </w:pPr>
                  <w:r w:rsidRPr="00BE4170">
                    <w:rPr>
                      <w:b/>
                    </w:rPr>
                    <w:t xml:space="preserve">SECTION IV: </w:t>
                  </w:r>
                  <w:r>
                    <w:rPr>
                      <w:b/>
                    </w:rPr>
                    <w:t>HIV and HPV</w:t>
                  </w:r>
                </w:p>
              </w:tc>
            </w:tr>
            <w:tr w:rsidR="00BD0A82" w:rsidRPr="002B6D58" w14:paraId="7440527C" w14:textId="77777777" w:rsidTr="007F57BC">
              <w:tc>
                <w:tcPr>
                  <w:tcW w:w="9016" w:type="dxa"/>
                </w:tcPr>
                <w:p w14:paraId="497DA56E" w14:textId="77777777" w:rsidR="00BD0A82" w:rsidRPr="002B6D58" w:rsidRDefault="00BD0A82" w:rsidP="00875AB3">
                  <w:pPr>
                    <w:pStyle w:val="MText"/>
                  </w:pPr>
                  <w:r>
                    <w:t xml:space="preserve">Component </w:t>
                  </w:r>
                  <w:r w:rsidRPr="002B6D58">
                    <w:t>10. HIV testing and counselling</w:t>
                  </w:r>
                </w:p>
              </w:tc>
            </w:tr>
            <w:tr w:rsidR="00BD0A82" w:rsidRPr="002B6D58" w14:paraId="176D03ED" w14:textId="77777777" w:rsidTr="007F57BC">
              <w:tc>
                <w:tcPr>
                  <w:tcW w:w="9016" w:type="dxa"/>
                </w:tcPr>
                <w:p w14:paraId="62A963F8" w14:textId="77777777" w:rsidR="00BD0A82" w:rsidRPr="002B6D58" w:rsidRDefault="00BD0A82" w:rsidP="00875AB3">
                  <w:pPr>
                    <w:pStyle w:val="MText"/>
                  </w:pPr>
                  <w:r>
                    <w:t xml:space="preserve">Component </w:t>
                  </w:r>
                  <w:r w:rsidRPr="002B6D58">
                    <w:t>11. HIV treatment and care</w:t>
                  </w:r>
                </w:p>
              </w:tc>
            </w:tr>
            <w:tr w:rsidR="00BD0A82" w:rsidRPr="002B6D58" w14:paraId="43FAA868" w14:textId="77777777" w:rsidTr="007F57BC">
              <w:tc>
                <w:tcPr>
                  <w:tcW w:w="9016" w:type="dxa"/>
                  <w:tcBorders>
                    <w:bottom w:val="single" w:sz="4" w:space="0" w:color="auto"/>
                  </w:tcBorders>
                </w:tcPr>
                <w:p w14:paraId="4C3C64FA" w14:textId="77777777" w:rsidR="00BD0A82" w:rsidRPr="002B6D58" w:rsidRDefault="00BD0A82" w:rsidP="00875AB3">
                  <w:pPr>
                    <w:pStyle w:val="MText"/>
                  </w:pPr>
                  <w:r>
                    <w:t xml:space="preserve">Component </w:t>
                  </w:r>
                  <w:r w:rsidRPr="002B6D58">
                    <w:t>12. Confidentiality of health status for men and women living with HIV</w:t>
                  </w:r>
                </w:p>
              </w:tc>
            </w:tr>
            <w:tr w:rsidR="00BD0A82" w:rsidRPr="002B6D58" w14:paraId="72084918" w14:textId="77777777" w:rsidTr="007F57BC">
              <w:tc>
                <w:tcPr>
                  <w:tcW w:w="9016" w:type="dxa"/>
                  <w:tcBorders>
                    <w:bottom w:val="single" w:sz="4" w:space="0" w:color="auto"/>
                  </w:tcBorders>
                </w:tcPr>
                <w:p w14:paraId="021B729B" w14:textId="77777777" w:rsidR="00BD0A82" w:rsidRPr="002B6D58" w:rsidRDefault="00BD0A82" w:rsidP="00875AB3">
                  <w:pPr>
                    <w:pStyle w:val="MText"/>
                  </w:pPr>
                  <w:r>
                    <w:t xml:space="preserve">Component </w:t>
                  </w:r>
                  <w:r w:rsidRPr="002B6D58">
                    <w:t>13. HPV vaccine</w:t>
                  </w:r>
                </w:p>
              </w:tc>
            </w:tr>
          </w:tbl>
          <w:p w14:paraId="42E9250B" w14:textId="77777777" w:rsidR="00BD0A82" w:rsidRDefault="00BD0A82" w:rsidP="00875AB3">
            <w:pPr>
              <w:pStyle w:val="MText"/>
            </w:pPr>
          </w:p>
          <w:p w14:paraId="053EE334" w14:textId="77777777" w:rsidR="00BD0A82" w:rsidRDefault="00BD0A82" w:rsidP="00875AB3">
            <w:pPr>
              <w:pStyle w:val="MText"/>
            </w:pPr>
            <w:r w:rsidRPr="006F7093">
              <w:t xml:space="preserve">For each of the 13 components, information is collected on the existence of </w:t>
            </w:r>
            <w:proofErr w:type="spellStart"/>
            <w:r w:rsidRPr="006F7093">
              <w:t>i</w:t>
            </w:r>
            <w:proofErr w:type="spellEnd"/>
            <w:r w:rsidRPr="006F7093">
              <w:t xml:space="preserve">) specific legal </w:t>
            </w:r>
            <w:r w:rsidRPr="006F7093">
              <w:rPr>
                <w:i/>
              </w:rPr>
              <w:t>enablers</w:t>
            </w:r>
            <w:r w:rsidRPr="006F7093">
              <w:t xml:space="preserve"> (positive laws and regulations) and ii) specific legal </w:t>
            </w:r>
            <w:r w:rsidRPr="006F7093">
              <w:rPr>
                <w:i/>
              </w:rPr>
              <w:t>barriers</w:t>
            </w:r>
            <w:r w:rsidRPr="006F7093">
              <w:rPr>
                <w:rStyle w:val="FootnoteReference"/>
                <w:rFonts w:cstheme="minorHAnsi"/>
                <w:kern w:val="24"/>
              </w:rPr>
              <w:footnoteReference w:id="4"/>
            </w:r>
            <w:r w:rsidRPr="006F7093">
              <w:t xml:space="preserve">.  Such barriers encompass </w:t>
            </w:r>
            <w:r w:rsidRPr="006F7093">
              <w:rPr>
                <w:i/>
              </w:rPr>
              <w:t>restrictions</w:t>
            </w:r>
            <w:r w:rsidRPr="006F7093">
              <w:t xml:space="preserve"> to positive laws and regulations (e.g. by age, sex, marital status and requirement for third party authorization), as well as </w:t>
            </w:r>
            <w:r w:rsidRPr="006F7093">
              <w:rPr>
                <w:i/>
              </w:rPr>
              <w:t>plural legal systems that contradict</w:t>
            </w:r>
            <w:r w:rsidRPr="006F7093">
              <w:t xml:space="preserve"> co-existing positive laws and regulations.  For each component, the </w:t>
            </w:r>
            <w:r w:rsidRPr="006F7093">
              <w:lastRenderedPageBreak/>
              <w:t xml:space="preserve">specific enablers and barriers on which data are collected are defined as the principle enablers and barriers for that component.  Even where positive laws are in place, legal barriers can undermine </w:t>
            </w:r>
            <w:r w:rsidRPr="006F7093">
              <w:rPr>
                <w:i/>
              </w:rPr>
              <w:t>full and equal</w:t>
            </w:r>
            <w:r w:rsidRPr="006F7093">
              <w:t xml:space="preserve"> access to sexual and reproductive health care, information and education; the methodology is designed to capture this</w:t>
            </w:r>
            <w:r>
              <w:t>.</w:t>
            </w:r>
          </w:p>
          <w:p w14:paraId="589EEAF3" w14:textId="77777777" w:rsidR="00BD0A82" w:rsidRPr="006F7093" w:rsidRDefault="00BD0A82" w:rsidP="00BD0A82">
            <w:pPr>
              <w:pStyle w:val="MText"/>
            </w:pPr>
          </w:p>
          <w:p w14:paraId="60B3B8DC" w14:textId="470403AF" w:rsidR="009C300C" w:rsidRPr="009F305C" w:rsidRDefault="00BD0A82" w:rsidP="00355B4E">
            <w:pPr>
              <w:pStyle w:val="MText"/>
            </w:pPr>
            <w:r w:rsidRPr="006F7093">
              <w:t xml:space="preserve">The percentage </w:t>
            </w:r>
            <w:r>
              <w:t>value</w:t>
            </w:r>
            <w:r w:rsidRPr="006F7093">
              <w:t xml:space="preserve"> reflects a country’s</w:t>
            </w:r>
            <w:r w:rsidRPr="006F7093">
              <w:rPr>
                <w:rFonts w:ascii="Calibri" w:hAnsi="Calibri" w:cs="Calibri"/>
              </w:rPr>
              <w:t xml:space="preserve"> status and progress in the existence of national laws and regulations that guarantee full and equal access to sexual and reproductive health care, information, and education.  </w:t>
            </w:r>
            <w:r w:rsidRPr="006F7093">
              <w:t xml:space="preserve">By reflecting the “extent to which” countries guarantee full and equal access to sexual and reproductive health care, information and education, this indicator allows across country comparison and within-country progress over time to be captured.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2C70F42" w14:textId="77777777" w:rsidR="0039237B" w:rsidRPr="006F7093" w:rsidRDefault="0039237B" w:rsidP="0039237B">
            <w:pPr>
              <w:pStyle w:val="MSubHeader"/>
            </w:pPr>
            <w:r w:rsidRPr="006F7093">
              <w:t>Comments and limitations:</w:t>
            </w:r>
          </w:p>
          <w:p w14:paraId="6255836D" w14:textId="15662325" w:rsidR="009C300C" w:rsidRPr="009F305C" w:rsidRDefault="0039237B" w:rsidP="00875AB3">
            <w:pPr>
              <w:pStyle w:val="MText"/>
            </w:pPr>
            <w:r w:rsidRPr="006F7093">
              <w:t xml:space="preserve">Indicator 5.6.2 measures exclusively the </w:t>
            </w:r>
            <w:r w:rsidRPr="006F7093">
              <w:rPr>
                <w:i/>
              </w:rPr>
              <w:t>existence</w:t>
            </w:r>
            <w:r w:rsidRPr="006F7093">
              <w:t xml:space="preserve"> of laws and regulations and their barriers.  It does not measure the </w:t>
            </w:r>
            <w:r w:rsidRPr="006F7093">
              <w:rPr>
                <w:i/>
              </w:rPr>
              <w:t>implementation</w:t>
            </w:r>
            <w:r w:rsidRPr="006F7093">
              <w:t xml:space="preserve"> of such laws/regulations. In addition, the 13 components are intended to be indicative of sexual and reproductive health care, information and education, instead of a complete or exhaustive list of the care, information and education. These components were selected because they</w:t>
            </w:r>
            <w:r>
              <w:t xml:space="preserve"> were</w:t>
            </w:r>
            <w:r w:rsidRPr="006F7093">
              <w:t xml:space="preserve"> identified as key parameters according to international consensus documents and human rights standards.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59DC120A" w14:textId="77777777" w:rsidR="0039237B" w:rsidRPr="00573631" w:rsidRDefault="0039237B" w:rsidP="00875AB3">
            <w:pPr>
              <w:pStyle w:val="MHeader"/>
            </w:pPr>
            <w:r w:rsidRPr="00573631">
              <w:t>Methodology</w:t>
            </w:r>
          </w:p>
          <w:p w14:paraId="05E46787" w14:textId="5DE190E5" w:rsidR="0039237B" w:rsidRPr="00573631" w:rsidRDefault="0039237B" w:rsidP="00875AB3">
            <w:pPr>
              <w:pStyle w:val="MSubHeader"/>
            </w:pPr>
            <w:r w:rsidRPr="00573631">
              <w:t xml:space="preserve">Computation </w:t>
            </w:r>
            <w:r w:rsidR="00875AB3">
              <w:t>m</w:t>
            </w:r>
            <w:r w:rsidRPr="00573631">
              <w:t>ethod:</w:t>
            </w:r>
          </w:p>
          <w:p w14:paraId="26646941" w14:textId="77777777" w:rsidR="0039237B" w:rsidRPr="006F7093" w:rsidRDefault="0039237B" w:rsidP="0039237B">
            <w:pPr>
              <w:pStyle w:val="MText"/>
            </w:pPr>
            <w:r w:rsidRPr="006F7093">
              <w:t xml:space="preserve">The indicator measures specific legal enablers and barriers for 13 components across four </w:t>
            </w:r>
            <w:r>
              <w:t>sections</w:t>
            </w:r>
            <w:r w:rsidRPr="006F7093">
              <w:t>. The calculation of the indicator requires data for all 13 components</w:t>
            </w:r>
            <w:r>
              <w:t>.</w:t>
            </w:r>
          </w:p>
          <w:p w14:paraId="7526B9D4" w14:textId="77777777" w:rsidR="0039237B" w:rsidRPr="006F7093" w:rsidRDefault="0039237B" w:rsidP="0039237B">
            <w:pPr>
              <w:pStyle w:val="MText"/>
            </w:pPr>
          </w:p>
          <w:p w14:paraId="69B3E456" w14:textId="77777777" w:rsidR="0039237B" w:rsidRDefault="0039237B" w:rsidP="0039237B">
            <w:pPr>
              <w:pStyle w:val="MText"/>
            </w:pPr>
            <w:r w:rsidRPr="006F7093">
              <w:t xml:space="preserve">The 13 components are placed on the same scale, with 0% being the lowest value and 100% being the most optimal value. Each component is </w:t>
            </w:r>
            <w:r>
              <w:t>calculated</w:t>
            </w:r>
            <w:r w:rsidRPr="006F7093">
              <w:t xml:space="preserve"> independently and weighted equally.  </w:t>
            </w:r>
            <w:r>
              <w:t>Each</w:t>
            </w:r>
            <w:r w:rsidRPr="006F7093">
              <w:t xml:space="preserve"> </w:t>
            </w:r>
            <w:r w:rsidRPr="006F7093">
              <w:rPr>
                <w:u w:val="single"/>
              </w:rPr>
              <w:t>component</w:t>
            </w:r>
            <w:r w:rsidRPr="006F7093">
              <w:t xml:space="preserve"> is calculated as:</w:t>
            </w:r>
          </w:p>
          <w:p w14:paraId="578D72B0" w14:textId="42102B3E" w:rsidR="0084012F" w:rsidRDefault="0084012F" w:rsidP="0039237B">
            <w:pPr>
              <w:pStyle w:val="MSubHeader"/>
              <w:jc w:val="center"/>
            </w:pPr>
            <w:r>
              <w:rPr>
                <w:noProof/>
              </w:rPr>
              <w:drawing>
                <wp:inline distT="0" distB="0" distL="0" distR="0" wp14:anchorId="606B6FA3" wp14:editId="65C7EE5C">
                  <wp:extent cx="1397000" cy="48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7000" cy="488950"/>
                          </a:xfrm>
                          <a:prstGeom prst="rect">
                            <a:avLst/>
                          </a:prstGeom>
                          <a:noFill/>
                          <a:ln>
                            <a:noFill/>
                          </a:ln>
                        </pic:spPr>
                      </pic:pic>
                    </a:graphicData>
                  </a:graphic>
                </wp:inline>
              </w:drawing>
            </w:r>
          </w:p>
          <w:p w14:paraId="724AC468" w14:textId="0BA3FBC7" w:rsidR="006751ED" w:rsidRDefault="006751ED" w:rsidP="0039237B">
            <w:pPr>
              <w:pStyle w:val="MSubHeader"/>
              <w:jc w:val="center"/>
            </w:pPr>
            <w:r>
              <w:rPr>
                <w:noProof/>
              </w:rPr>
              <w:drawing>
                <wp:inline distT="0" distB="0" distL="0" distR="0" wp14:anchorId="6557C6C9" wp14:editId="1D816044">
                  <wp:extent cx="139700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000" cy="514350"/>
                          </a:xfrm>
                          <a:prstGeom prst="rect">
                            <a:avLst/>
                          </a:prstGeom>
                          <a:noFill/>
                          <a:ln>
                            <a:noFill/>
                          </a:ln>
                        </pic:spPr>
                      </pic:pic>
                    </a:graphicData>
                  </a:graphic>
                </wp:inline>
              </w:drawing>
            </w:r>
          </w:p>
          <w:p w14:paraId="2CFEB765" w14:textId="77777777" w:rsidR="000E7659" w:rsidRDefault="000E7659" w:rsidP="0039237B">
            <w:pPr>
              <w:pStyle w:val="MSubHeader"/>
              <w:jc w:val="center"/>
            </w:pPr>
          </w:p>
          <w:p w14:paraId="2FA3E8F8" w14:textId="5668E45C" w:rsidR="009C300C" w:rsidRPr="009F305C" w:rsidRDefault="0039237B" w:rsidP="00875AB3">
            <w:pPr>
              <w:pStyle w:val="MText"/>
            </w:pPr>
            <w:r>
              <w:lastRenderedPageBreak/>
              <w:t>Value</w:t>
            </w:r>
            <w:r w:rsidRPr="006F7093">
              <w:t xml:space="preserve"> for Indicator 5.6.2 is calculated as </w:t>
            </w:r>
            <w:r w:rsidRPr="00CA5E67">
              <w:rPr>
                <w:i/>
                <w:iCs/>
              </w:rPr>
              <w:t xml:space="preserve">the arithmetic mean of the </w:t>
            </w:r>
            <w:proofErr w:type="gramStart"/>
            <w:r w:rsidRPr="00CA5E67">
              <w:rPr>
                <w:i/>
                <w:iCs/>
              </w:rPr>
              <w:t>13 component</w:t>
            </w:r>
            <w:proofErr w:type="gramEnd"/>
            <w:r w:rsidRPr="00CA5E67">
              <w:rPr>
                <w:i/>
                <w:iCs/>
              </w:rPr>
              <w:t xml:space="preserve"> </w:t>
            </w:r>
            <w:r>
              <w:rPr>
                <w:i/>
                <w:iCs/>
              </w:rPr>
              <w:t>data</w:t>
            </w:r>
            <w:r w:rsidRPr="006F7093">
              <w:t xml:space="preserve">. Similarly, the </w:t>
            </w:r>
            <w:r>
              <w:t>value</w:t>
            </w:r>
            <w:r w:rsidRPr="006F7093">
              <w:t xml:space="preserve"> for each section is calculated as the arithmetic mean of its constituent component </w:t>
            </w:r>
            <w:r>
              <w:t>data</w:t>
            </w:r>
            <w:r w:rsidRPr="006F7093">
              <w:t xml:space="preserve">.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40A4226B" w14:textId="77777777" w:rsidR="0039237B" w:rsidRPr="006F7093" w:rsidRDefault="0039237B" w:rsidP="0039237B">
            <w:pPr>
              <w:pStyle w:val="MSubHeader"/>
            </w:pPr>
            <w:r w:rsidRPr="006F7093">
              <w:t>Treatment of missing values:</w:t>
            </w:r>
          </w:p>
          <w:p w14:paraId="0A1104F5" w14:textId="77777777" w:rsidR="0039237B" w:rsidRPr="00875AB3" w:rsidRDefault="0039237B" w:rsidP="00875AB3">
            <w:pPr>
              <w:pStyle w:val="MText"/>
              <w:numPr>
                <w:ilvl w:val="0"/>
                <w:numId w:val="29"/>
              </w:numPr>
              <w:rPr>
                <w:b/>
                <w:bCs/>
              </w:rPr>
            </w:pPr>
            <w:r w:rsidRPr="00875AB3">
              <w:rPr>
                <w:b/>
                <w:bCs/>
              </w:rPr>
              <w:t>At country level:</w:t>
            </w:r>
          </w:p>
          <w:p w14:paraId="44DFA933" w14:textId="77777777" w:rsidR="0039237B" w:rsidRPr="006F7093" w:rsidRDefault="0039237B" w:rsidP="0039237B">
            <w:pPr>
              <w:pStyle w:val="MText"/>
            </w:pPr>
            <w:r w:rsidRPr="006F7093">
              <w:t xml:space="preserve">No imputation will be made for a country with missing data.  </w:t>
            </w:r>
          </w:p>
          <w:p w14:paraId="7CC84A02" w14:textId="77777777" w:rsidR="00875AB3" w:rsidRDefault="00875AB3" w:rsidP="00875AB3">
            <w:pPr>
              <w:tabs>
                <w:tab w:val="left" w:pos="7630"/>
              </w:tabs>
              <w:rPr>
                <w:rFonts w:cs="Times New Roman"/>
              </w:rPr>
            </w:pPr>
          </w:p>
          <w:p w14:paraId="48A6C78B" w14:textId="75273925" w:rsidR="0039237B" w:rsidRPr="00875AB3" w:rsidRDefault="0039237B" w:rsidP="00875AB3">
            <w:pPr>
              <w:pStyle w:val="MText"/>
              <w:numPr>
                <w:ilvl w:val="0"/>
                <w:numId w:val="29"/>
              </w:numPr>
              <w:rPr>
                <w:b/>
                <w:bCs/>
              </w:rPr>
            </w:pPr>
            <w:r w:rsidRPr="00875AB3">
              <w:rPr>
                <w:b/>
                <w:bCs/>
              </w:rPr>
              <w:t>At regional and global levels:</w:t>
            </w:r>
          </w:p>
          <w:p w14:paraId="3FD951A2" w14:textId="68676FAF" w:rsidR="009C300C" w:rsidRPr="009F305C" w:rsidRDefault="0039237B" w:rsidP="0039237B">
            <w:pPr>
              <w:pStyle w:val="MText"/>
            </w:pPr>
            <w:r w:rsidRPr="006F7093">
              <w:t xml:space="preserve">No imputation will be made at regional and global levels.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458158CB" w14:textId="77777777" w:rsidR="0039237B" w:rsidRPr="006F7093" w:rsidRDefault="0039237B" w:rsidP="0039237B">
            <w:pPr>
              <w:pStyle w:val="MSubHeader"/>
            </w:pPr>
            <w:r w:rsidRPr="006F7093">
              <w:t>Regional aggregates:</w:t>
            </w:r>
          </w:p>
          <w:p w14:paraId="3D5B0C72" w14:textId="6E250DC8" w:rsidR="009C300C" w:rsidRPr="009F305C" w:rsidRDefault="0039237B" w:rsidP="00875AB3">
            <w:pPr>
              <w:pStyle w:val="MText"/>
            </w:pPr>
            <w:r w:rsidRPr="00875AB3">
              <w:t xml:space="preserve">Global and regional aggregates are computed as unweighted </w:t>
            </w:r>
            <w:r w:rsidR="00875AB3" w:rsidRPr="00875AB3">
              <w:t>a</w:t>
            </w:r>
            <w:r w:rsidRPr="00875AB3">
              <w:t>verages of country-specific data for constituent countries.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1D4586E" w14:textId="77777777" w:rsidR="0039237B" w:rsidRPr="002B6D58" w:rsidRDefault="0039237B" w:rsidP="00875AB3">
            <w:pPr>
              <w:pStyle w:val="MSubHeader"/>
            </w:pPr>
            <w:r w:rsidRPr="002B6D58">
              <w:t>Methods and guidance available to countries for the compilation of the data at the national level:</w:t>
            </w:r>
          </w:p>
          <w:p w14:paraId="0FB501B7" w14:textId="10EFFF5F" w:rsidR="009C300C" w:rsidRPr="006126A9" w:rsidRDefault="0039237B" w:rsidP="00875AB3">
            <w:pPr>
              <w:pStyle w:val="MText"/>
            </w:pPr>
            <w:r>
              <w:t xml:space="preserve">Indicator 5.6.2 is calculated based on official government responses collected through the </w:t>
            </w:r>
            <w:r w:rsidRPr="00EA162A">
              <w:t>United Nations Inquiry among Governments on Population and Development</w:t>
            </w:r>
            <w:r>
              <w:t xml:space="preserve">. </w:t>
            </w:r>
            <w:r w:rsidRPr="00EA162A">
              <w:t>The Inquiry, mandated by the General Assembly in its resolution 1838 (XVII) of 18 December 1962, has been conducted by t</w:t>
            </w:r>
            <w:r>
              <w:t>he Secretary-General</w:t>
            </w:r>
            <w:r w:rsidRPr="00EA162A">
              <w:t xml:space="preserve"> since 1963.</w:t>
            </w:r>
            <w:r>
              <w:t xml:space="preserve"> All questions required for indicator 5.6.2 are integrated into </w:t>
            </w:r>
            <w:r w:rsidRPr="00EA162A">
              <w:t>Module II on fertility, family planning and reproductive health</w:t>
            </w:r>
            <w:r>
              <w:t xml:space="preserve"> of the Inquiry.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01AC27BF" w14:textId="6224ACB0" w:rsidR="0039237B" w:rsidRPr="00875AB3" w:rsidRDefault="0039237B" w:rsidP="00875AB3">
            <w:pPr>
              <w:pStyle w:val="MSubHeader"/>
            </w:pPr>
            <w:r w:rsidRPr="00875AB3">
              <w:t>Quality assurance</w:t>
            </w:r>
            <w:r w:rsidR="00875AB3" w:rsidRPr="00875AB3">
              <w:t>:</w:t>
            </w:r>
          </w:p>
          <w:p w14:paraId="5D471804" w14:textId="41803817" w:rsidR="009C300C" w:rsidRPr="009F305C" w:rsidRDefault="0039237B" w:rsidP="009862DA">
            <w:pPr>
              <w:pStyle w:val="MText"/>
            </w:pPr>
            <w:r w:rsidRPr="00BE4170">
              <w:t>I</w:t>
            </w:r>
            <w:r w:rsidRPr="00FD29F7">
              <w:t xml:space="preserve">ndicator 5.6.2 relies on official </w:t>
            </w:r>
            <w:r w:rsidRPr="00BE4170">
              <w:t>responses</w:t>
            </w:r>
            <w:r w:rsidRPr="00FD29F7">
              <w:t xml:space="preserve"> provided by national governments</w:t>
            </w:r>
            <w:r w:rsidRPr="00BE4170">
              <w:t xml:space="preserve">. UNFPA may follow-up with national governments and request further information if the responses differ from </w:t>
            </w:r>
            <w:r w:rsidRPr="00FD29F7">
              <w:t xml:space="preserve">country specific information on legal and regulatory developments on issues pertaining to </w:t>
            </w:r>
            <w:r w:rsidRPr="00893C1C">
              <w:t>respective mandates</w:t>
            </w:r>
            <w:r>
              <w:t xml:space="preserve"> of</w:t>
            </w:r>
            <w:r w:rsidRPr="00893C1C">
              <w:t xml:space="preserve"> </w:t>
            </w:r>
            <w:r w:rsidRPr="00BE4170">
              <w:t>key stakeholders</w:t>
            </w:r>
            <w:r w:rsidRPr="00FD29F7">
              <w:t xml:space="preserve"> including UN Country teams and UN agencies. </w:t>
            </w:r>
            <w:r w:rsidRPr="00BE4170">
              <w:t xml:space="preserve">UNFPA </w:t>
            </w:r>
            <w:r>
              <w:t xml:space="preserve">also </w:t>
            </w:r>
            <w:r w:rsidRPr="00BE4170">
              <w:t xml:space="preserve">encourages </w:t>
            </w:r>
            <w:r w:rsidRPr="00FD29F7">
              <w:t>each country</w:t>
            </w:r>
            <w:r>
              <w:t xml:space="preserve"> to</w:t>
            </w:r>
            <w:r w:rsidRPr="00FD29F7">
              <w:t xml:space="preserve"> </w:t>
            </w:r>
            <w:r>
              <w:t>establish</w:t>
            </w:r>
            <w:r w:rsidRPr="00FD29F7">
              <w:t xml:space="preserve"> a national validation committee </w:t>
            </w:r>
            <w:r>
              <w:t xml:space="preserve">to </w:t>
            </w:r>
            <w:r w:rsidRPr="00FD29F7">
              <w:t xml:space="preserve">review and validate all input from the </w:t>
            </w:r>
            <w:r>
              <w:t>Inquiry</w:t>
            </w:r>
            <w:r w:rsidRPr="00FD29F7">
              <w:t xml:space="preserve">.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53724A6" w14:textId="3B237A23" w:rsidR="0039237B" w:rsidRPr="00573631" w:rsidRDefault="0039237B" w:rsidP="00875AB3">
            <w:pPr>
              <w:pStyle w:val="MHeader"/>
            </w:pPr>
            <w:r w:rsidRPr="00573631">
              <w:t xml:space="preserve">Data </w:t>
            </w:r>
            <w:r w:rsidR="00875AB3">
              <w:t>a</w:t>
            </w:r>
            <w:r w:rsidRPr="00573631">
              <w:t>vailability</w:t>
            </w:r>
          </w:p>
          <w:p w14:paraId="49A165DE" w14:textId="77777777" w:rsidR="0039237B" w:rsidRDefault="0039237B" w:rsidP="00875AB3">
            <w:pPr>
              <w:pStyle w:val="MText"/>
            </w:pPr>
            <w:r>
              <w:lastRenderedPageBreak/>
              <w:t xml:space="preserve">107 countries have complete or partial data for indicator 5.6.2, covering 75 percent of the world’s population. A total of 75 countries have complete data, allowing calculation of data for indicator 5.6.2. </w:t>
            </w:r>
          </w:p>
          <w:p w14:paraId="4FCDBEDA" w14:textId="77777777" w:rsidR="0039237B" w:rsidRPr="006F7093" w:rsidRDefault="0039237B" w:rsidP="0039237B">
            <w:pPr>
              <w:rPr>
                <w:rFonts w:cs="Times New Roman"/>
              </w:rPr>
            </w:pPr>
          </w:p>
          <w:p w14:paraId="231F9CCB" w14:textId="77777777" w:rsidR="0039237B" w:rsidRPr="00573631" w:rsidRDefault="0039237B" w:rsidP="00875AB3">
            <w:pPr>
              <w:pStyle w:val="MSubHeader"/>
            </w:pPr>
            <w:r w:rsidRPr="00573631">
              <w:t>Time series:</w:t>
            </w:r>
          </w:p>
          <w:p w14:paraId="0ECEEB4B" w14:textId="77777777" w:rsidR="0039237B" w:rsidRPr="00875AB3" w:rsidRDefault="0039237B" w:rsidP="00875AB3">
            <w:pPr>
              <w:pStyle w:val="MText"/>
            </w:pPr>
            <w:r w:rsidRPr="00875AB3">
              <w:t>Not applicable</w:t>
            </w:r>
          </w:p>
          <w:p w14:paraId="021CC9C8" w14:textId="77777777" w:rsidR="00010E42" w:rsidRDefault="00010E42" w:rsidP="00010E42">
            <w:pPr>
              <w:pStyle w:val="MText"/>
            </w:pPr>
          </w:p>
          <w:p w14:paraId="2575AE23" w14:textId="77777777" w:rsidR="0039237B" w:rsidRPr="00875AB3" w:rsidRDefault="0039237B" w:rsidP="00875AB3">
            <w:pPr>
              <w:pStyle w:val="MSubHeader"/>
            </w:pPr>
            <w:r w:rsidRPr="00875AB3">
              <w:t>Disaggregation:</w:t>
            </w:r>
          </w:p>
          <w:p w14:paraId="19A064E0" w14:textId="256FDD5F" w:rsidR="0039237B" w:rsidRPr="009F305C" w:rsidRDefault="0039237B" w:rsidP="00875AB3">
            <w:pPr>
              <w:pStyle w:val="MText"/>
            </w:pPr>
            <w:r w:rsidRPr="006F7093">
              <w:t>Data will be disaggregated by section</w:t>
            </w:r>
            <w:r>
              <w:t xml:space="preserve"> and component</w:t>
            </w:r>
            <w:r w:rsidRPr="006F7093">
              <w:t xml:space="preserve">.  This will enable countries to identify the particular areas of sexual and reproductive health care, information and education in which progress is required.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295804FF" w14:textId="77777777" w:rsidR="0039237B" w:rsidRPr="002B6D58" w:rsidRDefault="0039237B" w:rsidP="0039237B">
            <w:pPr>
              <w:pStyle w:val="MSubHeader"/>
            </w:pPr>
            <w:r w:rsidRPr="002B6D58">
              <w:t>Sources of discrepancies:</w:t>
            </w:r>
          </w:p>
          <w:p w14:paraId="1002F624" w14:textId="0A14F42D" w:rsidR="009C300C" w:rsidRPr="009F305C" w:rsidRDefault="0039237B" w:rsidP="00875AB3">
            <w:pPr>
              <w:pStyle w:val="MText"/>
            </w:pPr>
            <w:r w:rsidRPr="00875AB3">
              <w:t xml:space="preserve">Not applicable, as indicator 5.6.2 relies on official data provided by national governments, and no estimation is produced at the international level.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008E42AE" w14:textId="77777777" w:rsidR="0039237B" w:rsidRPr="00573631" w:rsidRDefault="0039237B" w:rsidP="00875AB3">
            <w:pPr>
              <w:pStyle w:val="MHeader"/>
            </w:pPr>
            <w:r w:rsidRPr="00573631">
              <w:t>References</w:t>
            </w:r>
          </w:p>
          <w:p w14:paraId="38BF89A0" w14:textId="6EC3CE6F" w:rsidR="009C300C" w:rsidRPr="009F305C" w:rsidRDefault="009C300C" w:rsidP="00E06BAD">
            <w:pPr>
              <w:pStyle w:val="MText"/>
            </w:pP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B3660" w14:textId="77777777" w:rsidR="00BD0A82" w:rsidRDefault="00BD0A82" w:rsidP="00BD0A82">
      <w:pPr>
        <w:spacing w:line="240" w:lineRule="auto"/>
      </w:pPr>
      <w:r>
        <w:separator/>
      </w:r>
    </w:p>
  </w:endnote>
  <w:endnote w:type="continuationSeparator" w:id="0">
    <w:p w14:paraId="4B0DE631" w14:textId="77777777" w:rsidR="00BD0A82" w:rsidRDefault="00BD0A82" w:rsidP="00BD0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29A05" w14:textId="77777777" w:rsidR="00BD0A82" w:rsidRDefault="00BD0A82" w:rsidP="00BD0A82">
      <w:pPr>
        <w:spacing w:line="240" w:lineRule="auto"/>
      </w:pPr>
      <w:r>
        <w:separator/>
      </w:r>
    </w:p>
  </w:footnote>
  <w:footnote w:type="continuationSeparator" w:id="0">
    <w:p w14:paraId="6C81B3D1" w14:textId="77777777" w:rsidR="00BD0A82" w:rsidRDefault="00BD0A82" w:rsidP="00BD0A82">
      <w:pPr>
        <w:spacing w:line="240" w:lineRule="auto"/>
      </w:pPr>
      <w:r>
        <w:continuationSeparator/>
      </w:r>
    </w:p>
  </w:footnote>
  <w:footnote w:id="1">
    <w:p w14:paraId="1B03EA41" w14:textId="77777777" w:rsidR="00BD0A82" w:rsidRPr="004538BC" w:rsidRDefault="00BD0A82" w:rsidP="00BD0A82">
      <w:pPr>
        <w:pStyle w:val="FootnoteText"/>
        <w:rPr>
          <w:lang w:val="en-US"/>
        </w:rPr>
      </w:pPr>
      <w:r>
        <w:rPr>
          <w:rStyle w:val="FootnoteReference"/>
        </w:rPr>
        <w:footnoteRef/>
      </w:r>
      <w:r>
        <w:t xml:space="preserve"> </w:t>
      </w:r>
      <w:r w:rsidRPr="001E59A8">
        <w:rPr>
          <w:rFonts w:cstheme="minorHAnsi"/>
        </w:rPr>
        <w:t>United Nations</w:t>
      </w:r>
      <w:r>
        <w:rPr>
          <w:rFonts w:cstheme="minorHAnsi"/>
        </w:rPr>
        <w:t xml:space="preserve"> (1994)</w:t>
      </w:r>
      <w:r w:rsidRPr="001E59A8">
        <w:rPr>
          <w:rFonts w:cstheme="minorHAnsi"/>
        </w:rPr>
        <w:t xml:space="preserve"> International Conference on Population and Development: Programm</w:t>
      </w:r>
      <w:r>
        <w:rPr>
          <w:rFonts w:cstheme="minorHAnsi"/>
        </w:rPr>
        <w:t>e of Action. Cairo, Egypt.</w:t>
      </w:r>
    </w:p>
  </w:footnote>
  <w:footnote w:id="2">
    <w:p w14:paraId="003E8227" w14:textId="77777777" w:rsidR="00BD0A82" w:rsidRPr="00182760" w:rsidRDefault="00BD0A82" w:rsidP="00BD0A82">
      <w:pPr>
        <w:pStyle w:val="FootnoteText"/>
        <w:rPr>
          <w:lang w:val="en-US"/>
        </w:rPr>
      </w:pPr>
      <w:r>
        <w:rPr>
          <w:rStyle w:val="FootnoteReference"/>
        </w:rPr>
        <w:footnoteRef/>
      </w:r>
      <w:r>
        <w:t xml:space="preserve"> </w:t>
      </w:r>
      <w:r w:rsidRPr="001E59A8">
        <w:rPr>
          <w:rFonts w:cstheme="minorHAnsi"/>
        </w:rPr>
        <w:t>United Nations</w:t>
      </w:r>
      <w:r>
        <w:rPr>
          <w:rFonts w:cstheme="minorHAnsi"/>
        </w:rPr>
        <w:t xml:space="preserve"> (1995)</w:t>
      </w:r>
      <w:r w:rsidRPr="001E59A8">
        <w:rPr>
          <w:rFonts w:cstheme="minorHAnsi"/>
        </w:rPr>
        <w:t xml:space="preserve"> Fourth World Conference on Women: Progra</w:t>
      </w:r>
      <w:r>
        <w:rPr>
          <w:rFonts w:cstheme="minorHAnsi"/>
        </w:rPr>
        <w:t>mme of Action. Beijing, China.</w:t>
      </w:r>
    </w:p>
  </w:footnote>
  <w:footnote w:id="3">
    <w:p w14:paraId="7913D108" w14:textId="77777777" w:rsidR="00BD0A82" w:rsidRPr="007C0259" w:rsidRDefault="00BD0A82" w:rsidP="00BD0A82">
      <w:pPr>
        <w:pStyle w:val="FootnoteText"/>
        <w:rPr>
          <w:lang w:val="en-US"/>
        </w:rPr>
      </w:pPr>
      <w:r>
        <w:rPr>
          <w:rStyle w:val="FootnoteReference"/>
        </w:rPr>
        <w:footnoteRef/>
      </w:r>
      <w:r>
        <w:t xml:space="preserve"> CEDAW General Recommendation no. 24. Accessed online 24 May 2018: </w:t>
      </w:r>
      <w:hyperlink r:id="rId1" w:history="1">
        <w:r w:rsidRPr="00EB464E">
          <w:rPr>
            <w:rStyle w:val="Hyperlink"/>
          </w:rPr>
          <w:t>http://www.refworld.org/docid/453882a73.html</w:t>
        </w:r>
      </w:hyperlink>
      <w:r>
        <w:t xml:space="preserve">; </w:t>
      </w:r>
      <w:r w:rsidRPr="00FA3BD1">
        <w:rPr>
          <w:rFonts w:eastAsia="Times New Roman" w:cs="Times New Roman"/>
          <w:lang w:eastAsia="en-GB"/>
        </w:rPr>
        <w:t xml:space="preserve">CEDAW General Comment no. 35 (2017). </w:t>
      </w:r>
      <w:r w:rsidRPr="00FA3BD1">
        <w:rPr>
          <w:lang w:val="en-US"/>
        </w:rPr>
        <w:t>Accessed online 23</w:t>
      </w:r>
      <w:r w:rsidRPr="00FA3BD1">
        <w:rPr>
          <w:vertAlign w:val="superscript"/>
          <w:lang w:val="en-US"/>
        </w:rPr>
        <w:t xml:space="preserve"> </w:t>
      </w:r>
      <w:r w:rsidRPr="00FA3BD1">
        <w:rPr>
          <w:lang w:val="en-US"/>
        </w:rPr>
        <w:t>May 2018</w:t>
      </w:r>
      <w:r w:rsidRPr="00FA3BD1">
        <w:rPr>
          <w:rFonts w:eastAsia="Times New Roman" w:cs="Times New Roman"/>
          <w:lang w:eastAsia="en-GB"/>
        </w:rPr>
        <w:t>:</w:t>
      </w:r>
      <w:r>
        <w:rPr>
          <w:rFonts w:eastAsia="Times New Roman" w:cs="Times New Roman"/>
          <w:sz w:val="21"/>
          <w:szCs w:val="21"/>
          <w:lang w:eastAsia="en-GB"/>
        </w:rPr>
        <w:t xml:space="preserve"> </w:t>
      </w:r>
      <w:hyperlink r:id="rId2" w:history="1">
        <w:r w:rsidRPr="00EB464E">
          <w:rPr>
            <w:rStyle w:val="Hyperlink"/>
          </w:rPr>
          <w:t>http://tbinternet.ohchr.org/Treaties/CEDAW/Shared%20Documents/1_Global/CEDAW_C_GC_35_8267_E.pdf</w:t>
        </w:r>
      </w:hyperlink>
      <w:r>
        <w:rPr>
          <w:rFonts w:eastAsia="Times New Roman" w:cs="Times New Roman"/>
          <w:sz w:val="21"/>
          <w:szCs w:val="21"/>
          <w:lang w:eastAsia="en-GB"/>
        </w:rPr>
        <w:t xml:space="preserve">; </w:t>
      </w:r>
      <w:r w:rsidRPr="00FA3BD1">
        <w:rPr>
          <w:rFonts w:eastAsia="Times New Roman" w:cs="Times New Roman"/>
          <w:lang w:eastAsia="en-GB"/>
        </w:rPr>
        <w:t xml:space="preserve">CESCR General Comment no. 14. Accessed online 23 May 2018: </w:t>
      </w:r>
      <w:hyperlink r:id="rId3" w:history="1">
        <w:r w:rsidRPr="00EB464E">
          <w:rPr>
            <w:rStyle w:val="Hyperlink"/>
          </w:rPr>
          <w:t>http://www.refworld.org/pdfid/4538838d0.pdf</w:t>
        </w:r>
      </w:hyperlink>
      <w:r>
        <w:rPr>
          <w:rFonts w:eastAsia="Times New Roman" w:cs="Times New Roman"/>
          <w:sz w:val="21"/>
          <w:szCs w:val="21"/>
          <w:lang w:eastAsia="en-GB"/>
        </w:rPr>
        <w:t xml:space="preserve">; </w:t>
      </w:r>
      <w:r w:rsidRPr="00FA3BD1">
        <w:rPr>
          <w:rFonts w:eastAsia="Times New Roman" w:cs="Times New Roman"/>
          <w:lang w:eastAsia="en-GB"/>
        </w:rPr>
        <w:t xml:space="preserve">CESCR General Comment no. 20. Accessed 24 May 2018: </w:t>
      </w:r>
      <w:hyperlink r:id="rId4" w:history="1">
        <w:r w:rsidRPr="00FA3BD1">
          <w:rPr>
            <w:rStyle w:val="Hyperlink"/>
          </w:rPr>
          <w:t>http://www.refworld.org/docid/4a60961f2.html</w:t>
        </w:r>
      </w:hyperlink>
      <w:r w:rsidRPr="00FA3BD1">
        <w:rPr>
          <w:rFonts w:eastAsia="Times New Roman" w:cs="Times New Roman"/>
          <w:lang w:eastAsia="en-GB"/>
        </w:rPr>
        <w:t xml:space="preserve">; </w:t>
      </w:r>
      <w:hyperlink r:id="rId5" w:anchor="_ftn44" w:tgtFrame="_blank" w:history="1">
        <w:r w:rsidRPr="00FA3BD1">
          <w:t>C</w:t>
        </w:r>
      </w:hyperlink>
      <w:r w:rsidRPr="00FA3BD1">
        <w:rPr>
          <w:rFonts w:eastAsia="Times New Roman" w:cs="Times New Roman"/>
          <w:lang w:eastAsia="en-GB"/>
        </w:rPr>
        <w:t xml:space="preserve">ESCR General Comment no. 22. </w:t>
      </w:r>
      <w:r w:rsidRPr="00FA3BD1">
        <w:rPr>
          <w:lang w:val="en-US"/>
        </w:rPr>
        <w:t>Accessed online 23</w:t>
      </w:r>
      <w:r w:rsidRPr="00FA3BD1">
        <w:rPr>
          <w:vertAlign w:val="superscript"/>
          <w:lang w:val="en-US"/>
        </w:rPr>
        <w:t xml:space="preserve"> </w:t>
      </w:r>
      <w:r w:rsidRPr="00FA3BD1">
        <w:rPr>
          <w:lang w:val="en-US"/>
        </w:rPr>
        <w:t>May 2018</w:t>
      </w:r>
      <w:r w:rsidRPr="00FA3BD1">
        <w:rPr>
          <w:rFonts w:eastAsia="Times New Roman" w:cs="Times New Roman"/>
          <w:lang w:eastAsia="en-GB"/>
        </w:rPr>
        <w:t xml:space="preserve">: </w:t>
      </w:r>
      <w:hyperlink r:id="rId6" w:history="1">
        <w:r w:rsidRPr="00FA3BD1">
          <w:rPr>
            <w:rStyle w:val="Hyperlink"/>
          </w:rPr>
          <w:t>https://www.escr-net.org/resources/general-comment-no-22-2016-right-sexual-and-reproductive-health</w:t>
        </w:r>
      </w:hyperlink>
      <w:r w:rsidRPr="00FA3BD1">
        <w:rPr>
          <w:rFonts w:eastAsia="Times New Roman" w:cs="Times New Roman"/>
          <w:lang w:eastAsia="en-GB"/>
        </w:rPr>
        <w:t xml:space="preserve">; CRC General Comment No. 15. Accessed 24 May 2018: </w:t>
      </w:r>
      <w:hyperlink r:id="rId7" w:history="1">
        <w:r w:rsidRPr="00FA3BD1">
          <w:rPr>
            <w:rStyle w:val="Hyperlink"/>
          </w:rPr>
          <w:t>http://www.refworld.org/docid/51ef9e134.html</w:t>
        </w:r>
      </w:hyperlink>
      <w:r w:rsidRPr="00FA3BD1">
        <w:rPr>
          <w:rFonts w:eastAsia="Times New Roman" w:cs="Times New Roman"/>
          <w:lang w:eastAsia="en-GB"/>
        </w:rPr>
        <w:t xml:space="preserve">; CRPD Articles 23 and 25. Accessed online 24 May 2018: </w:t>
      </w:r>
      <w:hyperlink r:id="rId8" w:history="1">
        <w:r w:rsidRPr="00FA3BD1">
          <w:rPr>
            <w:rStyle w:val="Hyperlink"/>
          </w:rPr>
          <w:t>https://www.un.org/development/desa/disabilities/convention-on-the-rights-of-persons-with-disabilities/convention-on-the-rights-of-persons-with-disabilities-2.html</w:t>
        </w:r>
      </w:hyperlink>
      <w:r w:rsidRPr="00FA3BD1">
        <w:rPr>
          <w:rFonts w:eastAsia="Times New Roman" w:cs="Times New Roman"/>
          <w:lang w:eastAsia="en-GB"/>
        </w:rPr>
        <w:t>.</w:t>
      </w:r>
      <w:r>
        <w:rPr>
          <w:rFonts w:eastAsia="Times New Roman" w:cs="Times New Roman"/>
          <w:sz w:val="21"/>
          <w:szCs w:val="21"/>
          <w:lang w:eastAsia="en-GB"/>
        </w:rPr>
        <w:t xml:space="preserve"> </w:t>
      </w:r>
      <w:r>
        <w:rPr>
          <w:lang w:val="en-US"/>
        </w:rPr>
        <w:t xml:space="preserve"> </w:t>
      </w:r>
    </w:p>
  </w:footnote>
  <w:footnote w:id="4">
    <w:p w14:paraId="084708F6" w14:textId="77777777" w:rsidR="00BD0A82" w:rsidRPr="00613ABC" w:rsidRDefault="00BD0A82" w:rsidP="00BD0A82">
      <w:pPr>
        <w:pStyle w:val="FootnoteText"/>
        <w:rPr>
          <w:lang w:val="en-US"/>
        </w:rPr>
      </w:pPr>
      <w:r>
        <w:rPr>
          <w:rStyle w:val="FootnoteReference"/>
        </w:rPr>
        <w:footnoteRef/>
      </w:r>
      <w:r>
        <w:t xml:space="preserve"> </w:t>
      </w:r>
      <w:r w:rsidRPr="004B7288">
        <w:rPr>
          <w:rFonts w:ascii="Calibri" w:hAnsi="Calibri" w:cs="Calibri"/>
          <w:color w:val="000000" w:themeColor="text1"/>
          <w:kern w:val="24"/>
        </w:rPr>
        <w:t xml:space="preserve">Legal barriers are not deemed applicable for the two operational components: C2: life-saving commodities and C9: CSE curriculum.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56B1E"/>
    <w:multiLevelType w:val="hybridMultilevel"/>
    <w:tmpl w:val="B1B63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2"/>
  </w:num>
  <w:num w:numId="5">
    <w:abstractNumId w:val="25"/>
  </w:num>
  <w:num w:numId="6">
    <w:abstractNumId w:val="3"/>
  </w:num>
  <w:num w:numId="7">
    <w:abstractNumId w:val="2"/>
  </w:num>
  <w:num w:numId="8">
    <w:abstractNumId w:val="21"/>
  </w:num>
  <w:num w:numId="9">
    <w:abstractNumId w:val="5"/>
  </w:num>
  <w:num w:numId="10">
    <w:abstractNumId w:val="26"/>
  </w:num>
  <w:num w:numId="11">
    <w:abstractNumId w:val="15"/>
  </w:num>
  <w:num w:numId="12">
    <w:abstractNumId w:val="9"/>
  </w:num>
  <w:num w:numId="13">
    <w:abstractNumId w:val="27"/>
  </w:num>
  <w:num w:numId="14">
    <w:abstractNumId w:val="0"/>
  </w:num>
  <w:num w:numId="15">
    <w:abstractNumId w:val="11"/>
  </w:num>
  <w:num w:numId="16">
    <w:abstractNumId w:val="19"/>
  </w:num>
  <w:num w:numId="17">
    <w:abstractNumId w:val="22"/>
  </w:num>
  <w:num w:numId="18">
    <w:abstractNumId w:val="14"/>
  </w:num>
  <w:num w:numId="19">
    <w:abstractNumId w:val="23"/>
  </w:num>
  <w:num w:numId="20">
    <w:abstractNumId w:val="28"/>
  </w:num>
  <w:num w:numId="21">
    <w:abstractNumId w:val="10"/>
  </w:num>
  <w:num w:numId="22">
    <w:abstractNumId w:val="13"/>
  </w:num>
  <w:num w:numId="23">
    <w:abstractNumId w:val="8"/>
  </w:num>
  <w:num w:numId="24">
    <w:abstractNumId w:val="16"/>
  </w:num>
  <w:num w:numId="25">
    <w:abstractNumId w:val="7"/>
  </w:num>
  <w:num w:numId="26">
    <w:abstractNumId w:val="24"/>
  </w:num>
  <w:num w:numId="27">
    <w:abstractNumId w:val="4"/>
  </w:num>
  <w:num w:numId="28">
    <w:abstractNumId w:val="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5532F"/>
    <w:rsid w:val="00072FC0"/>
    <w:rsid w:val="000A1682"/>
    <w:rsid w:val="000E7659"/>
    <w:rsid w:val="001A2A7E"/>
    <w:rsid w:val="0020364C"/>
    <w:rsid w:val="0020532C"/>
    <w:rsid w:val="0023460C"/>
    <w:rsid w:val="00246C95"/>
    <w:rsid w:val="002E5C95"/>
    <w:rsid w:val="0034737E"/>
    <w:rsid w:val="00355B4E"/>
    <w:rsid w:val="0039237B"/>
    <w:rsid w:val="003C163D"/>
    <w:rsid w:val="00416A79"/>
    <w:rsid w:val="004614FB"/>
    <w:rsid w:val="00473168"/>
    <w:rsid w:val="004D11AE"/>
    <w:rsid w:val="004E6A35"/>
    <w:rsid w:val="00513CD4"/>
    <w:rsid w:val="00583CC6"/>
    <w:rsid w:val="00587481"/>
    <w:rsid w:val="005E1F5E"/>
    <w:rsid w:val="005E6457"/>
    <w:rsid w:val="006126A9"/>
    <w:rsid w:val="00633333"/>
    <w:rsid w:val="006445B3"/>
    <w:rsid w:val="00656B67"/>
    <w:rsid w:val="006751ED"/>
    <w:rsid w:val="00712078"/>
    <w:rsid w:val="007311C2"/>
    <w:rsid w:val="00791AA9"/>
    <w:rsid w:val="00803258"/>
    <w:rsid w:val="0084012F"/>
    <w:rsid w:val="00856714"/>
    <w:rsid w:val="00870DFF"/>
    <w:rsid w:val="00875AB3"/>
    <w:rsid w:val="008D1210"/>
    <w:rsid w:val="00937F08"/>
    <w:rsid w:val="00975E06"/>
    <w:rsid w:val="00984D84"/>
    <w:rsid w:val="009862DA"/>
    <w:rsid w:val="009B768A"/>
    <w:rsid w:val="009C300C"/>
    <w:rsid w:val="009F157A"/>
    <w:rsid w:val="00A10855"/>
    <w:rsid w:val="00A13F90"/>
    <w:rsid w:val="00A1738D"/>
    <w:rsid w:val="00A66924"/>
    <w:rsid w:val="00A71707"/>
    <w:rsid w:val="00BA6FEF"/>
    <w:rsid w:val="00BB1074"/>
    <w:rsid w:val="00BC2F94"/>
    <w:rsid w:val="00BD0A82"/>
    <w:rsid w:val="00BD17B1"/>
    <w:rsid w:val="00BE2604"/>
    <w:rsid w:val="00BE72CB"/>
    <w:rsid w:val="00C0524B"/>
    <w:rsid w:val="00C25BBC"/>
    <w:rsid w:val="00CA0300"/>
    <w:rsid w:val="00CB32D9"/>
    <w:rsid w:val="00CF0023"/>
    <w:rsid w:val="00D22B94"/>
    <w:rsid w:val="00D7322D"/>
    <w:rsid w:val="00D976E4"/>
    <w:rsid w:val="00DD2A65"/>
    <w:rsid w:val="00DE2E54"/>
    <w:rsid w:val="00E06BAD"/>
    <w:rsid w:val="00E62D18"/>
    <w:rsid w:val="00E85E03"/>
    <w:rsid w:val="00E9649D"/>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3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0A82"/>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basedOn w:val="DefaultParagraphFont"/>
    <w:link w:val="FootnoteText"/>
    <w:uiPriority w:val="99"/>
    <w:semiHidden/>
    <w:rsid w:val="00BD0A82"/>
    <w:rPr>
      <w:rFonts w:eastAsiaTheme="minorEastAsia"/>
      <w:sz w:val="20"/>
      <w:szCs w:val="20"/>
      <w:lang w:val="en-GB" w:eastAsia="zh-CN"/>
    </w:rPr>
  </w:style>
  <w:style w:type="character" w:styleId="FootnoteReference">
    <w:name w:val="footnote reference"/>
    <w:basedOn w:val="DefaultParagraphFont"/>
    <w:uiPriority w:val="99"/>
    <w:semiHidden/>
    <w:unhideWhenUsed/>
    <w:rsid w:val="00BD0A82"/>
    <w:rPr>
      <w:vertAlign w:val="superscript"/>
    </w:rPr>
  </w:style>
  <w:style w:type="paragraph" w:styleId="NormalWeb">
    <w:name w:val="Normal (Web)"/>
    <w:basedOn w:val="Normal"/>
    <w:uiPriority w:val="99"/>
    <w:unhideWhenUsed/>
    <w:rsid w:val="0039237B"/>
    <w:pPr>
      <w:shd w:val="clear" w:color="auto" w:fill="auto"/>
      <w:spacing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un.org/development/desa/disabilities/convention-on-the-rights-of-persons-with-disabilities/convention-on-the-rights-of-persons-with-disabilities-2.html" TargetMode="External"/><Relationship Id="rId3" Type="http://schemas.openxmlformats.org/officeDocument/2006/relationships/hyperlink" Target="http://www.refworld.org/pdfid/4538838d0.pdf" TargetMode="External"/><Relationship Id="rId7" Type="http://schemas.openxmlformats.org/officeDocument/2006/relationships/hyperlink" Target="http://www.refworld.org/docid/51ef9e134.html" TargetMode="External"/><Relationship Id="rId2" Type="http://schemas.openxmlformats.org/officeDocument/2006/relationships/hyperlink" Target="http://tbinternet.ohchr.org/Treaties/CEDAW/Shared%20Documents/1_Global/CEDAW_C_GC_35_8267_E.pdf" TargetMode="External"/><Relationship Id="rId1" Type="http://schemas.openxmlformats.org/officeDocument/2006/relationships/hyperlink" Target="http://www.refworld.org/docid/453882a73.html" TargetMode="External"/><Relationship Id="rId6" Type="http://schemas.openxmlformats.org/officeDocument/2006/relationships/hyperlink" Target="https://www.escr-net.org/resources/general-comment-no-22-2016-right-sexual-and-reproductive-health" TargetMode="External"/><Relationship Id="rId5" Type="http://schemas.openxmlformats.org/officeDocument/2006/relationships/hyperlink" Target="https://www.escr-net.org/resources/general-comment-no-22-2016-right-sexual-and-reproductive-health" TargetMode="External"/><Relationship Id="rId4" Type="http://schemas.openxmlformats.org/officeDocument/2006/relationships/hyperlink" Target="http://www.refworld.org/docid/4a60961f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10</cp:revision>
  <dcterms:created xsi:type="dcterms:W3CDTF">2020-09-08T19:09:00Z</dcterms:created>
  <dcterms:modified xsi:type="dcterms:W3CDTF">2020-09-08T21:03:00Z</dcterms:modified>
</cp:coreProperties>
</file>