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77777777" w:rsidR="00372680" w:rsidRPr="006D23F0" w:rsidRDefault="0037268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CEC906D" w:rsidR="00A36E8B" w:rsidRPr="00B210BD" w:rsidRDefault="008E43ED" w:rsidP="00D8115A">
            <w:pPr>
              <w:pStyle w:val="MText"/>
            </w:pPr>
            <w:r>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EFCB5B8" w:rsidR="00A36E8B" w:rsidRPr="00B210BD" w:rsidRDefault="00B210BD" w:rsidP="00D8115A">
            <w:pPr>
              <w:pStyle w:val="MText"/>
            </w:pPr>
            <w:r>
              <w:t>Target 10.6: Ensure enhanced representation and voice for developing countries in decision-making in global international economic and financial institutions in order to deliver more effective, credible, accountable and legitimate institutions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8A0102E" w:rsidR="00A36E8B" w:rsidRPr="00B210BD" w:rsidRDefault="00B210BD" w:rsidP="00D8115A">
            <w:pPr>
              <w:pStyle w:val="MIndHeader"/>
            </w:pPr>
            <w:bookmarkStart w:id="6" w:name="_Toc455213233"/>
            <w:r>
              <w:t>Indicator 10.6.1: Proportion of members and voting rights of developing countries in international organizations</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9E1FDF6" w:rsidR="00A36E8B" w:rsidRPr="000830C2" w:rsidRDefault="000830C2" w:rsidP="000830C2">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431FA190" w14:textId="4EAE1DAF" w:rsidR="00D8115A" w:rsidRPr="00D8115A" w:rsidRDefault="00D8115A" w:rsidP="00D8115A">
            <w:pPr>
              <w:pStyle w:val="MHeader"/>
            </w:pPr>
            <w:r w:rsidRPr="00D8115A">
              <w:t>Related indicators</w:t>
            </w:r>
          </w:p>
          <w:p w14:paraId="623BAD4B" w14:textId="2E63BB92" w:rsidR="00A36E8B" w:rsidRPr="008F179C" w:rsidRDefault="0030666F" w:rsidP="00D8115A">
            <w:pPr>
              <w:pStyle w:val="MText"/>
            </w:pPr>
            <w:r>
              <w:t>16.8.1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60E98CF" w14:textId="77777777" w:rsidR="00F97BEE" w:rsidRDefault="00F97BEE" w:rsidP="00D8115A">
            <w:pPr>
              <w:pStyle w:val="MHeader"/>
            </w:pPr>
            <w:r>
              <w:t>Institutional information</w:t>
            </w:r>
          </w:p>
          <w:p w14:paraId="4D8363C5" w14:textId="77777777" w:rsidR="00F97BEE" w:rsidRDefault="00F97BEE" w:rsidP="00D8115A">
            <w:pPr>
              <w:pStyle w:val="MSubHeader"/>
            </w:pPr>
            <w:r>
              <w:t>Organization(s):</w:t>
            </w:r>
          </w:p>
          <w:p w14:paraId="3E0416B7" w14:textId="1BEC40A6" w:rsidR="00A36E8B" w:rsidRPr="00F97BEE" w:rsidRDefault="00F97BEE" w:rsidP="00D8115A">
            <w:pPr>
              <w:pStyle w:val="MText"/>
            </w:pPr>
            <w:r>
              <w:t>Financing for Development Office, DESA (FFDO)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30" w:name="_Toc36655609"/>
            <w:bookmarkStart w:id="31" w:name="_Toc36812572"/>
            <w:bookmarkStart w:id="32" w:name="_Toc36812685"/>
            <w:bookmarkStart w:id="33" w:name="_Toc36813072"/>
            <w:r w:rsidRPr="000149A9">
              <w:lastRenderedPageBreak/>
              <w:t>1. Data reporter</w:t>
            </w:r>
            <w:bookmarkEnd w:id="30"/>
            <w:bookmarkEnd w:id="31"/>
            <w:bookmarkEnd w:id="32"/>
            <w:bookmarkEnd w:id="33"/>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4" w:name="_Toc36655610"/>
            <w:bookmarkStart w:id="35" w:name="_Toc36812573"/>
            <w:bookmarkStart w:id="36" w:name="_Toc36812686"/>
            <w:bookmarkStart w:id="37" w:name="_Toc36813073"/>
            <w:r w:rsidRPr="000149A9">
              <w:t>2. Definition, concepts, and classifications</w:t>
            </w:r>
            <w:bookmarkEnd w:id="34"/>
            <w:bookmarkEnd w:id="35"/>
            <w:bookmarkEnd w:id="36"/>
            <w:bookmarkEnd w:id="37"/>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lastRenderedPageBreak/>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8" w:name="_Toc36636923"/>
            <w:bookmarkStart w:id="39" w:name="_Toc36655611"/>
            <w:bookmarkStart w:id="40" w:name="_Toc36812574"/>
            <w:bookmarkStart w:id="41" w:name="_Toc36812687"/>
            <w:bookmarkStart w:id="42" w:name="_Toc36813074"/>
            <w:r w:rsidRPr="000149A9">
              <w:t>3</w:t>
            </w:r>
            <w:r w:rsidR="004C665C" w:rsidRPr="000149A9">
              <w:t>. Data source type and data collection method</w:t>
            </w:r>
            <w:bookmarkEnd w:id="38"/>
            <w:bookmarkEnd w:id="39"/>
            <w:bookmarkEnd w:id="40"/>
            <w:bookmarkEnd w:id="41"/>
            <w:bookmarkEnd w:id="42"/>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3706D88" w14:textId="5A1CF1BE" w:rsidR="00982458" w:rsidRDefault="00982458" w:rsidP="001A45E8">
            <w:pPr>
              <w:pStyle w:val="MText"/>
              <w:numPr>
                <w:ilvl w:val="0"/>
                <w:numId w:val="23"/>
              </w:numPr>
              <w:ind w:left="465"/>
            </w:pPr>
            <w:r>
              <w:t xml:space="preserve">United Nations General Assembly: </w:t>
            </w:r>
            <w:r w:rsidR="00E959C1">
              <w:t>W</w:t>
            </w:r>
            <w:r>
              <w:t>ebsite of the General Assembly</w:t>
            </w:r>
          </w:p>
          <w:p w14:paraId="661DD146" w14:textId="12159796" w:rsidR="00982458" w:rsidRDefault="00982458" w:rsidP="001A45E8">
            <w:pPr>
              <w:pStyle w:val="MText"/>
              <w:numPr>
                <w:ilvl w:val="0"/>
                <w:numId w:val="23"/>
              </w:numPr>
              <w:ind w:left="465"/>
            </w:pPr>
            <w:r>
              <w:t>United Nations Security Council: Report of the Security Council for the respective year</w:t>
            </w:r>
          </w:p>
          <w:p w14:paraId="179D4EB3" w14:textId="1620762F" w:rsidR="00982458" w:rsidRDefault="00982458" w:rsidP="001A45E8">
            <w:pPr>
              <w:pStyle w:val="MText"/>
              <w:numPr>
                <w:ilvl w:val="0"/>
                <w:numId w:val="23"/>
              </w:numPr>
              <w:ind w:left="465"/>
            </w:pPr>
            <w:r>
              <w:t>United Nations Economic and Social Council:</w:t>
            </w:r>
            <w:r w:rsidR="001A45E8">
              <w:t xml:space="preserve"> </w:t>
            </w:r>
            <w:r>
              <w:t>Report of the Economic and Social Council for the respective year</w:t>
            </w:r>
          </w:p>
          <w:p w14:paraId="42621753" w14:textId="424A9C2E" w:rsidR="00982458" w:rsidRDefault="00982458" w:rsidP="001A45E8">
            <w:pPr>
              <w:pStyle w:val="MText"/>
              <w:numPr>
                <w:ilvl w:val="0"/>
                <w:numId w:val="23"/>
              </w:numPr>
              <w:ind w:left="465"/>
            </w:pPr>
            <w:r>
              <w:t>International Monetary Fund: Annual Report for the respective year</w:t>
            </w:r>
          </w:p>
          <w:p w14:paraId="7F39CE08" w14:textId="5505DA70" w:rsidR="00982458" w:rsidRDefault="00982458" w:rsidP="001A45E8">
            <w:pPr>
              <w:pStyle w:val="MText"/>
              <w:numPr>
                <w:ilvl w:val="0"/>
                <w:numId w:val="23"/>
              </w:numPr>
              <w:ind w:left="465"/>
            </w:pPr>
            <w:r>
              <w:t>International Bank for Reconstruction and Development:</w:t>
            </w:r>
            <w:r w:rsidR="001A45E8">
              <w:t xml:space="preserve"> </w:t>
            </w:r>
            <w:r>
              <w:t>Management’s Discussion &amp; Analysis and Financial Statements for the respective year</w:t>
            </w:r>
          </w:p>
          <w:p w14:paraId="4479D95A" w14:textId="7AEE7B05" w:rsidR="00982458" w:rsidRDefault="00982458" w:rsidP="001A45E8">
            <w:pPr>
              <w:pStyle w:val="MText"/>
              <w:numPr>
                <w:ilvl w:val="0"/>
                <w:numId w:val="23"/>
              </w:numPr>
              <w:ind w:left="465"/>
            </w:pPr>
            <w:r>
              <w:t>International Finance Corporation: Annual Report (volume 2) for the respective year</w:t>
            </w:r>
          </w:p>
          <w:p w14:paraId="3D90CB87" w14:textId="193BCD54" w:rsidR="00982458" w:rsidRDefault="00982458" w:rsidP="001A45E8">
            <w:pPr>
              <w:pStyle w:val="MText"/>
              <w:numPr>
                <w:ilvl w:val="0"/>
                <w:numId w:val="23"/>
              </w:numPr>
              <w:ind w:left="465"/>
            </w:pPr>
            <w:r>
              <w:t xml:space="preserve">African Development Bank: Annual Report for the respective year </w:t>
            </w:r>
          </w:p>
          <w:p w14:paraId="3AC537CA" w14:textId="4AF5AE90" w:rsidR="00982458" w:rsidRDefault="00982458" w:rsidP="001A45E8">
            <w:pPr>
              <w:pStyle w:val="MText"/>
              <w:numPr>
                <w:ilvl w:val="0"/>
                <w:numId w:val="23"/>
              </w:numPr>
              <w:ind w:left="465"/>
            </w:pPr>
            <w:r>
              <w:t>Asian Development Bank: Annual Report for the respective year</w:t>
            </w:r>
          </w:p>
          <w:p w14:paraId="6781C0CB" w14:textId="67144953" w:rsidR="00982458" w:rsidRDefault="00982458" w:rsidP="001A45E8">
            <w:pPr>
              <w:pStyle w:val="MText"/>
              <w:numPr>
                <w:ilvl w:val="0"/>
                <w:numId w:val="23"/>
              </w:numPr>
              <w:ind w:left="465"/>
            </w:pPr>
            <w:r>
              <w:t>Inter-American Development Bank:</w:t>
            </w:r>
            <w:r w:rsidR="001A45E8">
              <w:t xml:space="preserve"> </w:t>
            </w:r>
            <w:r>
              <w:t>Annual Report for the respective year</w:t>
            </w:r>
          </w:p>
          <w:p w14:paraId="20BFC9A1" w14:textId="091B68FD" w:rsidR="00982458" w:rsidRDefault="00982458" w:rsidP="001A45E8">
            <w:pPr>
              <w:pStyle w:val="MText"/>
              <w:numPr>
                <w:ilvl w:val="0"/>
                <w:numId w:val="23"/>
              </w:numPr>
              <w:ind w:left="465"/>
            </w:pPr>
            <w:r>
              <w:t>World Trade Organisation: WTO Annual Report 2015</w:t>
            </w:r>
          </w:p>
          <w:p w14:paraId="1EE62008" w14:textId="5135D860" w:rsidR="006220A3" w:rsidRPr="00982458" w:rsidRDefault="00982458" w:rsidP="001A45E8">
            <w:pPr>
              <w:pStyle w:val="MText"/>
              <w:numPr>
                <w:ilvl w:val="0"/>
                <w:numId w:val="23"/>
              </w:numPr>
              <w:ind w:left="465"/>
            </w:pPr>
            <w:r>
              <w:t>Financial Stability Board: 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0D342BF8" w14:textId="186AAF51" w:rsidR="001F3D89" w:rsidRDefault="001F3D89" w:rsidP="001A45E8">
            <w:pPr>
              <w:pStyle w:val="MText"/>
              <w:numPr>
                <w:ilvl w:val="0"/>
                <w:numId w:val="22"/>
              </w:numPr>
              <w:ind w:left="465"/>
            </w:pPr>
            <w:r>
              <w:t>United Nations General Assembly:</w:t>
            </w:r>
            <w:r w:rsidR="0059604C">
              <w:t xml:space="preserve"> </w:t>
            </w:r>
            <w:r>
              <w:t>continuous</w:t>
            </w:r>
          </w:p>
          <w:p w14:paraId="015CA57C" w14:textId="5E5E93B1" w:rsidR="001F3D89" w:rsidRDefault="001F3D89" w:rsidP="001A45E8">
            <w:pPr>
              <w:pStyle w:val="MText"/>
              <w:numPr>
                <w:ilvl w:val="0"/>
                <w:numId w:val="22"/>
              </w:numPr>
              <w:ind w:left="465"/>
            </w:pPr>
            <w:r>
              <w:t>United Nations Security Council:</w:t>
            </w:r>
            <w:r w:rsidR="0059604C">
              <w:t xml:space="preserve"> </w:t>
            </w:r>
            <w:r>
              <w:t xml:space="preserve">annually in September </w:t>
            </w:r>
          </w:p>
          <w:p w14:paraId="74724B57" w14:textId="490ECECC" w:rsidR="001F3D89" w:rsidRDefault="001F3D89" w:rsidP="001A45E8">
            <w:pPr>
              <w:pStyle w:val="MText"/>
              <w:numPr>
                <w:ilvl w:val="0"/>
                <w:numId w:val="22"/>
              </w:numPr>
              <w:ind w:left="465"/>
            </w:pPr>
            <w:r>
              <w:t>United Nations Economic and Social Council: annually in October</w:t>
            </w:r>
          </w:p>
          <w:p w14:paraId="46A3F907" w14:textId="392DEB58" w:rsidR="001F3D89" w:rsidRDefault="001F3D89" w:rsidP="001A45E8">
            <w:pPr>
              <w:pStyle w:val="MText"/>
              <w:numPr>
                <w:ilvl w:val="0"/>
                <w:numId w:val="22"/>
              </w:numPr>
              <w:ind w:left="465"/>
            </w:pPr>
            <w:r>
              <w:t xml:space="preserve">International Monetary Fund: annually in October </w:t>
            </w:r>
          </w:p>
          <w:p w14:paraId="42A4D2FC" w14:textId="5677F023" w:rsidR="001F3D89" w:rsidRDefault="001F3D89" w:rsidP="001A45E8">
            <w:pPr>
              <w:pStyle w:val="MText"/>
              <w:numPr>
                <w:ilvl w:val="0"/>
                <w:numId w:val="22"/>
              </w:numPr>
              <w:ind w:left="465"/>
            </w:pPr>
            <w:r>
              <w:t>International Bank for Reconstruction and Development:</w:t>
            </w:r>
            <w:r w:rsidR="0059604C">
              <w:t xml:space="preserve"> </w:t>
            </w:r>
            <w:r>
              <w:t xml:space="preserve">annually in September </w:t>
            </w:r>
          </w:p>
          <w:p w14:paraId="3B6E8056" w14:textId="13A763AE" w:rsidR="001F3D89" w:rsidRDefault="001F3D89" w:rsidP="001A45E8">
            <w:pPr>
              <w:pStyle w:val="MText"/>
              <w:numPr>
                <w:ilvl w:val="0"/>
                <w:numId w:val="22"/>
              </w:numPr>
              <w:ind w:left="465"/>
            </w:pPr>
            <w:r>
              <w:t>International Finance Corporation: annually in September</w:t>
            </w:r>
          </w:p>
          <w:p w14:paraId="2E419CFC" w14:textId="25944597" w:rsidR="001F3D89" w:rsidRDefault="001F3D89" w:rsidP="001A45E8">
            <w:pPr>
              <w:pStyle w:val="MText"/>
              <w:numPr>
                <w:ilvl w:val="0"/>
                <w:numId w:val="22"/>
              </w:numPr>
              <w:ind w:left="465"/>
            </w:pPr>
            <w:r>
              <w:t xml:space="preserve">African Development Bank: annually in May </w:t>
            </w:r>
          </w:p>
          <w:p w14:paraId="6A6765F9" w14:textId="0F377029" w:rsidR="001F3D89" w:rsidRDefault="001F3D89" w:rsidP="001A45E8">
            <w:pPr>
              <w:pStyle w:val="MText"/>
              <w:numPr>
                <w:ilvl w:val="0"/>
                <w:numId w:val="22"/>
              </w:numPr>
              <w:ind w:left="465"/>
            </w:pPr>
            <w:r>
              <w:t xml:space="preserve">Asian Development Bank: annually in April </w:t>
            </w:r>
          </w:p>
          <w:p w14:paraId="2BF92EB5" w14:textId="5C8C2A11" w:rsidR="001F3D89" w:rsidRDefault="001F3D89" w:rsidP="001A45E8">
            <w:pPr>
              <w:pStyle w:val="MText"/>
              <w:numPr>
                <w:ilvl w:val="0"/>
                <w:numId w:val="22"/>
              </w:numPr>
              <w:ind w:left="465"/>
            </w:pPr>
            <w:r>
              <w:t xml:space="preserve">Inter-American Development Bank: annually in April </w:t>
            </w:r>
          </w:p>
          <w:p w14:paraId="4E6D51DC" w14:textId="235FE505" w:rsidR="001F3D89" w:rsidRDefault="001F3D89" w:rsidP="001A45E8">
            <w:pPr>
              <w:pStyle w:val="MText"/>
              <w:numPr>
                <w:ilvl w:val="0"/>
                <w:numId w:val="22"/>
              </w:numPr>
              <w:ind w:left="465"/>
            </w:pPr>
            <w:r>
              <w:t xml:space="preserve">World Trade Organisation: annually in May </w:t>
            </w:r>
          </w:p>
          <w:p w14:paraId="097FA4BD" w14:textId="6BA12AB8" w:rsidR="00AB65AE" w:rsidRPr="001F3D89" w:rsidRDefault="001F3D89" w:rsidP="001A45E8">
            <w:pPr>
              <w:pStyle w:val="MText"/>
              <w:numPr>
                <w:ilvl w:val="0"/>
                <w:numId w:val="22"/>
              </w:numPr>
              <w:ind w:left="465"/>
            </w:pPr>
            <w:r>
              <w:t xml:space="preserve">Financial Stability Board: 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B868BC">
            <w:pPr>
              <w:pStyle w:val="MHeader"/>
            </w:pPr>
            <w: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3" w:name="_Toc36655612"/>
            <w:bookmarkStart w:id="44" w:name="_Toc36812575"/>
            <w:bookmarkStart w:id="45" w:name="_Toc36812688"/>
            <w:bookmarkStart w:id="46" w:name="_Toc36813075"/>
            <w:r w:rsidRPr="007A28BA">
              <w:t>4</w:t>
            </w:r>
            <w:r w:rsidR="00F96E8D" w:rsidRPr="007A28BA">
              <w:t>. Other methodological considerations</w:t>
            </w:r>
            <w:bookmarkEnd w:id="43"/>
            <w:bookmarkEnd w:id="44"/>
            <w:bookmarkEnd w:id="45"/>
            <w:bookmarkEnd w:id="46"/>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7" w:name="_Toc36655613"/>
            <w:bookmarkStart w:id="48" w:name="_Toc36812576"/>
            <w:bookmarkStart w:id="49" w:name="_Toc36812689"/>
            <w:bookmarkStart w:id="50" w:name="_Toc36813076"/>
            <w:r w:rsidRPr="001A0E35">
              <w:t>5</w:t>
            </w:r>
            <w:r w:rsidR="00952376" w:rsidRPr="001A0E35">
              <w:t>. Data availability and disaggregation</w:t>
            </w:r>
            <w:bookmarkEnd w:id="47"/>
            <w:bookmarkEnd w:id="48"/>
            <w:bookmarkEnd w:id="49"/>
            <w:bookmarkEnd w:id="50"/>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1" w:name="_Toc36655614"/>
            <w:bookmarkStart w:id="52" w:name="_Toc36812577"/>
            <w:bookmarkStart w:id="53" w:name="_Toc36812690"/>
            <w:bookmarkStart w:id="54" w:name="_Toc36813077"/>
            <w:bookmarkStart w:id="55"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1"/>
            <w:bookmarkEnd w:id="52"/>
            <w:bookmarkEnd w:id="53"/>
            <w:bookmarkEnd w:id="54"/>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5"/>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6" w:name="_Toc36655615"/>
            <w:bookmarkStart w:id="57" w:name="_Toc36812578"/>
            <w:bookmarkStart w:id="58" w:name="_Toc36812691"/>
            <w:bookmarkStart w:id="59" w:name="_Toc36813078"/>
            <w:r w:rsidRPr="001A0E35">
              <w:t>7. References and documentation</w:t>
            </w:r>
            <w:bookmarkEnd w:id="56"/>
            <w:bookmarkEnd w:id="57"/>
            <w:bookmarkEnd w:id="58"/>
            <w:bookmarkEnd w:id="59"/>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B868BC"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4E2F"/>
    <w:multiLevelType w:val="hybridMultilevel"/>
    <w:tmpl w:val="659A51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7204C"/>
    <w:multiLevelType w:val="hybridMultilevel"/>
    <w:tmpl w:val="5994D5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0"/>
  </w:num>
  <w:num w:numId="5">
    <w:abstractNumId w:val="19"/>
  </w:num>
  <w:num w:numId="6">
    <w:abstractNumId w:val="6"/>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8"/>
  </w:num>
  <w:num w:numId="19">
    <w:abstractNumId w:val="1"/>
  </w:num>
  <w:num w:numId="20">
    <w:abstractNumId w:val="2"/>
  </w:num>
  <w:num w:numId="21">
    <w:abstractNumId w:val="4"/>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A45E8"/>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9604C"/>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868BC"/>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EC06C7"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EC06C7"/>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B98B-2E06-4A5A-B609-C168DBB7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23</cp:revision>
  <cp:lastPrinted>2020-04-10T17:02:00Z</cp:lastPrinted>
  <dcterms:created xsi:type="dcterms:W3CDTF">2020-04-14T15:33:00Z</dcterms:created>
  <dcterms:modified xsi:type="dcterms:W3CDTF">2020-04-20T18:51:00Z</dcterms:modified>
</cp:coreProperties>
</file>