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18BCAB36" w:rsidR="006D23F0" w:rsidRDefault="006D23F0" w:rsidP="006D23F0">
      <w:r>
        <w:t>1</w:t>
      </w:r>
      <w:r w:rsidR="002B07D0">
        <w:t>7</w:t>
      </w:r>
      <w:r>
        <w:t xml:space="preserve"> April 2020</w:t>
      </w:r>
    </w:p>
    <w:p w14:paraId="27FD6C06" w14:textId="77777777" w:rsidR="002B07D0" w:rsidRPr="00E263EC" w:rsidRDefault="002B07D0" w:rsidP="002B07D0">
      <w:pPr>
        <w:pStyle w:val="MHeader"/>
        <w:outlineLvl w:val="0"/>
      </w:pPr>
      <w:bookmarkStart w:id="0" w:name="_Toc37932741"/>
      <w:r w:rsidRPr="00E263EC">
        <w:t>Metadata Attachment</w:t>
      </w:r>
      <w:bookmarkEnd w:id="0"/>
    </w:p>
    <w:p w14:paraId="4025EBD6" w14:textId="77777777" w:rsidR="002B07D0" w:rsidRPr="00E263EC" w:rsidRDefault="002B07D0" w:rsidP="002B07D0">
      <w:pPr>
        <w:spacing w:after="0"/>
        <w:rPr>
          <w:sz w:val="26"/>
          <w:szCs w:val="26"/>
        </w:rPr>
      </w:pPr>
      <w:r w:rsidRPr="00E263EC">
        <w:rPr>
          <w:sz w:val="26"/>
          <w:szCs w:val="26"/>
        </w:rPr>
        <w:t>Reporting type</w:t>
      </w:r>
    </w:p>
    <w:sdt>
      <w:sdtPr>
        <w:alias w:val="Reporting Type"/>
        <w:tag w:val="ddReportingType"/>
        <w:id w:val="-136573180"/>
        <w:placeholder>
          <w:docPart w:val="117CAF38CE4A4679819729D0284C0FF0"/>
        </w:placeholder>
        <w:dropDownList>
          <w:listItem w:displayText="Global" w:value="G"/>
          <w:listItem w:displayText="National" w:value="N"/>
          <w:listItem w:displayText="Regional" w:value="R"/>
        </w:dropDownList>
      </w:sdtPr>
      <w:sdtEndPr/>
      <w:sdtContent>
        <w:p w14:paraId="09D5396D" w14:textId="0CC90FE7" w:rsidR="002B07D0" w:rsidRPr="00E263EC" w:rsidRDefault="002B07D0" w:rsidP="002B07D0">
          <w:r>
            <w:t>Global</w:t>
          </w:r>
        </w:p>
      </w:sdtContent>
    </w:sdt>
    <w:p w14:paraId="5408C56A" w14:textId="77777777" w:rsidR="002B07D0" w:rsidRPr="00E263EC" w:rsidRDefault="002B07D0" w:rsidP="002B07D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6F8A63E6" w14:textId="2C3988C1" w:rsidR="002B07D0" w:rsidRPr="00E263EC" w:rsidRDefault="002B07D0" w:rsidP="002B07D0">
          <w:r>
            <w:t>11.1.1  Proportion of urban population living in slums</w:t>
          </w:r>
        </w:p>
      </w:sdtContent>
    </w:sdt>
    <w:p w14:paraId="2B275A14" w14:textId="77777777" w:rsidR="002B07D0" w:rsidRPr="00E263EC" w:rsidRDefault="002B07D0" w:rsidP="002B07D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FB77DEB" w14:textId="533908F7" w:rsidR="002B07D0" w:rsidRDefault="002B07D0" w:rsidP="002B07D0">
          <w:r>
            <w:t>World</w:t>
          </w:r>
        </w:p>
      </w:sdtContent>
    </w:sdt>
    <w:p w14:paraId="5D66733E" w14:textId="77777777" w:rsidR="002B07D0" w:rsidRDefault="002B07D0" w:rsidP="002B07D0"/>
    <w:p w14:paraId="3E5FE751" w14:textId="77777777" w:rsidR="002B07D0" w:rsidRDefault="002B07D0" w:rsidP="002B07D0">
      <w:pPr>
        <w:pStyle w:val="MHeader"/>
        <w:outlineLvl w:val="0"/>
      </w:pPr>
      <w:bookmarkStart w:id="1" w:name="_Toc37932742"/>
      <w:r>
        <w:t>Metadata Submission Form</w:t>
      </w:r>
      <w:bookmarkEnd w:id="1"/>
    </w:p>
    <w:p w14:paraId="1900E706" w14:textId="77777777" w:rsidR="002B07D0" w:rsidRPr="006D23F0" w:rsidRDefault="002B07D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5E1CC44" w:rsidR="00A36E8B" w:rsidRPr="00D824EC" w:rsidRDefault="00AF0B75" w:rsidP="00D824EC">
            <w:pPr>
              <w:pStyle w:val="MGTHeader"/>
            </w:pPr>
            <w:r w:rsidRPr="00D824EC">
              <w:t>Goal 11: Make cities and human settlements inclusive, safe, resilient and sustainable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C04E9B8" w:rsidR="00A36E8B" w:rsidRPr="00D824EC" w:rsidRDefault="00AF0B75" w:rsidP="00D824EC">
            <w:pPr>
              <w:pStyle w:val="MGTHeader"/>
            </w:pPr>
            <w:r w:rsidRPr="00D824EC">
              <w:t>Target 11.1: By 2030, ensure access for all to adequate, safe and affordable housing and basic services and upgrade slums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B44481C" w:rsidR="00A36E8B" w:rsidRPr="00AF0B75" w:rsidRDefault="00AF0B75" w:rsidP="00D824EC">
            <w:pPr>
              <w:pStyle w:val="MIndHeader"/>
            </w:pPr>
            <w:r w:rsidRPr="00AF0B75">
              <w:t>Indicator 11.1.1: Proportion of urban population living in slums, informal settlements or inadequate housing</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5CDC03E" w:rsidR="00A36E8B" w:rsidRPr="00374A78" w:rsidRDefault="00374A78" w:rsidP="00374A78">
            <w:pPr>
              <w:pStyle w:val="Header"/>
              <w:rPr>
                <w:color w:val="404040" w:themeColor="text1" w:themeTint="BF"/>
                <w:sz w:val="18"/>
                <w:szCs w:val="18"/>
              </w:rPr>
            </w:pPr>
            <w:bookmarkStart w:id="6" w:name="_Hlk506197005"/>
            <w:bookmarkStart w:id="7" w:name="_Hlk506197004"/>
            <w:bookmarkStart w:id="8" w:name="_Hlk506197003"/>
            <w:r>
              <w:rPr>
                <w:color w:val="404040" w:themeColor="text1" w:themeTint="BF"/>
                <w:sz w:val="18"/>
                <w:szCs w:val="18"/>
              </w:rPr>
              <w:t xml:space="preserve">Last updated: </w:t>
            </w:r>
            <w:r>
              <w:rPr>
                <w:noProof/>
                <w:color w:val="404040" w:themeColor="text1" w:themeTint="BF"/>
                <w:sz w:val="18"/>
                <w:szCs w:val="18"/>
              </w:rPr>
              <w:t>14 February 2018</w:t>
            </w:r>
            <w:bookmarkEnd w:id="6"/>
            <w:bookmarkEnd w:id="7"/>
            <w:bookmarkEnd w:id="8"/>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2E57CB8" w14:textId="77777777" w:rsidR="00511908" w:rsidRPr="00D824EC" w:rsidRDefault="00511908" w:rsidP="00D824EC">
            <w:pPr>
              <w:pStyle w:val="MHeader"/>
            </w:pPr>
            <w:r w:rsidRPr="00D824EC">
              <w:t>Related indicators</w:t>
            </w:r>
          </w:p>
          <w:p w14:paraId="48EE839F" w14:textId="3339C406" w:rsidR="00511908" w:rsidRPr="00D824EC" w:rsidRDefault="00511908" w:rsidP="00D824EC">
            <w:pPr>
              <w:pStyle w:val="MSubHeader"/>
            </w:pPr>
            <w:r w:rsidRPr="00D824EC">
              <w:t>Direct relation</w:t>
            </w:r>
            <w:r w:rsidR="00D824EC">
              <w:t>:</w:t>
            </w:r>
          </w:p>
          <w:p w14:paraId="623BAD4B" w14:textId="03AA9DFC" w:rsidR="00A36E8B" w:rsidRPr="00D824EC" w:rsidRDefault="00511908" w:rsidP="00D824EC">
            <w:pPr>
              <w:pStyle w:val="MText"/>
            </w:pPr>
            <w:r w:rsidRPr="00D824EC">
              <w:t>1.1.1 Poverty rate; 1.1.2 Poverty rate, national; 6.1.1 Access to Improved Water; 6.2.1 Access to Improved Sanitation; 7.1.1 Access to Electricity; 8.3.1 Informal Employment; 8.5.2 Unemployment Rate</w:t>
            </w:r>
            <w:r w:rsidR="00D824EC" w:rsidRPr="00D824EC">
              <w:t xml:space="preserve">; </w:t>
            </w:r>
            <w:r w:rsidRPr="00D824EC">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D9F55C8" w14:textId="77777777" w:rsidR="002A471F" w:rsidRDefault="002A471F" w:rsidP="002A471F">
            <w:pPr>
              <w:pStyle w:val="MHeader"/>
            </w:pPr>
            <w:r>
              <w:t>Institutional information</w:t>
            </w:r>
          </w:p>
          <w:p w14:paraId="14AACBDA" w14:textId="77777777" w:rsidR="002A471F" w:rsidRDefault="002A471F" w:rsidP="002A471F">
            <w:pPr>
              <w:pStyle w:val="MSubHeader"/>
              <w:rPr>
                <w:b w:val="0"/>
                <w:bCs w:val="0"/>
                <w:color w:val="494949"/>
              </w:rPr>
            </w:pPr>
            <w:r>
              <w:t>Organization(s):</w:t>
            </w:r>
          </w:p>
          <w:p w14:paraId="3E0416B7" w14:textId="0D87BC25" w:rsidR="00A36E8B" w:rsidRPr="002A471F" w:rsidRDefault="002A471F" w:rsidP="002A471F">
            <w:pPr>
              <w:pStyle w:val="MText"/>
            </w:pPr>
            <w:r>
              <w:t xml:space="preserve">United Nations Human Settlements Programme (UN-Habitat)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9" w:name="_Toc36655609"/>
            <w:bookmarkStart w:id="10" w:name="_Toc36812572"/>
            <w:bookmarkStart w:id="11" w:name="_Toc36812685"/>
            <w:bookmarkStart w:id="12" w:name="_Toc36813072"/>
            <w:r w:rsidRPr="000149A9">
              <w:t>1. Data reporter</w:t>
            </w:r>
            <w:bookmarkEnd w:id="9"/>
            <w:bookmarkEnd w:id="10"/>
            <w:bookmarkEnd w:id="11"/>
            <w:bookmarkEnd w:id="12"/>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3" w:name="_Toc36655610"/>
            <w:bookmarkStart w:id="14" w:name="_Toc36812573"/>
            <w:bookmarkStart w:id="15" w:name="_Toc36812686"/>
            <w:bookmarkStart w:id="16" w:name="_Toc36813073"/>
            <w:r w:rsidRPr="000149A9">
              <w:t>2. Definition, concepts, and classifications</w:t>
            </w:r>
            <w:bookmarkEnd w:id="13"/>
            <w:bookmarkEnd w:id="14"/>
            <w:bookmarkEnd w:id="15"/>
            <w:bookmarkEnd w:id="16"/>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7BF1AAD" w14:textId="77777777" w:rsidR="002A471F" w:rsidRDefault="002A471F" w:rsidP="002A471F">
            <w:pPr>
              <w:pStyle w:val="MHeader"/>
              <w:rPr>
                <w:color w:val="494949"/>
                <w:sz w:val="21"/>
                <w:szCs w:val="21"/>
              </w:rPr>
            </w:pPr>
            <w:r>
              <w:t xml:space="preserve">Concepts and definitions </w:t>
            </w:r>
          </w:p>
          <w:p w14:paraId="2F1758FC" w14:textId="77777777" w:rsidR="002A471F" w:rsidRDefault="002A471F" w:rsidP="002A471F">
            <w:pPr>
              <w:pStyle w:val="MText"/>
            </w:pPr>
            <w:r>
              <w:t>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2DBD85F4" w14:textId="77777777" w:rsidR="002A471F" w:rsidRDefault="002A471F" w:rsidP="002A471F">
            <w:pPr>
              <w:pStyle w:val="MText"/>
            </w:pPr>
          </w:p>
          <w:p w14:paraId="5AC8A347" w14:textId="77777777" w:rsidR="002A471F" w:rsidRDefault="002A471F" w:rsidP="002A471F">
            <w:pPr>
              <w:pStyle w:val="MText"/>
            </w:pPr>
            <w:r>
              <w:lastRenderedPageBreak/>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E2CB920" w14:textId="77777777" w:rsidR="002A471F" w:rsidRDefault="002A471F" w:rsidP="002A471F">
            <w:pPr>
              <w:pStyle w:val="MText"/>
            </w:pPr>
          </w:p>
          <w:p w14:paraId="74C6F4C3" w14:textId="77777777" w:rsidR="002A471F" w:rsidRDefault="002A471F" w:rsidP="002A471F">
            <w:pPr>
              <w:pStyle w:val="MText"/>
            </w:pPr>
            <w:r>
              <w:t xml:space="preserve">In order to develop a more nuanced definition, there are a number of interrelated terms that must be grappled with when considering an indicator for the SDG Target 11.1. They include inadequate housing and housing affordability, informal settlements and slums. </w:t>
            </w:r>
          </w:p>
          <w:p w14:paraId="0FA8CB83" w14:textId="77777777" w:rsidR="002A471F" w:rsidRDefault="002A471F" w:rsidP="002A471F">
            <w:pPr>
              <w:pStyle w:val="MText"/>
            </w:pPr>
          </w:p>
          <w:p w14:paraId="59941F01" w14:textId="77777777" w:rsidR="002A471F" w:rsidRPr="00D824EC" w:rsidRDefault="002A471F" w:rsidP="00D824EC">
            <w:pPr>
              <w:pStyle w:val="MText"/>
              <w:rPr>
                <w:b/>
                <w:bCs/>
                <w:i/>
                <w:iCs/>
              </w:rPr>
            </w:pPr>
            <w:r w:rsidRPr="00D824EC">
              <w:rPr>
                <w:b/>
                <w:bCs/>
                <w:i/>
                <w:iCs/>
              </w:rPr>
              <w:t>Housing affordability</w:t>
            </w:r>
          </w:p>
          <w:p w14:paraId="22764EF8" w14:textId="77777777" w:rsidR="002A471F" w:rsidRDefault="002A471F" w:rsidP="002A471F">
            <w:pPr>
              <w:pStyle w:val="MText"/>
            </w:pPr>
            <w:r>
              <w:t>One of the most daunting challenges of urbanization globally has been the provision of adequate housing that people can afford. Findings from the UN Global Sample of Cities</w:t>
            </w:r>
            <w:r>
              <w:rPr>
                <w:rStyle w:val="FootnoteReference"/>
                <w:rFonts w:ascii="Times New Roman" w:hAnsi="Times New Roman"/>
                <w:sz w:val="24"/>
              </w:rPr>
              <w:footnoteReference w:id="1"/>
            </w:r>
            <w:r>
              <w:t xml:space="preserve"> show that people across all types of urban centres are not able to afford home ownership or even the cost of rental housing. In low-income countries for example, households need to save the equivalent of nearly eight times their annual household income in order to be able to afford the price of a standard house in their town or city. If they rent, households have to commit more than 25 per cent of their monthly income to rent payments.</w:t>
            </w:r>
            <w:r>
              <w:rPr>
                <w:rStyle w:val="FootnoteReference"/>
                <w:rFonts w:ascii="Times New Roman" w:hAnsi="Times New Roman"/>
                <w:sz w:val="24"/>
              </w:rPr>
              <w:footnoteReference w:id="2"/>
            </w:r>
            <w:r>
              <w:t xml:space="preserve"> </w:t>
            </w:r>
          </w:p>
          <w:p w14:paraId="2FC03F42" w14:textId="77777777" w:rsidR="002A471F" w:rsidRDefault="002A471F" w:rsidP="002A471F">
            <w:pPr>
              <w:pStyle w:val="MText"/>
            </w:pPr>
          </w:p>
          <w:p w14:paraId="7D47A588" w14:textId="77777777" w:rsidR="002A471F" w:rsidRDefault="002A471F" w:rsidP="002A471F">
            <w:pPr>
              <w:pStyle w:val="MText"/>
            </w:pPr>
            <w:r>
              <w:t>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are able to afford a mortgage for even the cheapest newly built house. In fact, African households face 55 per cent higher housing costs relative to their per capita GDP than in other regions.</w:t>
            </w:r>
            <w:r>
              <w:rPr>
                <w:rStyle w:val="FootnoteReference"/>
                <w:rFonts w:ascii="Times New Roman" w:hAnsi="Times New Roman"/>
                <w:sz w:val="24"/>
              </w:rPr>
              <w:footnoteReference w:id="3"/>
            </w:r>
            <w:r>
              <w:t xml:space="preserve"> In many European countries, families, especially the youth, are severely cost burdened and have much less to spend on other necessities such as food, health, transport and clothing. In extreme circumstances, households are forced </w:t>
            </w:r>
            <w:r>
              <w:lastRenderedPageBreak/>
              <w:t>to leave their accommodation because of the inability to pay. The current migration crisis has worsened housing conditions in the region, a trend that seems set to continue in the next few years.</w:t>
            </w:r>
          </w:p>
          <w:p w14:paraId="40A65B73" w14:textId="77777777" w:rsidR="002A471F" w:rsidRDefault="002A471F" w:rsidP="002A471F">
            <w:pPr>
              <w:pStyle w:val="MText"/>
            </w:pPr>
          </w:p>
          <w:p w14:paraId="490F2D28" w14:textId="77777777" w:rsidR="002A471F" w:rsidRPr="00D824EC" w:rsidRDefault="002A471F" w:rsidP="00D824EC">
            <w:pPr>
              <w:pStyle w:val="MText"/>
              <w:rPr>
                <w:b/>
                <w:bCs/>
                <w:i/>
                <w:iCs/>
              </w:rPr>
            </w:pPr>
            <w:r w:rsidRPr="00D824EC">
              <w:rPr>
                <w:b/>
                <w:bCs/>
                <w:i/>
                <w:iCs/>
              </w:rPr>
              <w:t>Inadequate housing, informal settlements and slums</w:t>
            </w:r>
          </w:p>
          <w:p w14:paraId="66444453" w14:textId="77777777" w:rsidR="002A471F" w:rsidRDefault="002A471F" w:rsidP="002A471F">
            <w:pPr>
              <w:pStyle w:val="MText"/>
            </w:pPr>
            <w:r>
              <w:t>Today, an estimated 1.6 billion people live in inadequate housing globally, of which 1 billion live in slums and informal settlements</w:t>
            </w:r>
            <w:r>
              <w:rPr>
                <w:rStyle w:val="FootnoteReference"/>
                <w:rFonts w:ascii="Times New Roman" w:hAnsi="Times New Roman"/>
                <w:sz w:val="24"/>
              </w:rPr>
              <w:footnoteReference w:id="4"/>
            </w:r>
            <w:r>
              <w:t>.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Pr>
                <w:rStyle w:val="FootnoteReference"/>
                <w:rFonts w:ascii="Times New Roman" w:hAnsi="Times New Roman"/>
                <w:sz w:val="24"/>
              </w:rPr>
              <w:footnoteReference w:id="5"/>
            </w:r>
          </w:p>
          <w:p w14:paraId="63FE1A76" w14:textId="77777777" w:rsidR="002A471F" w:rsidRDefault="002A471F" w:rsidP="002A471F">
            <w:pPr>
              <w:pStyle w:val="MText"/>
            </w:pPr>
          </w:p>
          <w:p w14:paraId="264A19CE" w14:textId="77777777" w:rsidR="002A471F" w:rsidRDefault="002A471F" w:rsidP="002A471F">
            <w:pPr>
              <w:pStyle w:val="MText"/>
            </w:pPr>
            <w: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3CCADC2" w14:textId="77777777" w:rsidR="002A471F" w:rsidRDefault="002A471F" w:rsidP="002A471F">
            <w:pPr>
              <w:pStyle w:val="MText"/>
            </w:pPr>
          </w:p>
          <w:p w14:paraId="5E32AE9C" w14:textId="77777777" w:rsidR="002A471F" w:rsidRDefault="002A471F" w:rsidP="002A471F">
            <w:pPr>
              <w:pStyle w:val="MText"/>
            </w:pPr>
            <w:r>
              <w:t>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In light of this, the following definitions are proposed.</w:t>
            </w:r>
          </w:p>
          <w:p w14:paraId="59618D48" w14:textId="77777777" w:rsidR="002A471F" w:rsidRDefault="002A471F" w:rsidP="002A471F">
            <w:pPr>
              <w:pStyle w:val="MSubHeader"/>
            </w:pPr>
          </w:p>
          <w:p w14:paraId="0E75F19B" w14:textId="77777777" w:rsidR="002A471F" w:rsidRDefault="002A471F" w:rsidP="002A471F">
            <w:pPr>
              <w:pStyle w:val="MSubHeader"/>
            </w:pPr>
            <w:r>
              <w:t xml:space="preserve">Definition and concept: </w:t>
            </w:r>
          </w:p>
          <w:p w14:paraId="5DC270BE" w14:textId="77777777" w:rsidR="002A471F" w:rsidRDefault="002A471F" w:rsidP="002A471F">
            <w:pPr>
              <w:pStyle w:val="MText"/>
            </w:pPr>
            <w:r>
              <w:t xml:space="preserve">As per the 2030 Agenda, to guide the development of the appropriate policies and programmes for ensuring access for all to adequate housing and the upgrading of slums, it is necessary to identify and quantify the proportion of the population that live in </w:t>
            </w:r>
            <w:r>
              <w:rPr>
                <w:b/>
              </w:rPr>
              <w:t>slums</w:t>
            </w:r>
            <w:r>
              <w:t xml:space="preserve">, </w:t>
            </w:r>
            <w:r>
              <w:rPr>
                <w:b/>
              </w:rPr>
              <w:t>informal settlements</w:t>
            </w:r>
            <w:r>
              <w:t xml:space="preserve"> and those living in </w:t>
            </w:r>
            <w:r>
              <w:rPr>
                <w:b/>
              </w:rPr>
              <w:t>inadequate housing</w:t>
            </w:r>
            <w:r>
              <w:t>.</w:t>
            </w:r>
          </w:p>
          <w:p w14:paraId="076C1406" w14:textId="158618BF" w:rsidR="002A471F" w:rsidRDefault="002A471F" w:rsidP="00D824EC">
            <w:pPr>
              <w:pStyle w:val="MText"/>
              <w:tabs>
                <w:tab w:val="left" w:pos="2050"/>
              </w:tabs>
            </w:pPr>
            <w:r>
              <w:t xml:space="preserve"> </w:t>
            </w:r>
          </w:p>
          <w:p w14:paraId="383E9B7E" w14:textId="2DD92E47" w:rsidR="00D824EC" w:rsidRPr="00D824EC" w:rsidRDefault="00D824EC" w:rsidP="002A471F">
            <w:pPr>
              <w:pStyle w:val="MText"/>
              <w:rPr>
                <w:b/>
                <w:bCs/>
                <w:i/>
                <w:iCs/>
              </w:rPr>
            </w:pPr>
            <w:r w:rsidRPr="00D824EC">
              <w:rPr>
                <w:b/>
                <w:bCs/>
                <w:i/>
                <w:iCs/>
              </w:rPr>
              <w:t>Slums</w:t>
            </w:r>
          </w:p>
          <w:p w14:paraId="5848EC57" w14:textId="0D96E54E" w:rsidR="002A471F" w:rsidRDefault="002A471F" w:rsidP="00EE3BE5">
            <w:pPr>
              <w:pStyle w:val="MText"/>
            </w:pPr>
            <w:r>
              <w:t xml:space="preserve">An expert group meeting was convened in 2002 by UN-Habitat, the United Nations Statistics Division and the Cities Alliance to agree on an operational definition for slums to be used for measuring the indicator of MDG 7 Target 7.D. The agreed definition classified a </w:t>
            </w:r>
            <w:r>
              <w:rPr>
                <w:i/>
              </w:rPr>
              <w:t>‘slum household’</w:t>
            </w:r>
            <w:r>
              <w:t xml:space="preserve"> as one in which the inhabitants suffer </w:t>
            </w:r>
            <w:r>
              <w:rPr>
                <w:u w:val="single"/>
              </w:rPr>
              <w:t>one or more</w:t>
            </w:r>
            <w:r>
              <w:t xml:space="preserve"> of the following </w:t>
            </w:r>
            <w:r>
              <w:rPr>
                <w:i/>
              </w:rPr>
              <w:t>‘household deprivations’</w:t>
            </w:r>
            <w:r>
              <w:t>:</w:t>
            </w:r>
          </w:p>
          <w:p w14:paraId="009FAE5C" w14:textId="77777777" w:rsidR="002A471F" w:rsidRDefault="002A471F" w:rsidP="002A471F">
            <w:pPr>
              <w:pStyle w:val="MText"/>
              <w:numPr>
                <w:ilvl w:val="0"/>
                <w:numId w:val="22"/>
              </w:numPr>
            </w:pPr>
            <w:r>
              <w:t>Lack of access to improved water source,</w:t>
            </w:r>
          </w:p>
          <w:p w14:paraId="08F0B05B" w14:textId="77777777" w:rsidR="002A471F" w:rsidRDefault="002A471F" w:rsidP="002A471F">
            <w:pPr>
              <w:pStyle w:val="MText"/>
              <w:numPr>
                <w:ilvl w:val="0"/>
                <w:numId w:val="22"/>
              </w:numPr>
            </w:pPr>
            <w:r>
              <w:t xml:space="preserve">Lack of access to improved sanitation facilities, </w:t>
            </w:r>
          </w:p>
          <w:p w14:paraId="14AA37A1" w14:textId="77777777" w:rsidR="002A471F" w:rsidRDefault="002A471F" w:rsidP="002A471F">
            <w:pPr>
              <w:pStyle w:val="MText"/>
              <w:numPr>
                <w:ilvl w:val="0"/>
                <w:numId w:val="22"/>
              </w:numPr>
            </w:pPr>
            <w:r>
              <w:t xml:space="preserve">Lack of sufficient living area, </w:t>
            </w:r>
          </w:p>
          <w:p w14:paraId="6124CCAD" w14:textId="77777777" w:rsidR="002A471F" w:rsidRDefault="002A471F" w:rsidP="002A471F">
            <w:pPr>
              <w:pStyle w:val="MText"/>
              <w:numPr>
                <w:ilvl w:val="0"/>
                <w:numId w:val="22"/>
              </w:numPr>
            </w:pPr>
            <w:r>
              <w:t>Lack of housing durability and,</w:t>
            </w:r>
          </w:p>
          <w:p w14:paraId="5BCCFF58" w14:textId="77777777" w:rsidR="002A471F" w:rsidRDefault="002A471F" w:rsidP="002A471F">
            <w:pPr>
              <w:pStyle w:val="MText"/>
              <w:numPr>
                <w:ilvl w:val="0"/>
                <w:numId w:val="22"/>
              </w:numPr>
            </w:pPr>
            <w:r>
              <w:t xml:space="preserve">Lack of security of tenure. By extension, the term </w:t>
            </w:r>
            <w:r>
              <w:rPr>
                <w:i/>
              </w:rPr>
              <w:t>‘slum dweller’</w:t>
            </w:r>
            <w:r>
              <w:t xml:space="preserve"> refers to a person living in a household that lacks any of the above attributes.</w:t>
            </w:r>
            <w:r>
              <w:rPr>
                <w:rStyle w:val="FootnoteReference"/>
                <w:rFonts w:ascii="Times New Roman" w:hAnsi="Times New Roman"/>
                <w:iCs/>
                <w:color w:val="000000"/>
                <w:sz w:val="24"/>
              </w:rPr>
              <w:footnoteReference w:id="6"/>
            </w:r>
          </w:p>
          <w:p w14:paraId="626CCA1A" w14:textId="77777777" w:rsidR="002A471F" w:rsidRDefault="002A471F" w:rsidP="002A471F">
            <w:pPr>
              <w:pStyle w:val="MText"/>
            </w:pPr>
          </w:p>
          <w:p w14:paraId="0292404F" w14:textId="77777777" w:rsidR="002A471F" w:rsidRDefault="002A471F" w:rsidP="002A471F">
            <w:pPr>
              <w:pStyle w:val="MText"/>
            </w:pPr>
            <w:r>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Pr>
                <w:rStyle w:val="FootnoteReference"/>
                <w:rFonts w:ascii="Times New Roman" w:hAnsi="Times New Roman"/>
                <w:sz w:val="24"/>
              </w:rPr>
              <w:footnoteReference w:id="7"/>
            </w:r>
          </w:p>
          <w:p w14:paraId="3FB9C9A7" w14:textId="77777777" w:rsidR="002A471F" w:rsidRDefault="002A471F" w:rsidP="002A471F">
            <w:pPr>
              <w:pStyle w:val="MText"/>
            </w:pPr>
          </w:p>
          <w:p w14:paraId="5579D2ED" w14:textId="77777777" w:rsidR="002A471F" w:rsidRDefault="002A471F" w:rsidP="002A471F">
            <w:pPr>
              <w:pStyle w:val="MText"/>
            </w:pPr>
            <w:r>
              <w:t xml:space="preserve">1) </w:t>
            </w:r>
            <w:r>
              <w:rPr>
                <w:u w:val="single"/>
              </w:rPr>
              <w:t>Access to improved water</w:t>
            </w:r>
            <w:r>
              <w:t xml:space="preserve"> – A household is considered to have access to improved drinking water if it has sufficient amount of water (20 litres/person/day) for family use, at an affordable price (less than 10% of the total household income) and available to household members without being subject to extreme effort (less than one hour a day for the minimum </w:t>
            </w:r>
            <w:r>
              <w:lastRenderedPageBreak/>
              <w:t>sufficient quantity), especially to women and children. An improved drinking water source is a facility that is protected from outside contamination, in particular from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3D9DB4FA" w14:textId="77777777" w:rsidR="002A471F" w:rsidRDefault="002A471F" w:rsidP="002A471F">
            <w:pPr>
              <w:pStyle w:val="MText"/>
            </w:pPr>
          </w:p>
          <w:p w14:paraId="66349D5B" w14:textId="77777777" w:rsidR="002A471F" w:rsidRDefault="002A471F" w:rsidP="002A471F">
            <w:pPr>
              <w:pStyle w:val="MText"/>
            </w:pPr>
            <w:r>
              <w:t xml:space="preserve">2) </w:t>
            </w:r>
            <w:r>
              <w:rPr>
                <w:u w:val="single"/>
              </w:rPr>
              <w:t>Access to improved sanitation</w:t>
            </w:r>
            <w:r>
              <w:t xml:space="preserve"> – A household is considered to have access to improved sanitation if an excreta disposal system, either in the form of a private toilet or a public toilet shared with a reasonable number of people, is available to household members. Such improved sanitation facilities, therefore, hygienically separates human waste from human contact. Improved facilities include: flush/pour-flush toilets or latrines connected to a sewer, septic tank or pit; ventilated improved pit latrine; pit latrine with a slab or platform, which covers the pit entirely; and, composting toilets/latrines.</w:t>
            </w:r>
          </w:p>
          <w:p w14:paraId="0B85914A" w14:textId="77777777" w:rsidR="002A471F" w:rsidRDefault="002A471F" w:rsidP="002A471F">
            <w:pPr>
              <w:pStyle w:val="MText"/>
            </w:pPr>
          </w:p>
          <w:p w14:paraId="1E238692" w14:textId="15767942" w:rsidR="002A471F" w:rsidRDefault="002A471F" w:rsidP="002A471F">
            <w:pPr>
              <w:pStyle w:val="MText"/>
            </w:pPr>
            <w:r>
              <w:t xml:space="preserve">3) </w:t>
            </w:r>
            <w:r>
              <w:rPr>
                <w:u w:val="single"/>
              </w:rPr>
              <w:t xml:space="preserve">Sufficient living </w:t>
            </w:r>
            <w:r w:rsidRPr="002A471F">
              <w:rPr>
                <w:u w:val="single"/>
              </w:rPr>
              <w:t>area /overcrowding</w:t>
            </w:r>
            <w:r>
              <w:t>– A dwelling unit provides sufficient living area for the household members if not more than three people share the same habitable room.</w:t>
            </w:r>
            <w:r>
              <w:rPr>
                <w:rStyle w:val="FootnoteReference"/>
                <w:rFonts w:ascii="Times New Roman" w:hAnsi="Times New Roman"/>
                <w:iCs/>
                <w:color w:val="000000"/>
                <w:sz w:val="24"/>
              </w:rPr>
              <w:footnoteReference w:id="8"/>
            </w:r>
            <w: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Pr>
                <w:rStyle w:val="FootnoteReference"/>
                <w:rFonts w:ascii="Times New Roman" w:hAnsi="Times New Roman"/>
                <w:iCs/>
                <w:color w:val="000000"/>
                <w:sz w:val="24"/>
              </w:rPr>
              <w:footnoteReference w:id="9"/>
            </w:r>
            <w:r w:rsidR="00D824EC">
              <w:t xml:space="preserve"> </w:t>
            </w:r>
            <w:r>
              <w:t xml:space="preserve"> UN-Habitat believes that the definition as it stands does not reflect the practical experience of overcrowding and as noted below, is proposing an alternative. </w:t>
            </w:r>
          </w:p>
          <w:p w14:paraId="53EE5BD7" w14:textId="77777777" w:rsidR="002A471F" w:rsidRDefault="002A471F" w:rsidP="002A471F">
            <w:pPr>
              <w:pStyle w:val="MText"/>
            </w:pPr>
          </w:p>
          <w:p w14:paraId="7A4627E9" w14:textId="7054E440" w:rsidR="002A471F" w:rsidRDefault="00437A0E" w:rsidP="002A471F">
            <w:pPr>
              <w:tabs>
                <w:tab w:val="left" w:pos="3060"/>
              </w:tabs>
              <w:autoSpaceDE w:val="0"/>
              <w:autoSpaceDN w:val="0"/>
              <w:adjustRightInd w:val="0"/>
              <w:jc w:val="center"/>
              <w:rPr>
                <w:color w:val="000000"/>
                <w:lang w:val="en-GB"/>
              </w:rPr>
            </w:pPr>
            <w:r>
              <w:rPr>
                <w:noProof/>
              </w:rPr>
              <w:lastRenderedPageBreak/>
              <w:drawing>
                <wp:inline distT="0" distB="0" distL="0" distR="0" wp14:anchorId="2251A50F" wp14:editId="1D80C6BC">
                  <wp:extent cx="352933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330" cy="2835275"/>
                          </a:xfrm>
                          <a:prstGeom prst="rect">
                            <a:avLst/>
                          </a:prstGeom>
                          <a:noFill/>
                          <a:ln>
                            <a:noFill/>
                          </a:ln>
                        </pic:spPr>
                      </pic:pic>
                    </a:graphicData>
                  </a:graphic>
                </wp:inline>
              </w:drawing>
            </w:r>
          </w:p>
          <w:p w14:paraId="357AF321" w14:textId="77777777" w:rsidR="002A471F" w:rsidRDefault="002A471F" w:rsidP="002A471F">
            <w:pPr>
              <w:pStyle w:val="MText"/>
            </w:pPr>
            <w:r>
              <w:t xml:space="preserve">4) </w:t>
            </w:r>
            <w:r>
              <w:rPr>
                <w:u w:val="single"/>
              </w:rPr>
              <w:t>Structural quality/durability of dwellings</w:t>
            </w:r>
            <w: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48CE196C" w14:textId="77777777" w:rsidR="002A471F" w:rsidRDefault="002A471F" w:rsidP="002A471F">
            <w:pPr>
              <w:pStyle w:val="MText"/>
            </w:pPr>
          </w:p>
          <w:p w14:paraId="25B2154F" w14:textId="77777777" w:rsidR="002A471F" w:rsidRDefault="002A471F" w:rsidP="002A471F">
            <w:pPr>
              <w:pStyle w:val="MText"/>
            </w:pPr>
            <w:r>
              <w:t xml:space="preserve">5) </w:t>
            </w:r>
            <w:r>
              <w:rPr>
                <w:u w:val="single"/>
              </w:rPr>
              <w:t>Security of tenure</w:t>
            </w:r>
            <w: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w:t>
            </w:r>
            <w:r>
              <w:lastRenderedPageBreak/>
              <w:t>the measurement of this component into the computation of the people living in slums.</w:t>
            </w:r>
          </w:p>
          <w:p w14:paraId="3BE83FB5" w14:textId="77777777" w:rsidR="002A471F" w:rsidRDefault="002A471F" w:rsidP="002A471F">
            <w:pPr>
              <w:pStyle w:val="MSubHeader"/>
            </w:pPr>
          </w:p>
          <w:p w14:paraId="57E0CB95" w14:textId="77777777" w:rsidR="002A471F" w:rsidRPr="00D824EC" w:rsidRDefault="002A471F" w:rsidP="00D824EC">
            <w:pPr>
              <w:pStyle w:val="MText"/>
              <w:rPr>
                <w:b/>
                <w:bCs/>
                <w:i/>
                <w:iCs/>
              </w:rPr>
            </w:pPr>
            <w:r w:rsidRPr="00D824EC">
              <w:rPr>
                <w:b/>
                <w:bCs/>
                <w:i/>
                <w:iCs/>
              </w:rPr>
              <w:t xml:space="preserve">Informal Settlements </w:t>
            </w:r>
          </w:p>
          <w:p w14:paraId="65EF023F" w14:textId="70E78AD8" w:rsidR="002A471F" w:rsidRPr="00335EA0" w:rsidRDefault="002A471F" w:rsidP="00EE3BE5">
            <w:pPr>
              <w:pStyle w:val="MText"/>
              <w:rPr>
                <w:bCs/>
              </w:rPr>
            </w:pPr>
            <w:r w:rsidRPr="00335EA0">
              <w:rPr>
                <w:bCs/>
              </w:rPr>
              <w:t>Informal settlements are usually seen as synonymous of slums, with a particular focus on the formal status of land, structure and services. They are defined by three main criteria, according to Habitat III Issue Paper #22</w:t>
            </w:r>
            <w:r w:rsidRPr="00335EA0">
              <w:rPr>
                <w:bCs/>
              </w:rPr>
              <w:footnoteReference w:id="10"/>
            </w:r>
            <w:r w:rsidRPr="00335EA0">
              <w:rPr>
                <w:bCs/>
              </w:rPr>
              <w:t xml:space="preserve">, which are already covered in the definition of slums. These are: </w:t>
            </w:r>
          </w:p>
          <w:p w14:paraId="1D36130A" w14:textId="77777777" w:rsidR="002A471F" w:rsidRDefault="002A471F" w:rsidP="002A471F">
            <w:pPr>
              <w:pStyle w:val="MText"/>
              <w:numPr>
                <w:ilvl w:val="0"/>
                <w:numId w:val="23"/>
              </w:numPr>
            </w:pPr>
            <w:r>
              <w:rPr>
                <w:u w:val="single"/>
              </w:rPr>
              <w:t>Inhabitants have no security of tenure</w:t>
            </w:r>
            <w:r>
              <w:t xml:space="preserve"> vis-à-vis the land or dwellings they inhabit, with modalities ranging from squatting to informal rental housing, </w:t>
            </w:r>
          </w:p>
          <w:p w14:paraId="3E852C8B" w14:textId="77777777" w:rsidR="002A471F" w:rsidRDefault="002A471F" w:rsidP="002A471F">
            <w:pPr>
              <w:pStyle w:val="MText"/>
              <w:numPr>
                <w:ilvl w:val="0"/>
                <w:numId w:val="23"/>
              </w:numPr>
            </w:pPr>
            <w:r>
              <w:t xml:space="preserve">The </w:t>
            </w:r>
            <w:r>
              <w:rPr>
                <w:u w:val="single"/>
              </w:rPr>
              <w:t>neighbourhoods usually lack, or are cut off from, formal basic services</w:t>
            </w:r>
            <w:r>
              <w:t xml:space="preserve"> and city infrastructure, and </w:t>
            </w:r>
          </w:p>
          <w:p w14:paraId="160A9608" w14:textId="77777777" w:rsidR="002A471F" w:rsidRDefault="002A471F" w:rsidP="002A471F">
            <w:pPr>
              <w:pStyle w:val="MText"/>
              <w:numPr>
                <w:ilvl w:val="0"/>
                <w:numId w:val="23"/>
              </w:numPr>
            </w:pPr>
            <w:r>
              <w:t xml:space="preserve">The </w:t>
            </w:r>
            <w:r>
              <w:rPr>
                <w:u w:val="single"/>
              </w:rPr>
              <w:t>housing may not comply with current planning and building regulations</w:t>
            </w:r>
            <w:r>
              <w:t xml:space="preserve">, is often situated in geographically and environmentally hazardous areas, and may lack a municipal permit. </w:t>
            </w:r>
          </w:p>
          <w:p w14:paraId="2F2A79F6" w14:textId="77777777" w:rsidR="002A471F" w:rsidRDefault="002A471F" w:rsidP="002A471F">
            <w:pPr>
              <w:pStyle w:val="MText"/>
            </w:pPr>
          </w:p>
          <w:p w14:paraId="0B95B008" w14:textId="77777777" w:rsidR="002A471F" w:rsidRDefault="002A471F" w:rsidP="002A471F">
            <w:pPr>
              <w:pStyle w:val="MText"/>
            </w:pPr>
            <w:r>
              <w:t xml:space="preserve">Informal settlements can be occupied by all income levels of urban residents, affluent and poor.   </w:t>
            </w:r>
          </w:p>
          <w:p w14:paraId="088ED855" w14:textId="77777777" w:rsidR="002A471F" w:rsidRDefault="002A471F" w:rsidP="002A471F">
            <w:pPr>
              <w:pStyle w:val="MSubHeader"/>
            </w:pPr>
          </w:p>
          <w:p w14:paraId="6B0DFBE9" w14:textId="77777777" w:rsidR="002A471F" w:rsidRPr="00FF6D43" w:rsidRDefault="002A471F" w:rsidP="00FF6D43">
            <w:pPr>
              <w:pStyle w:val="MText"/>
              <w:rPr>
                <w:b/>
                <w:bCs/>
                <w:i/>
                <w:iCs/>
              </w:rPr>
            </w:pPr>
            <w:r w:rsidRPr="00FF6D43">
              <w:rPr>
                <w:b/>
                <w:bCs/>
                <w:i/>
                <w:iCs/>
              </w:rPr>
              <w:t>Inadequate Housing</w:t>
            </w:r>
          </w:p>
          <w:p w14:paraId="38FA20DD" w14:textId="78A1EDB5" w:rsidR="002A471F" w:rsidRPr="00335EA0" w:rsidRDefault="002A471F" w:rsidP="00EE3BE5">
            <w:pPr>
              <w:pStyle w:val="MText"/>
              <w:rPr>
                <w:bCs/>
              </w:rPr>
            </w:pPr>
            <w:r w:rsidRPr="00335EA0">
              <w:rPr>
                <w:bCs/>
              </w:rPr>
              <w:t>Article 25 of the Universal Declaration of Human Rights includes housing as one of the components of the right to adequate standards of living for all.</w:t>
            </w:r>
            <w:r w:rsidRPr="00335EA0">
              <w:rPr>
                <w:bCs/>
              </w:rPr>
              <w:footnoteReference w:id="11"/>
            </w:r>
            <w:r w:rsidRPr="00335EA0">
              <w:rPr>
                <w:bCs/>
              </w:rP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6ECB822B" w14:textId="77777777" w:rsidR="002A471F" w:rsidRDefault="002A471F" w:rsidP="002A471F">
            <w:pPr>
              <w:pStyle w:val="MText"/>
              <w:numPr>
                <w:ilvl w:val="0"/>
                <w:numId w:val="24"/>
              </w:numPr>
            </w:pPr>
            <w:r>
              <w:rPr>
                <w:u w:val="single"/>
              </w:rPr>
              <w:t>Legal security of tenure</w:t>
            </w:r>
            <w:r>
              <w:t xml:space="preserve">, which guarantees legal protection against forced evictions, harassment and other threats; </w:t>
            </w:r>
          </w:p>
          <w:p w14:paraId="104D9B31" w14:textId="77777777" w:rsidR="002A471F" w:rsidRDefault="002A471F" w:rsidP="002A471F">
            <w:pPr>
              <w:pStyle w:val="MText"/>
              <w:numPr>
                <w:ilvl w:val="0"/>
                <w:numId w:val="24"/>
              </w:numPr>
            </w:pPr>
            <w:r>
              <w:rPr>
                <w:u w:val="single"/>
              </w:rPr>
              <w:t>Availability of services, materials, facilities and infrastructure</w:t>
            </w:r>
            <w:r>
              <w:t xml:space="preserve">, including safe drinking water, adequate </w:t>
            </w:r>
            <w:r>
              <w:lastRenderedPageBreak/>
              <w:t xml:space="preserve">sanitation, energy for cooking, heating, lighting, food storage or refuse disposal; </w:t>
            </w:r>
          </w:p>
          <w:p w14:paraId="0C476C1D" w14:textId="77777777" w:rsidR="002A471F" w:rsidRDefault="002A471F" w:rsidP="002A471F">
            <w:pPr>
              <w:pStyle w:val="MText"/>
              <w:numPr>
                <w:ilvl w:val="0"/>
                <w:numId w:val="24"/>
              </w:numPr>
            </w:pPr>
            <w:r>
              <w:rPr>
                <w:u w:val="single"/>
              </w:rPr>
              <w:t>Affordability</w:t>
            </w:r>
            <w:r>
              <w:t xml:space="preserve">, as housing is not adequate if its cost threatens or compromises the occupants’ enjoyment of other human rights; </w:t>
            </w:r>
          </w:p>
          <w:p w14:paraId="2B0B48B0" w14:textId="77777777" w:rsidR="002A471F" w:rsidRDefault="002A471F" w:rsidP="002A471F">
            <w:pPr>
              <w:pStyle w:val="MText"/>
              <w:numPr>
                <w:ilvl w:val="0"/>
                <w:numId w:val="24"/>
              </w:numPr>
            </w:pPr>
            <w:r>
              <w:rPr>
                <w:u w:val="single"/>
              </w:rPr>
              <w:t>Habitability</w:t>
            </w:r>
            <w:r>
              <w:t xml:space="preserve">, as housing is not adequate if it does not guarantee physical safety or provide adequate space, as well as protection against the cold, damp, heat, rain, wind, other threats to health and structural hazards; </w:t>
            </w:r>
          </w:p>
          <w:p w14:paraId="6AF04B98" w14:textId="77777777" w:rsidR="002A471F" w:rsidRDefault="002A471F" w:rsidP="002A471F">
            <w:pPr>
              <w:pStyle w:val="MText"/>
              <w:numPr>
                <w:ilvl w:val="0"/>
                <w:numId w:val="24"/>
              </w:numPr>
            </w:pPr>
            <w:r>
              <w:rPr>
                <w:u w:val="single"/>
              </w:rPr>
              <w:t>Accessibility</w:t>
            </w:r>
            <w:r>
              <w:t xml:space="preserve">, as housing is not adequate if the specific needs of disadvantaged and marginalized groups are not taken into account (such as the poor, people facing discrimination; persons with disabilities, victims of natural disasters); </w:t>
            </w:r>
          </w:p>
          <w:p w14:paraId="1F91073F" w14:textId="77777777" w:rsidR="002A471F" w:rsidRDefault="002A471F" w:rsidP="002A471F">
            <w:pPr>
              <w:pStyle w:val="MText"/>
              <w:numPr>
                <w:ilvl w:val="0"/>
                <w:numId w:val="24"/>
              </w:numPr>
            </w:pPr>
            <w:r>
              <w:rPr>
                <w:u w:val="single"/>
              </w:rPr>
              <w:t>Location</w:t>
            </w:r>
            <w:r>
              <w:t>, as housing is not adequate if it is cut off from employment opportunities, health-care services, schools, childcare centres and other social facilities, or if located in dangerous or polluted sites or in immediate proximity to pollution sources; and</w:t>
            </w:r>
          </w:p>
          <w:p w14:paraId="19CFCDA3" w14:textId="1EA7A5F5" w:rsidR="002A471F" w:rsidRDefault="002A471F" w:rsidP="002A471F">
            <w:pPr>
              <w:pStyle w:val="MText"/>
              <w:numPr>
                <w:ilvl w:val="0"/>
                <w:numId w:val="24"/>
              </w:numPr>
            </w:pPr>
            <w:r>
              <w:rPr>
                <w:u w:val="single"/>
              </w:rPr>
              <w:t>Cultural adequacy</w:t>
            </w:r>
            <w:r>
              <w:t>, as housing is not adequate if it does not respect and take into account the expression of cultural identity and ways of life.</w:t>
            </w:r>
          </w:p>
          <w:p w14:paraId="209663CD" w14:textId="447F6100" w:rsidR="00335EA0" w:rsidRDefault="00335EA0" w:rsidP="00335EA0">
            <w:pPr>
              <w:pStyle w:val="MText"/>
              <w:rPr>
                <w:u w:val="single"/>
              </w:rPr>
            </w:pPr>
          </w:p>
          <w:tbl>
            <w:tblPr>
              <w:tblStyle w:val="TableGrid"/>
              <w:tblW w:w="0" w:type="auto"/>
              <w:tblInd w:w="360" w:type="dxa"/>
              <w:tblLayout w:type="fixed"/>
              <w:tblLook w:val="04A0" w:firstRow="1" w:lastRow="0" w:firstColumn="1" w:lastColumn="0" w:noHBand="0" w:noVBand="1"/>
            </w:tblPr>
            <w:tblGrid>
              <w:gridCol w:w="2448"/>
              <w:gridCol w:w="967"/>
              <w:gridCol w:w="1378"/>
              <w:gridCol w:w="1262"/>
            </w:tblGrid>
            <w:tr w:rsidR="00335EA0" w14:paraId="4E80DD13" w14:textId="77777777" w:rsidTr="002E7BF2">
              <w:tc>
                <w:tcPr>
                  <w:tcW w:w="6055" w:type="dxa"/>
                  <w:gridSpan w:val="4"/>
                  <w:tcBorders>
                    <w:top w:val="single" w:sz="4" w:space="0" w:color="auto"/>
                    <w:left w:val="single" w:sz="4" w:space="0" w:color="auto"/>
                    <w:bottom w:val="single" w:sz="4" w:space="0" w:color="auto"/>
                    <w:right w:val="single" w:sz="4" w:space="0" w:color="auto"/>
                  </w:tcBorders>
                  <w:hideMark/>
                </w:tcPr>
                <w:p w14:paraId="090CE383" w14:textId="77777777" w:rsidR="00335EA0" w:rsidRDefault="00335EA0" w:rsidP="00335EA0">
                  <w:pPr>
                    <w:pStyle w:val="MSubHeader"/>
                    <w:spacing w:line="240" w:lineRule="auto"/>
                    <w:jc w:val="center"/>
                  </w:pPr>
                  <w:r>
                    <w:t>Table 1. Criteria defining slums, informal settlements and inadequate housing</w:t>
                  </w:r>
                </w:p>
              </w:tc>
            </w:tr>
            <w:tr w:rsidR="00335EA0" w14:paraId="57B39060" w14:textId="77777777" w:rsidTr="002E7BF2">
              <w:tc>
                <w:tcPr>
                  <w:tcW w:w="2448" w:type="dxa"/>
                  <w:tcBorders>
                    <w:top w:val="single" w:sz="4" w:space="0" w:color="auto"/>
                    <w:left w:val="single" w:sz="4" w:space="0" w:color="auto"/>
                    <w:bottom w:val="single" w:sz="4" w:space="0" w:color="auto"/>
                    <w:right w:val="single" w:sz="4" w:space="0" w:color="auto"/>
                  </w:tcBorders>
                </w:tcPr>
                <w:p w14:paraId="40ADFC7E" w14:textId="77777777" w:rsidR="00335EA0" w:rsidRDefault="00335EA0" w:rsidP="00335EA0">
                  <w:pPr>
                    <w:pStyle w:val="MText"/>
                    <w:spacing w:line="240" w:lineRule="auto"/>
                    <w:jc w:val="center"/>
                  </w:pPr>
                </w:p>
              </w:tc>
              <w:tc>
                <w:tcPr>
                  <w:tcW w:w="967" w:type="dxa"/>
                  <w:tcBorders>
                    <w:top w:val="single" w:sz="4" w:space="0" w:color="auto"/>
                    <w:left w:val="single" w:sz="4" w:space="0" w:color="auto"/>
                    <w:bottom w:val="single" w:sz="4" w:space="0" w:color="auto"/>
                    <w:right w:val="single" w:sz="4" w:space="0" w:color="auto"/>
                  </w:tcBorders>
                  <w:hideMark/>
                </w:tcPr>
                <w:p w14:paraId="6DBC3866" w14:textId="77777777" w:rsidR="00335EA0" w:rsidRDefault="00335EA0" w:rsidP="00335EA0">
                  <w:pPr>
                    <w:pStyle w:val="MText"/>
                    <w:spacing w:line="240" w:lineRule="auto"/>
                    <w:jc w:val="center"/>
                  </w:pPr>
                  <w:r>
                    <w:t>Slums</w:t>
                  </w:r>
                </w:p>
              </w:tc>
              <w:tc>
                <w:tcPr>
                  <w:tcW w:w="1378" w:type="dxa"/>
                  <w:tcBorders>
                    <w:top w:val="single" w:sz="4" w:space="0" w:color="auto"/>
                    <w:left w:val="single" w:sz="4" w:space="0" w:color="auto"/>
                    <w:bottom w:val="single" w:sz="4" w:space="0" w:color="auto"/>
                    <w:right w:val="single" w:sz="4" w:space="0" w:color="auto"/>
                  </w:tcBorders>
                  <w:hideMark/>
                </w:tcPr>
                <w:p w14:paraId="68CC9DF5" w14:textId="77777777" w:rsidR="00335EA0" w:rsidRDefault="00335EA0" w:rsidP="00335EA0">
                  <w:pPr>
                    <w:pStyle w:val="MText"/>
                    <w:spacing w:line="240" w:lineRule="auto"/>
                    <w:jc w:val="center"/>
                  </w:pPr>
                  <w:r>
                    <w:t>Informal Settlements</w:t>
                  </w:r>
                </w:p>
              </w:tc>
              <w:tc>
                <w:tcPr>
                  <w:tcW w:w="1260" w:type="dxa"/>
                  <w:tcBorders>
                    <w:top w:val="single" w:sz="4" w:space="0" w:color="auto"/>
                    <w:left w:val="single" w:sz="4" w:space="0" w:color="auto"/>
                    <w:bottom w:val="single" w:sz="4" w:space="0" w:color="auto"/>
                    <w:right w:val="single" w:sz="4" w:space="0" w:color="auto"/>
                  </w:tcBorders>
                  <w:hideMark/>
                </w:tcPr>
                <w:p w14:paraId="0CD4B86B" w14:textId="77777777" w:rsidR="00335EA0" w:rsidRDefault="00335EA0" w:rsidP="00335EA0">
                  <w:pPr>
                    <w:pStyle w:val="MText"/>
                    <w:spacing w:line="240" w:lineRule="auto"/>
                    <w:jc w:val="center"/>
                  </w:pPr>
                  <w:r>
                    <w:t>Inadequate Housing</w:t>
                  </w:r>
                </w:p>
              </w:tc>
            </w:tr>
            <w:tr w:rsidR="00335EA0" w14:paraId="5FDFCD5B"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1EB692DC" w14:textId="77777777" w:rsidR="00335EA0" w:rsidRDefault="00335EA0" w:rsidP="00335EA0">
                  <w:pPr>
                    <w:pStyle w:val="MText"/>
                    <w:spacing w:line="240" w:lineRule="auto"/>
                  </w:pPr>
                  <w:r>
                    <w:t>access to water</w:t>
                  </w:r>
                </w:p>
              </w:tc>
              <w:tc>
                <w:tcPr>
                  <w:tcW w:w="967" w:type="dxa"/>
                  <w:tcBorders>
                    <w:top w:val="single" w:sz="4" w:space="0" w:color="auto"/>
                    <w:left w:val="single" w:sz="4" w:space="0" w:color="auto"/>
                    <w:bottom w:val="single" w:sz="4" w:space="0" w:color="auto"/>
                    <w:right w:val="single" w:sz="4" w:space="0" w:color="auto"/>
                  </w:tcBorders>
                  <w:hideMark/>
                </w:tcPr>
                <w:p w14:paraId="5D2CCF8C"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1B230E98"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AF3A3CE" w14:textId="77777777" w:rsidR="00335EA0" w:rsidRDefault="00335EA0" w:rsidP="00335EA0">
                  <w:pPr>
                    <w:pStyle w:val="MText"/>
                    <w:spacing w:line="240" w:lineRule="auto"/>
                    <w:jc w:val="center"/>
                  </w:pPr>
                  <w:r>
                    <w:t>X</w:t>
                  </w:r>
                </w:p>
              </w:tc>
            </w:tr>
            <w:tr w:rsidR="00335EA0" w14:paraId="6152310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7D60CC1" w14:textId="77777777" w:rsidR="00335EA0" w:rsidRDefault="00335EA0" w:rsidP="00335EA0">
                  <w:pPr>
                    <w:pStyle w:val="MText"/>
                    <w:spacing w:line="240" w:lineRule="auto"/>
                  </w:pPr>
                  <w:r>
                    <w:t>access to sanitation</w:t>
                  </w:r>
                </w:p>
              </w:tc>
              <w:tc>
                <w:tcPr>
                  <w:tcW w:w="967" w:type="dxa"/>
                  <w:tcBorders>
                    <w:top w:val="single" w:sz="4" w:space="0" w:color="auto"/>
                    <w:left w:val="single" w:sz="4" w:space="0" w:color="auto"/>
                    <w:bottom w:val="single" w:sz="4" w:space="0" w:color="auto"/>
                    <w:right w:val="single" w:sz="4" w:space="0" w:color="auto"/>
                  </w:tcBorders>
                  <w:hideMark/>
                </w:tcPr>
                <w:p w14:paraId="59B402C8"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69DB951C"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27F446F0" w14:textId="77777777" w:rsidR="00335EA0" w:rsidRDefault="00335EA0" w:rsidP="00335EA0">
                  <w:pPr>
                    <w:pStyle w:val="MText"/>
                    <w:spacing w:line="240" w:lineRule="auto"/>
                    <w:jc w:val="center"/>
                  </w:pPr>
                  <w:r>
                    <w:t>X</w:t>
                  </w:r>
                </w:p>
              </w:tc>
            </w:tr>
            <w:tr w:rsidR="00335EA0" w14:paraId="17D892FC"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292F3967" w14:textId="77777777" w:rsidR="00335EA0" w:rsidRDefault="00335EA0" w:rsidP="00335EA0">
                  <w:pPr>
                    <w:pStyle w:val="MText"/>
                    <w:spacing w:line="240" w:lineRule="auto"/>
                  </w:pPr>
                  <w:r>
                    <w:t>sufficient living area, overcrowding</w:t>
                  </w:r>
                </w:p>
              </w:tc>
              <w:tc>
                <w:tcPr>
                  <w:tcW w:w="967" w:type="dxa"/>
                  <w:tcBorders>
                    <w:top w:val="single" w:sz="4" w:space="0" w:color="auto"/>
                    <w:left w:val="single" w:sz="4" w:space="0" w:color="auto"/>
                    <w:bottom w:val="single" w:sz="4" w:space="0" w:color="auto"/>
                    <w:right w:val="single" w:sz="4" w:space="0" w:color="auto"/>
                  </w:tcBorders>
                  <w:hideMark/>
                </w:tcPr>
                <w:p w14:paraId="13B9DAD2"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tcPr>
                <w:p w14:paraId="5C0C58D1"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60B84269" w14:textId="77777777" w:rsidR="00335EA0" w:rsidRDefault="00335EA0" w:rsidP="00335EA0">
                  <w:pPr>
                    <w:pStyle w:val="MText"/>
                    <w:spacing w:line="240" w:lineRule="auto"/>
                    <w:jc w:val="center"/>
                  </w:pPr>
                  <w:r>
                    <w:t>X</w:t>
                  </w:r>
                </w:p>
              </w:tc>
            </w:tr>
            <w:tr w:rsidR="00335EA0" w14:paraId="23D8C5A3"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6A8B830B" w14:textId="77777777" w:rsidR="00335EA0" w:rsidRDefault="00335EA0" w:rsidP="00335EA0">
                  <w:pPr>
                    <w:pStyle w:val="MText"/>
                    <w:spacing w:line="240" w:lineRule="auto"/>
                  </w:pPr>
                  <w:r>
                    <w:t>structural quality, durability and location</w:t>
                  </w:r>
                </w:p>
              </w:tc>
              <w:tc>
                <w:tcPr>
                  <w:tcW w:w="967" w:type="dxa"/>
                  <w:tcBorders>
                    <w:top w:val="single" w:sz="4" w:space="0" w:color="auto"/>
                    <w:left w:val="single" w:sz="4" w:space="0" w:color="auto"/>
                    <w:bottom w:val="single" w:sz="4" w:space="0" w:color="auto"/>
                    <w:right w:val="single" w:sz="4" w:space="0" w:color="auto"/>
                  </w:tcBorders>
                  <w:hideMark/>
                </w:tcPr>
                <w:p w14:paraId="052F315D"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7E8573A1"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60B1E631" w14:textId="77777777" w:rsidR="00335EA0" w:rsidRDefault="00335EA0" w:rsidP="00335EA0">
                  <w:pPr>
                    <w:pStyle w:val="MText"/>
                    <w:spacing w:line="240" w:lineRule="auto"/>
                    <w:jc w:val="center"/>
                  </w:pPr>
                  <w:r>
                    <w:t>X</w:t>
                  </w:r>
                </w:p>
              </w:tc>
            </w:tr>
            <w:tr w:rsidR="00335EA0" w14:paraId="3F2EB859"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4E22BDE7" w14:textId="77777777" w:rsidR="00335EA0" w:rsidRDefault="00335EA0" w:rsidP="00335EA0">
                  <w:pPr>
                    <w:pStyle w:val="MText"/>
                    <w:spacing w:line="240" w:lineRule="auto"/>
                  </w:pPr>
                  <w:r>
                    <w:t>security of tenure</w:t>
                  </w:r>
                </w:p>
              </w:tc>
              <w:tc>
                <w:tcPr>
                  <w:tcW w:w="967" w:type="dxa"/>
                  <w:tcBorders>
                    <w:top w:val="single" w:sz="4" w:space="0" w:color="auto"/>
                    <w:left w:val="single" w:sz="4" w:space="0" w:color="auto"/>
                    <w:bottom w:val="single" w:sz="4" w:space="0" w:color="auto"/>
                    <w:right w:val="single" w:sz="4" w:space="0" w:color="auto"/>
                  </w:tcBorders>
                  <w:hideMark/>
                </w:tcPr>
                <w:p w14:paraId="25DC2FE5" w14:textId="77777777" w:rsidR="00335EA0" w:rsidRDefault="00335EA0" w:rsidP="00335EA0">
                  <w:pPr>
                    <w:pStyle w:val="MText"/>
                    <w:spacing w:line="240" w:lineRule="auto"/>
                    <w:jc w:val="center"/>
                  </w:pPr>
                  <w:r>
                    <w:t>X</w:t>
                  </w:r>
                </w:p>
              </w:tc>
              <w:tc>
                <w:tcPr>
                  <w:tcW w:w="1378" w:type="dxa"/>
                  <w:tcBorders>
                    <w:top w:val="single" w:sz="4" w:space="0" w:color="auto"/>
                    <w:left w:val="single" w:sz="4" w:space="0" w:color="auto"/>
                    <w:bottom w:val="single" w:sz="4" w:space="0" w:color="auto"/>
                    <w:right w:val="single" w:sz="4" w:space="0" w:color="auto"/>
                  </w:tcBorders>
                  <w:hideMark/>
                </w:tcPr>
                <w:p w14:paraId="0B262A07" w14:textId="77777777" w:rsidR="00335EA0" w:rsidRDefault="00335EA0" w:rsidP="00335EA0">
                  <w:pPr>
                    <w:pStyle w:val="MText"/>
                    <w:spacing w:line="240" w:lineRule="auto"/>
                    <w:jc w:val="center"/>
                  </w:pPr>
                  <w:r>
                    <w:t>X</w:t>
                  </w:r>
                </w:p>
              </w:tc>
              <w:tc>
                <w:tcPr>
                  <w:tcW w:w="1260" w:type="dxa"/>
                  <w:tcBorders>
                    <w:top w:val="single" w:sz="4" w:space="0" w:color="auto"/>
                    <w:left w:val="single" w:sz="4" w:space="0" w:color="auto"/>
                    <w:bottom w:val="single" w:sz="4" w:space="0" w:color="auto"/>
                    <w:right w:val="single" w:sz="4" w:space="0" w:color="auto"/>
                  </w:tcBorders>
                  <w:hideMark/>
                </w:tcPr>
                <w:p w14:paraId="52270D1B" w14:textId="77777777" w:rsidR="00335EA0" w:rsidRDefault="00335EA0" w:rsidP="00335EA0">
                  <w:pPr>
                    <w:pStyle w:val="MText"/>
                    <w:spacing w:line="240" w:lineRule="auto"/>
                    <w:jc w:val="center"/>
                  </w:pPr>
                  <w:r>
                    <w:t>X</w:t>
                  </w:r>
                </w:p>
              </w:tc>
            </w:tr>
            <w:tr w:rsidR="00335EA0" w14:paraId="13DE61BF"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7E630B9D" w14:textId="77777777" w:rsidR="00335EA0" w:rsidRDefault="00335EA0" w:rsidP="00335EA0">
                  <w:pPr>
                    <w:pStyle w:val="MText"/>
                    <w:spacing w:line="240" w:lineRule="auto"/>
                  </w:pPr>
                  <w:r>
                    <w:t>affordability</w:t>
                  </w:r>
                </w:p>
              </w:tc>
              <w:tc>
                <w:tcPr>
                  <w:tcW w:w="967" w:type="dxa"/>
                  <w:tcBorders>
                    <w:top w:val="single" w:sz="4" w:space="0" w:color="auto"/>
                    <w:left w:val="single" w:sz="4" w:space="0" w:color="auto"/>
                    <w:bottom w:val="single" w:sz="4" w:space="0" w:color="auto"/>
                    <w:right w:val="single" w:sz="4" w:space="0" w:color="auto"/>
                  </w:tcBorders>
                </w:tcPr>
                <w:p w14:paraId="38C18BB5"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74197A63"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0792DCA" w14:textId="77777777" w:rsidR="00335EA0" w:rsidRDefault="00335EA0" w:rsidP="00335EA0">
                  <w:pPr>
                    <w:pStyle w:val="MText"/>
                    <w:spacing w:line="240" w:lineRule="auto"/>
                    <w:jc w:val="center"/>
                  </w:pPr>
                  <w:r>
                    <w:t>X</w:t>
                  </w:r>
                </w:p>
              </w:tc>
            </w:tr>
            <w:tr w:rsidR="00335EA0" w14:paraId="7A82B5EA"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55589B2D" w14:textId="77777777" w:rsidR="00335EA0" w:rsidRDefault="00335EA0" w:rsidP="00335EA0">
                  <w:pPr>
                    <w:pStyle w:val="MText"/>
                    <w:spacing w:line="240" w:lineRule="auto"/>
                  </w:pPr>
                  <w:r>
                    <w:t>accessibility</w:t>
                  </w:r>
                </w:p>
              </w:tc>
              <w:tc>
                <w:tcPr>
                  <w:tcW w:w="967" w:type="dxa"/>
                  <w:tcBorders>
                    <w:top w:val="single" w:sz="4" w:space="0" w:color="auto"/>
                    <w:left w:val="single" w:sz="4" w:space="0" w:color="auto"/>
                    <w:bottom w:val="single" w:sz="4" w:space="0" w:color="auto"/>
                    <w:right w:val="single" w:sz="4" w:space="0" w:color="auto"/>
                  </w:tcBorders>
                </w:tcPr>
                <w:p w14:paraId="4345EF6E"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6CFF1FE2"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1277018A" w14:textId="77777777" w:rsidR="00335EA0" w:rsidRDefault="00335EA0" w:rsidP="00335EA0">
                  <w:pPr>
                    <w:pStyle w:val="MText"/>
                    <w:spacing w:line="240" w:lineRule="auto"/>
                    <w:jc w:val="center"/>
                  </w:pPr>
                  <w:r>
                    <w:t>X</w:t>
                  </w:r>
                </w:p>
              </w:tc>
            </w:tr>
            <w:tr w:rsidR="00335EA0" w14:paraId="2EAB4AB0" w14:textId="77777777" w:rsidTr="002E7BF2">
              <w:tc>
                <w:tcPr>
                  <w:tcW w:w="2448" w:type="dxa"/>
                  <w:tcBorders>
                    <w:top w:val="single" w:sz="4" w:space="0" w:color="auto"/>
                    <w:left w:val="single" w:sz="4" w:space="0" w:color="auto"/>
                    <w:bottom w:val="single" w:sz="4" w:space="0" w:color="auto"/>
                    <w:right w:val="single" w:sz="4" w:space="0" w:color="auto"/>
                  </w:tcBorders>
                  <w:hideMark/>
                </w:tcPr>
                <w:p w14:paraId="0389C759" w14:textId="77777777" w:rsidR="00335EA0" w:rsidRDefault="00335EA0" w:rsidP="00335EA0">
                  <w:pPr>
                    <w:pStyle w:val="MText"/>
                    <w:spacing w:line="240" w:lineRule="auto"/>
                  </w:pPr>
                  <w:r>
                    <w:t>cultural adequacy</w:t>
                  </w:r>
                </w:p>
              </w:tc>
              <w:tc>
                <w:tcPr>
                  <w:tcW w:w="967" w:type="dxa"/>
                  <w:tcBorders>
                    <w:top w:val="single" w:sz="4" w:space="0" w:color="auto"/>
                    <w:left w:val="single" w:sz="4" w:space="0" w:color="auto"/>
                    <w:bottom w:val="single" w:sz="4" w:space="0" w:color="auto"/>
                    <w:right w:val="single" w:sz="4" w:space="0" w:color="auto"/>
                  </w:tcBorders>
                </w:tcPr>
                <w:p w14:paraId="57B16631" w14:textId="77777777" w:rsidR="00335EA0" w:rsidRDefault="00335EA0" w:rsidP="00335EA0">
                  <w:pPr>
                    <w:pStyle w:val="MText"/>
                    <w:spacing w:line="240" w:lineRule="auto"/>
                    <w:jc w:val="center"/>
                  </w:pPr>
                </w:p>
              </w:tc>
              <w:tc>
                <w:tcPr>
                  <w:tcW w:w="1378" w:type="dxa"/>
                  <w:tcBorders>
                    <w:top w:val="single" w:sz="4" w:space="0" w:color="auto"/>
                    <w:left w:val="single" w:sz="4" w:space="0" w:color="auto"/>
                    <w:bottom w:val="single" w:sz="4" w:space="0" w:color="auto"/>
                    <w:right w:val="single" w:sz="4" w:space="0" w:color="auto"/>
                  </w:tcBorders>
                </w:tcPr>
                <w:p w14:paraId="4BAA3CDE" w14:textId="77777777" w:rsidR="00335EA0" w:rsidRDefault="00335EA0" w:rsidP="00335EA0">
                  <w:pPr>
                    <w:pStyle w:val="MText"/>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hideMark/>
                </w:tcPr>
                <w:p w14:paraId="5CEDED09" w14:textId="77777777" w:rsidR="00335EA0" w:rsidRDefault="00335EA0" w:rsidP="00335EA0">
                  <w:pPr>
                    <w:pStyle w:val="MText"/>
                    <w:spacing w:line="240" w:lineRule="auto"/>
                    <w:jc w:val="center"/>
                  </w:pPr>
                  <w:r>
                    <w:t>X</w:t>
                  </w:r>
                </w:p>
              </w:tc>
            </w:tr>
          </w:tbl>
          <w:p w14:paraId="7DA6E8AF" w14:textId="6931873E" w:rsidR="00334DB3" w:rsidRPr="00B6605A" w:rsidRDefault="00334DB3" w:rsidP="00B6605A">
            <w:pPr>
              <w:pStyle w:val="Default"/>
              <w:rPr>
                <w:rFonts w:asciiTheme="minorHAnsi" w:hAnsiTheme="minorHAnsi" w:cstheme="minorHAnsi"/>
                <w:sz w:val="21"/>
                <w:szCs w:val="21"/>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7" w:name="_Toc36636923"/>
            <w:bookmarkStart w:id="18" w:name="_Toc36655611"/>
            <w:bookmarkStart w:id="19" w:name="_Toc36812574"/>
            <w:bookmarkStart w:id="20" w:name="_Toc36812687"/>
            <w:bookmarkStart w:id="21" w:name="_Toc36813074"/>
            <w:r w:rsidRPr="000149A9">
              <w:t>3</w:t>
            </w:r>
            <w:r w:rsidR="004C665C" w:rsidRPr="000149A9">
              <w:t>. Data source type and data collection method</w:t>
            </w:r>
            <w:bookmarkEnd w:id="17"/>
            <w:bookmarkEnd w:id="18"/>
            <w:bookmarkEnd w:id="19"/>
            <w:bookmarkEnd w:id="20"/>
            <w:bookmarkEnd w:id="21"/>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634704BD" w14:textId="54AD8BF2" w:rsidR="00E6571F" w:rsidRDefault="00E6571F" w:rsidP="00E6571F">
            <w:pPr>
              <w:pStyle w:val="MHeader"/>
            </w:pPr>
            <w:r>
              <w:t>Data sources</w:t>
            </w:r>
          </w:p>
          <w:p w14:paraId="368DA765" w14:textId="77777777" w:rsidR="00E6571F" w:rsidRDefault="00E6571F" w:rsidP="00E6571F">
            <w:pPr>
              <w:pStyle w:val="MSubHeader"/>
            </w:pPr>
            <w:r>
              <w:t>Sources and data collection:</w:t>
            </w:r>
          </w:p>
          <w:p w14:paraId="735B9445" w14:textId="77777777" w:rsidR="00E6571F" w:rsidRDefault="00E6571F" w:rsidP="00E6571F">
            <w:pPr>
              <w:pStyle w:val="MText"/>
            </w:pPr>
            <w: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1B541F51" w14:textId="77777777" w:rsidR="00E6571F" w:rsidRDefault="00E6571F" w:rsidP="00E6571F">
            <w:pPr>
              <w:pStyle w:val="MText"/>
            </w:pPr>
          </w:p>
          <w:p w14:paraId="054230D5" w14:textId="77777777" w:rsidR="00E6571F" w:rsidRDefault="00E6571F" w:rsidP="00E6571F">
            <w:pPr>
              <w:pStyle w:val="MText"/>
            </w:pPr>
            <w: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57581D04" w14:textId="77777777" w:rsidR="00E6571F" w:rsidRDefault="00E6571F" w:rsidP="00E6571F">
            <w:pPr>
              <w:pStyle w:val="MText"/>
            </w:pPr>
          </w:p>
          <w:p w14:paraId="1EE62008" w14:textId="599748D3" w:rsidR="006220A3" w:rsidRPr="00E6571F" w:rsidRDefault="00E6571F" w:rsidP="00E6571F">
            <w:pPr>
              <w:pStyle w:val="MText"/>
            </w:pPr>
            <w:r>
              <w:t>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assurance on the use of the tools, analysis and reporting will be deployed regionally and globally, to ensure that standards are uniform and that definitions are universally applied.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A811885" w:rsidR="00AB65AE" w:rsidRPr="004D68B6" w:rsidRDefault="00AB65AE" w:rsidP="00EC064B">
            <w:pPr>
              <w:spacing w:after="0" w:line="240" w:lineRule="auto"/>
              <w:rPr>
                <w:rFonts w:ascii="Calibri" w:eastAsia="Times New Roman" w:hAnsi="Calibri" w:cs="Calibri"/>
                <w:color w:val="000000"/>
              </w:rPr>
            </w:pPr>
            <w:r w:rsidRPr="00FA20D9">
              <w:t>3.</w:t>
            </w:r>
            <w:r w:rsidR="00797DD2">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37D527F" w14:textId="77777777" w:rsidR="00030CA4" w:rsidRDefault="00030CA4" w:rsidP="00030CA4">
            <w:pPr>
              <w:pStyle w:val="MHeader"/>
            </w:pPr>
            <w:r>
              <w:t>Calendar</w:t>
            </w:r>
          </w:p>
          <w:p w14:paraId="5805C371" w14:textId="128F125D" w:rsidR="00AB65AE" w:rsidRPr="00030CA4" w:rsidRDefault="00030CA4" w:rsidP="00030CA4">
            <w:pPr>
              <w:pStyle w:val="MText"/>
            </w:pPr>
            <w:r>
              <w:t xml:space="preserve">All major surveys and census data collection process will continue to incorporate the aspects/components necessary for reporting on this indicator.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20E04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15C03AAD" w:rsidR="00AB65AE" w:rsidRPr="003525CD" w:rsidRDefault="00030CA4" w:rsidP="00030CA4">
            <w:pPr>
              <w:pStyle w:val="MText"/>
              <w:rPr>
                <w:rFonts w:cstheme="minorHAnsi"/>
              </w:rPr>
            </w:pPr>
            <w:r>
              <w:t>The monitoring of this indicator will be repeated at regular intervals of 3-5 years, allowing for three-</w:t>
            </w:r>
            <w:proofErr w:type="gramStart"/>
            <w:r>
              <w:t>five year</w:t>
            </w:r>
            <w:proofErr w:type="gramEnd"/>
            <w:r>
              <w:t xml:space="preserve"> reporting points until the year 2030.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F6C6FB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e.</w:t>
            </w:r>
            <w:r w:rsidRPr="00FA20D9">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12EABE" w14:textId="77777777" w:rsidR="00030CA4" w:rsidRDefault="00030CA4" w:rsidP="00030CA4">
            <w:pPr>
              <w:pStyle w:val="MHeader"/>
            </w:pPr>
            <w:r>
              <w:t>Data providers and compilers</w:t>
            </w:r>
          </w:p>
          <w:p w14:paraId="1CC44C53" w14:textId="69429A0E" w:rsidR="00030CA4" w:rsidRDefault="00030CA4" w:rsidP="00030CA4">
            <w:pPr>
              <w:pStyle w:val="MText"/>
            </w:pPr>
            <w:r>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3B1D0645" w14:textId="77777777" w:rsidR="00030CA4" w:rsidRDefault="00030CA4" w:rsidP="00030CA4">
            <w:pPr>
              <w:pStyle w:val="MText"/>
            </w:pPr>
          </w:p>
          <w:p w14:paraId="406AF515" w14:textId="31B0C2B4" w:rsidR="00AB65AE" w:rsidRPr="00797DD2" w:rsidRDefault="00030CA4" w:rsidP="00797DD2">
            <w:pPr>
              <w:pStyle w:val="MText"/>
            </w:pPr>
            <w:r w:rsidRPr="00797DD2">
              <w:t>For primary reporting, National data provider especially the Statistical agencies will play an important role of generation of the primary data through census and surveys.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C3612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797DD2">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9191C53" w14:textId="7687F986" w:rsidR="00AB65AE" w:rsidRPr="003525CD" w:rsidRDefault="00030CA4" w:rsidP="00030CA4">
            <w:pPr>
              <w:pStyle w:val="MText"/>
              <w:rPr>
                <w:rFonts w:cstheme="minorHAnsi"/>
              </w:rPr>
            </w:pPr>
            <w:r>
              <w:t xml:space="preserve">Final Compilation &amp; reporting at the global level will be </w:t>
            </w:r>
            <w:proofErr w:type="gramStart"/>
            <w:r>
              <w:t>lead</w:t>
            </w:r>
            <w:proofErr w:type="gramEnd"/>
            <w:r>
              <w:t xml:space="preserve"> and guided by UN-Habitat with support from selected partners.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15939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797DD2">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2" w:name="_Toc36655612"/>
            <w:bookmarkStart w:id="23" w:name="_Toc36812575"/>
            <w:bookmarkStart w:id="24" w:name="_Toc36812688"/>
            <w:bookmarkStart w:id="25" w:name="_Toc36813075"/>
            <w:r w:rsidRPr="007A28BA">
              <w:t>4</w:t>
            </w:r>
            <w:r w:rsidR="00F96E8D" w:rsidRPr="007A28BA">
              <w:t>. Other methodological considerations</w:t>
            </w:r>
            <w:bookmarkEnd w:id="22"/>
            <w:bookmarkEnd w:id="23"/>
            <w:bookmarkEnd w:id="24"/>
            <w:bookmarkEnd w:id="25"/>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5287DBB" w14:textId="77777777" w:rsidR="00760C49" w:rsidRDefault="00760C49" w:rsidP="00760C49">
            <w:pPr>
              <w:pStyle w:val="MSubHeader"/>
            </w:pPr>
            <w:r>
              <w:t xml:space="preserve">Rationale: </w:t>
            </w:r>
          </w:p>
          <w:p w14:paraId="0D6C5FDB" w14:textId="77777777" w:rsidR="00760C49" w:rsidRDefault="00760C49" w:rsidP="00760C49">
            <w:pPr>
              <w:pStyle w:val="MText"/>
            </w:pPr>
            <w: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From the seven criteria of adequate housing, the three that are not covered by slums / informal settlements are affordability, accessibility and cultural adequacy. For the purpose of composing an indicator, affordability is the most relevant and easier to measure.   </w:t>
            </w:r>
          </w:p>
          <w:p w14:paraId="11A5FDC6" w14:textId="77777777" w:rsidR="00760C49" w:rsidRDefault="00760C49" w:rsidP="00760C49">
            <w:pPr>
              <w:pStyle w:val="MText"/>
            </w:pPr>
          </w:p>
          <w:p w14:paraId="280544A9" w14:textId="77777777" w:rsidR="00760C49" w:rsidRDefault="00760C49" w:rsidP="00760C49">
            <w:pPr>
              <w:pStyle w:val="MText"/>
            </w:pPr>
            <w:r>
              <w:t xml:space="preserve">Thus, in order to come up with a composite indicator, the metadata for the SDG Indicator 11.1.1 is proposing to group the definition of slums and informal settlements, to allow for comparison with MDGs, and add the element of </w:t>
            </w:r>
            <w:r>
              <w:rPr>
                <w:i/>
              </w:rPr>
              <w:t>affordability</w:t>
            </w:r>
            <w:r>
              <w:t xml:space="preserve"> from the definition of adequate housing. </w:t>
            </w:r>
          </w:p>
          <w:p w14:paraId="6D27D5EB" w14:textId="77777777" w:rsidR="00760C49" w:rsidRDefault="00760C49" w:rsidP="00760C49">
            <w:pPr>
              <w:pStyle w:val="MText"/>
            </w:pPr>
          </w:p>
          <w:p w14:paraId="2C468000" w14:textId="77777777" w:rsidR="00760C49" w:rsidRDefault="00760C49" w:rsidP="00760C49">
            <w:pPr>
              <w:pStyle w:val="MText"/>
            </w:pPr>
            <w:r>
              <w:t xml:space="preserve">In this regard, </w:t>
            </w:r>
            <w:r>
              <w:rPr>
                <w:i/>
              </w:rPr>
              <w:t>housing affordability</w:t>
            </w:r>
            <w: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5CE6A930" w14:textId="77777777" w:rsidR="00E61165" w:rsidRDefault="00E61165" w:rsidP="00760C49">
            <w:pPr>
              <w:pStyle w:val="MText"/>
            </w:pPr>
          </w:p>
          <w:p w14:paraId="27A93B92" w14:textId="23F3D95E" w:rsidR="00760C49" w:rsidRDefault="00760C49" w:rsidP="00760C49">
            <w:pPr>
              <w:pStyle w:val="MText"/>
            </w:pPr>
            <w:r>
              <w:t>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the net monthly expenditure on housing cost that exceeds 30% of the total monthly income of the household.</w:t>
            </w:r>
          </w:p>
          <w:p w14:paraId="4D64829F" w14:textId="77777777" w:rsidR="00E61165" w:rsidRDefault="00E61165" w:rsidP="00760C49">
            <w:pPr>
              <w:pStyle w:val="MText"/>
            </w:pPr>
          </w:p>
          <w:p w14:paraId="225F1307" w14:textId="77777777" w:rsidR="00760C49" w:rsidRDefault="00760C49" w:rsidP="00760C49">
            <w:pPr>
              <w:pStyle w:val="MText"/>
            </w:pPr>
            <w:r>
              <w:lastRenderedPageBreak/>
              <w:t xml:space="preserve">Thus, Indicator 11.1.1 is expected to be a </w:t>
            </w:r>
            <w:r>
              <w:rPr>
                <w:b/>
              </w:rPr>
              <w:t>composite one</w:t>
            </w:r>
            <w:r>
              <w:t xml:space="preserve">, with the main components of slum/informal settlements’ and the added component of affordability defining inadequate housing. Table 1 details the proposed definition of Slum/Informal Settlements and Inadequate Housing as well as the respective measurements. </w:t>
            </w:r>
          </w:p>
          <w:p w14:paraId="3469B5DB" w14:textId="77777777" w:rsidR="00760C49" w:rsidRDefault="00760C49" w:rsidP="00760C49">
            <w:pPr>
              <w:pStyle w:val="MText"/>
            </w:pPr>
          </w:p>
          <w:p w14:paraId="567262E1" w14:textId="4BC82FD0" w:rsidR="00760C49" w:rsidRDefault="00760C49" w:rsidP="00760C49">
            <w:pPr>
              <w:pStyle w:val="MSubHeader"/>
            </w:pPr>
            <w:r>
              <w:t>Table 1 – Definition and measurement criteria for slums, informal settlements and inadequate housing</w:t>
            </w:r>
          </w:p>
          <w:p w14:paraId="59DF2AD5" w14:textId="617B1946" w:rsidR="00531F75" w:rsidRDefault="00531F75" w:rsidP="00760C49">
            <w:pPr>
              <w:pStyle w:val="MSubHeader"/>
            </w:pPr>
          </w:p>
          <w:tbl>
            <w:tblPr>
              <w:tblStyle w:val="TableGrid"/>
              <w:tblpPr w:leftFromText="180" w:rightFromText="180" w:vertAnchor="text" w:tblpY="1"/>
              <w:tblOverlap w:val="never"/>
              <w:tblW w:w="5575" w:type="dxa"/>
              <w:tblLayout w:type="fixed"/>
              <w:tblLook w:val="04A0" w:firstRow="1" w:lastRow="0" w:firstColumn="1" w:lastColumn="0" w:noHBand="0" w:noVBand="1"/>
            </w:tblPr>
            <w:tblGrid>
              <w:gridCol w:w="1345"/>
              <w:gridCol w:w="2190"/>
              <w:gridCol w:w="2040"/>
            </w:tblGrid>
            <w:tr w:rsidR="00531F75" w14:paraId="7D587186" w14:textId="77777777" w:rsidTr="00531F75">
              <w:trPr>
                <w:trHeight w:val="880"/>
              </w:trPr>
              <w:tc>
                <w:tcPr>
                  <w:tcW w:w="1345" w:type="dxa"/>
                  <w:tcBorders>
                    <w:top w:val="single" w:sz="4" w:space="0" w:color="auto"/>
                    <w:left w:val="single" w:sz="4" w:space="0" w:color="auto"/>
                    <w:bottom w:val="single" w:sz="4" w:space="0" w:color="auto"/>
                    <w:right w:val="single" w:sz="4" w:space="0" w:color="auto"/>
                  </w:tcBorders>
                  <w:hideMark/>
                </w:tcPr>
                <w:p w14:paraId="7ED33F7D" w14:textId="77777777" w:rsidR="00531F75" w:rsidRDefault="00531F75" w:rsidP="00531F75">
                  <w:pPr>
                    <w:pStyle w:val="MSubHeader"/>
                    <w:spacing w:line="240" w:lineRule="auto"/>
                    <w:ind w:left="65"/>
                    <w:rPr>
                      <w:sz w:val="20"/>
                    </w:rPr>
                  </w:pPr>
                  <w:r>
                    <w:t>Slums / Informal Settlements</w:t>
                  </w:r>
                </w:p>
              </w:tc>
              <w:tc>
                <w:tcPr>
                  <w:tcW w:w="2190" w:type="dxa"/>
                  <w:tcBorders>
                    <w:top w:val="single" w:sz="4" w:space="0" w:color="auto"/>
                    <w:left w:val="single" w:sz="4" w:space="0" w:color="auto"/>
                    <w:bottom w:val="single" w:sz="4" w:space="0" w:color="auto"/>
                    <w:right w:val="single" w:sz="4" w:space="0" w:color="auto"/>
                  </w:tcBorders>
                </w:tcPr>
                <w:p w14:paraId="0937A090" w14:textId="77777777" w:rsidR="00531F75" w:rsidRDefault="00531F75" w:rsidP="00531F75">
                  <w:pPr>
                    <w:pStyle w:val="MSubHeader"/>
                    <w:spacing w:line="240" w:lineRule="auto"/>
                  </w:pPr>
                  <w:r>
                    <w:t>DEFINITION:</w:t>
                  </w:r>
                </w:p>
                <w:p w14:paraId="36177B6C" w14:textId="77777777" w:rsidR="00531F75" w:rsidRDefault="00531F75" w:rsidP="00531F75">
                  <w:pPr>
                    <w:pStyle w:val="MText"/>
                    <w:spacing w:line="240" w:lineRule="auto"/>
                  </w:pPr>
                  <w:r>
                    <w:t>As adopted in the MDG, household where the inhabitants suffer one or more of the following ‘household deprivations’: 1) Lack of access to improved water source, 2) Lack of access to improved sanitation facilities, 3) Lack of sufficient living area, 4) Lack of housing durability and, 5) Lack of security of tenure).</w:t>
                  </w:r>
                </w:p>
                <w:p w14:paraId="3DE6A02C" w14:textId="77777777" w:rsidR="00531F75" w:rsidRDefault="00531F75" w:rsidP="00531F75">
                  <w:pPr>
                    <w:pStyle w:val="MText"/>
                    <w:spacing w:line="240" w:lineRule="auto"/>
                    <w:rPr>
                      <w:sz w:val="20"/>
                    </w:rPr>
                  </w:pPr>
                </w:p>
                <w:p w14:paraId="539B8BD4" w14:textId="77777777" w:rsidR="00531F75" w:rsidRDefault="00531F75" w:rsidP="00531F75">
                  <w:pPr>
                    <w:pStyle w:val="MText"/>
                    <w:spacing w:line="240" w:lineRule="auto"/>
                    <w:rPr>
                      <w:sz w:val="20"/>
                    </w:rPr>
                  </w:pPr>
                </w:p>
              </w:tc>
              <w:tc>
                <w:tcPr>
                  <w:tcW w:w="2040" w:type="dxa"/>
                  <w:tcBorders>
                    <w:top w:val="single" w:sz="4" w:space="0" w:color="auto"/>
                    <w:left w:val="single" w:sz="4" w:space="0" w:color="auto"/>
                    <w:bottom w:val="single" w:sz="4" w:space="0" w:color="auto"/>
                    <w:right w:val="single" w:sz="4" w:space="0" w:color="auto"/>
                  </w:tcBorders>
                </w:tcPr>
                <w:p w14:paraId="115027AC" w14:textId="77777777" w:rsidR="00531F75" w:rsidRDefault="00531F75" w:rsidP="00531F75">
                  <w:pPr>
                    <w:pStyle w:val="MSubHeader"/>
                    <w:spacing w:line="240" w:lineRule="auto"/>
                  </w:pPr>
                  <w:r>
                    <w:t>MEASUREMENT</w:t>
                  </w:r>
                  <w:r>
                    <w:rPr>
                      <w:rStyle w:val="FootnoteReference"/>
                      <w:rFonts w:ascii="Times New Roman" w:hAnsi="Times New Roman"/>
                      <w:color w:val="231F20"/>
                      <w:szCs w:val="20"/>
                    </w:rPr>
                    <w:footnoteReference w:id="12"/>
                  </w:r>
                  <w:r>
                    <w:t>:</w:t>
                  </w:r>
                </w:p>
                <w:p w14:paraId="4B0EBB4A" w14:textId="77777777" w:rsidR="00531F75" w:rsidRDefault="00531F75" w:rsidP="00531F75">
                  <w:pPr>
                    <w:pStyle w:val="MText"/>
                    <w:spacing w:line="240" w:lineRule="auto"/>
                    <w:rPr>
                      <w:i/>
                    </w:rPr>
                  </w:pPr>
                  <w:r>
                    <w:rPr>
                      <w:i/>
                    </w:rPr>
                    <w:t>Security of Tenure:</w:t>
                  </w:r>
                </w:p>
                <w:p w14:paraId="0F33DC81" w14:textId="77777777" w:rsidR="00531F75" w:rsidRDefault="00531F75" w:rsidP="00531F75">
                  <w:pPr>
                    <w:pStyle w:val="MText"/>
                    <w:spacing w:line="240" w:lineRule="auto"/>
                  </w:pPr>
                  <w:r>
                    <w:t>• Proportion of households with formal title deeds to both land and residence.</w:t>
                  </w:r>
                </w:p>
                <w:p w14:paraId="539EF370" w14:textId="77777777" w:rsidR="00531F75" w:rsidRDefault="00531F75" w:rsidP="00531F75">
                  <w:pPr>
                    <w:pStyle w:val="MText"/>
                    <w:spacing w:line="240" w:lineRule="auto"/>
                  </w:pPr>
                  <w:r>
                    <w:t>• Proportion of households with formal title deeds to either one of land or residence.</w:t>
                  </w:r>
                </w:p>
                <w:p w14:paraId="13EE00D5" w14:textId="77777777" w:rsidR="00531F75" w:rsidRDefault="00531F75" w:rsidP="00531F75">
                  <w:pPr>
                    <w:pStyle w:val="MText"/>
                    <w:spacing w:line="240" w:lineRule="auto"/>
                  </w:pPr>
                  <w:r>
                    <w:t>• Proportion of households with agreements or any document as a proof of a tenure arrangement.</w:t>
                  </w:r>
                </w:p>
                <w:p w14:paraId="2CA2A97F" w14:textId="77777777" w:rsidR="00531F75" w:rsidRDefault="00531F75" w:rsidP="00531F75">
                  <w:pPr>
                    <w:pStyle w:val="MText"/>
                    <w:spacing w:line="240" w:lineRule="auto"/>
                  </w:pPr>
                </w:p>
                <w:p w14:paraId="774D36DD" w14:textId="77777777" w:rsidR="00531F75" w:rsidRDefault="00531F75" w:rsidP="00531F75">
                  <w:pPr>
                    <w:pStyle w:val="MText"/>
                    <w:spacing w:line="240" w:lineRule="auto"/>
                    <w:rPr>
                      <w:i/>
                    </w:rPr>
                  </w:pPr>
                  <w:r>
                    <w:rPr>
                      <w:i/>
                    </w:rPr>
                    <w:t>Adequate water:</w:t>
                  </w:r>
                </w:p>
                <w:p w14:paraId="683EB24C" w14:textId="77777777" w:rsidR="00531F75" w:rsidRDefault="00531F75" w:rsidP="00531F75">
                  <w:pPr>
                    <w:pStyle w:val="MText"/>
                    <w:spacing w:line="240" w:lineRule="auto"/>
                  </w:pPr>
                  <w:r>
                    <w:t>A settlement has an inadequate drinking water supply if less than 50% of households have an improved water supply:</w:t>
                  </w:r>
                </w:p>
                <w:p w14:paraId="484AEABF" w14:textId="77777777" w:rsidR="00531F75" w:rsidRDefault="00531F75" w:rsidP="00531F75">
                  <w:pPr>
                    <w:pStyle w:val="MText"/>
                    <w:spacing w:line="240" w:lineRule="auto"/>
                  </w:pPr>
                  <w:r>
                    <w:t>•household connection;</w:t>
                  </w:r>
                </w:p>
                <w:p w14:paraId="7D1C72C1" w14:textId="77777777" w:rsidR="00531F75" w:rsidRDefault="00531F75" w:rsidP="00531F75">
                  <w:pPr>
                    <w:pStyle w:val="MText"/>
                    <w:spacing w:line="240" w:lineRule="auto"/>
                  </w:pPr>
                  <w:r>
                    <w:t>•access to public stand pipe;</w:t>
                  </w:r>
                </w:p>
                <w:p w14:paraId="476B605B" w14:textId="77777777" w:rsidR="00531F75" w:rsidRDefault="00531F75" w:rsidP="00531F75">
                  <w:pPr>
                    <w:pStyle w:val="MText"/>
                    <w:spacing w:line="240" w:lineRule="auto"/>
                  </w:pPr>
                  <w:r>
                    <w:t xml:space="preserve">•rainwater collection; with at least 20 </w:t>
                  </w:r>
                  <w:proofErr w:type="spellStart"/>
                  <w:r>
                    <w:t>liters</w:t>
                  </w:r>
                  <w:proofErr w:type="spellEnd"/>
                  <w:r>
                    <w:t xml:space="preserve">/person/day available within an </w:t>
                  </w:r>
                  <w:r>
                    <w:lastRenderedPageBreak/>
                    <w:t>acceptable collection distance.</w:t>
                  </w:r>
                </w:p>
                <w:p w14:paraId="7D5C61D7" w14:textId="77777777" w:rsidR="00531F75" w:rsidRDefault="00531F75" w:rsidP="00531F75">
                  <w:pPr>
                    <w:pStyle w:val="MText"/>
                    <w:spacing w:line="240" w:lineRule="auto"/>
                  </w:pPr>
                </w:p>
                <w:p w14:paraId="5C226CB1" w14:textId="77777777" w:rsidR="00531F75" w:rsidRDefault="00531F75" w:rsidP="00531F75">
                  <w:pPr>
                    <w:pStyle w:val="MText"/>
                    <w:spacing w:line="240" w:lineRule="auto"/>
                    <w:rPr>
                      <w:i/>
                    </w:rPr>
                  </w:pPr>
                  <w:r>
                    <w:rPr>
                      <w:i/>
                    </w:rPr>
                    <w:t>Access to sanitation:</w:t>
                  </w:r>
                </w:p>
                <w:p w14:paraId="2FB0983F" w14:textId="77777777" w:rsidR="00531F75" w:rsidRDefault="00531F75" w:rsidP="00531F75">
                  <w:pPr>
                    <w:pStyle w:val="MText"/>
                    <w:spacing w:line="240" w:lineRule="auto"/>
                  </w:pPr>
                  <w:r>
                    <w:t>A settlement has inadequate sanitation if less than 50% of households have improved sanitation:</w:t>
                  </w:r>
                </w:p>
                <w:p w14:paraId="24CD697A" w14:textId="77777777" w:rsidR="00531F75" w:rsidRDefault="00531F75" w:rsidP="00531F75">
                  <w:pPr>
                    <w:pStyle w:val="MText"/>
                    <w:spacing w:line="240" w:lineRule="auto"/>
                  </w:pPr>
                  <w:r>
                    <w:t>• public sewer;</w:t>
                  </w:r>
                </w:p>
                <w:p w14:paraId="775436D2" w14:textId="77777777" w:rsidR="00531F75" w:rsidRDefault="00531F75" w:rsidP="00531F75">
                  <w:pPr>
                    <w:pStyle w:val="MText"/>
                    <w:spacing w:line="240" w:lineRule="auto"/>
                  </w:pPr>
                  <w:r>
                    <w:t>• septic tank;</w:t>
                  </w:r>
                </w:p>
                <w:p w14:paraId="74C81DC2" w14:textId="77777777" w:rsidR="00531F75" w:rsidRDefault="00531F75" w:rsidP="00531F75">
                  <w:pPr>
                    <w:pStyle w:val="MText"/>
                    <w:spacing w:line="240" w:lineRule="auto"/>
                  </w:pPr>
                  <w:r>
                    <w:t>• pour-flush latrine;</w:t>
                  </w:r>
                </w:p>
                <w:p w14:paraId="3C2A84E7" w14:textId="77777777" w:rsidR="00531F75" w:rsidRDefault="00531F75" w:rsidP="00531F75">
                  <w:pPr>
                    <w:pStyle w:val="MText"/>
                    <w:spacing w:line="240" w:lineRule="auto"/>
                  </w:pPr>
                  <w:r>
                    <w:t>• Ventilated improved pit latrine.</w:t>
                  </w:r>
                </w:p>
                <w:p w14:paraId="46395B46" w14:textId="77777777" w:rsidR="00531F75" w:rsidRDefault="00531F75" w:rsidP="00531F75">
                  <w:pPr>
                    <w:pStyle w:val="MText"/>
                    <w:spacing w:line="240" w:lineRule="auto"/>
                  </w:pPr>
                  <w:r>
                    <w:t>The excreta disposal system is considered adequate if it is private or shared by a maximum of two households.</w:t>
                  </w:r>
                </w:p>
                <w:p w14:paraId="216F5F9A" w14:textId="77777777" w:rsidR="00531F75" w:rsidRDefault="00531F75" w:rsidP="00531F75">
                  <w:pPr>
                    <w:pStyle w:val="MText"/>
                    <w:spacing w:line="240" w:lineRule="auto"/>
                    <w:rPr>
                      <w:i/>
                    </w:rPr>
                  </w:pPr>
                </w:p>
                <w:p w14:paraId="48B3623F" w14:textId="77777777" w:rsidR="00531F75" w:rsidRDefault="00531F75" w:rsidP="00531F75">
                  <w:pPr>
                    <w:pStyle w:val="MText"/>
                    <w:spacing w:line="240" w:lineRule="auto"/>
                  </w:pPr>
                  <w:r>
                    <w:rPr>
                      <w:i/>
                    </w:rPr>
                    <w:t>Structural quality of Housing and location:</w:t>
                  </w:r>
                  <w:r>
                    <w:t xml:space="preserve"> Proportion of households residing on or near a hazardous site. The following locations should be considered:</w:t>
                  </w:r>
                </w:p>
                <w:p w14:paraId="24CCF9C8" w14:textId="77777777" w:rsidR="00531F75" w:rsidRDefault="00531F75" w:rsidP="00531F75">
                  <w:pPr>
                    <w:pStyle w:val="MText"/>
                    <w:spacing w:line="240" w:lineRule="auto"/>
                  </w:pPr>
                  <w:r>
                    <w:t>• housing in geologically hazardous zones (landslide/earthquake and flood areas);</w:t>
                  </w:r>
                </w:p>
                <w:p w14:paraId="669740E6" w14:textId="77777777" w:rsidR="00531F75" w:rsidRDefault="00531F75" w:rsidP="00531F75">
                  <w:pPr>
                    <w:pStyle w:val="MText"/>
                    <w:spacing w:line="240" w:lineRule="auto"/>
                  </w:pPr>
                  <w:r>
                    <w:t>• housing on or under garbage mountains;</w:t>
                  </w:r>
                </w:p>
                <w:p w14:paraId="53A1B030" w14:textId="77777777" w:rsidR="00531F75" w:rsidRDefault="00531F75" w:rsidP="00531F75">
                  <w:pPr>
                    <w:pStyle w:val="MText"/>
                    <w:spacing w:line="240" w:lineRule="auto"/>
                  </w:pPr>
                  <w:r>
                    <w:t>• housing around high-industrial pollution areas;</w:t>
                  </w:r>
                </w:p>
                <w:p w14:paraId="7CF10C35" w14:textId="77777777" w:rsidR="00531F75" w:rsidRDefault="00531F75" w:rsidP="00531F75">
                  <w:pPr>
                    <w:pStyle w:val="MText"/>
                    <w:spacing w:line="240" w:lineRule="auto"/>
                  </w:pPr>
                  <w:r>
                    <w:t>• housing around other unprotected high-risk zones (e.g. railroads, airports, energy transmission lines).</w:t>
                  </w:r>
                </w:p>
                <w:p w14:paraId="466E473D" w14:textId="77777777" w:rsidR="00531F75" w:rsidRDefault="00531F75" w:rsidP="00531F75">
                  <w:pPr>
                    <w:pStyle w:val="MText"/>
                    <w:spacing w:line="240" w:lineRule="auto"/>
                  </w:pPr>
                </w:p>
                <w:p w14:paraId="0FAFBDEA" w14:textId="77777777" w:rsidR="00531F75" w:rsidRDefault="00531F75" w:rsidP="00531F75">
                  <w:pPr>
                    <w:pStyle w:val="MText"/>
                    <w:spacing w:line="240" w:lineRule="auto"/>
                    <w:rPr>
                      <w:i/>
                    </w:rPr>
                  </w:pPr>
                  <w:r>
                    <w:rPr>
                      <w:i/>
                    </w:rPr>
                    <w:lastRenderedPageBreak/>
                    <w:t>Structural quality of the housing and permanency of the structure:</w:t>
                  </w:r>
                </w:p>
                <w:p w14:paraId="641569CF" w14:textId="77777777" w:rsidR="00531F75" w:rsidRDefault="00531F75" w:rsidP="00531F75">
                  <w:pPr>
                    <w:pStyle w:val="MText"/>
                    <w:spacing w:line="240" w:lineRule="auto"/>
                  </w:pPr>
                  <w:r>
                    <w:t>Proportion of households living in temporary and/or dilapidated structures. The following factors should be considered when placing a housing unit in these categories:</w:t>
                  </w:r>
                </w:p>
                <w:p w14:paraId="2489260F" w14:textId="77777777" w:rsidR="00531F75" w:rsidRDefault="00531F75" w:rsidP="00531F75">
                  <w:pPr>
                    <w:pStyle w:val="MText"/>
                    <w:spacing w:line="240" w:lineRule="auto"/>
                  </w:pPr>
                  <w:r>
                    <w:t>• quality of construction (e.g. materials used for wall, floor and roof);</w:t>
                  </w:r>
                </w:p>
                <w:p w14:paraId="3C85CA97" w14:textId="77777777" w:rsidR="00531F75" w:rsidRDefault="00531F75" w:rsidP="00531F75">
                  <w:pPr>
                    <w:pStyle w:val="MText"/>
                    <w:spacing w:line="240" w:lineRule="auto"/>
                  </w:pPr>
                  <w:r>
                    <w:t>• compliance with local building codes, standards and bylaws.</w:t>
                  </w:r>
                </w:p>
                <w:p w14:paraId="73B9E515" w14:textId="77777777" w:rsidR="00531F75" w:rsidRDefault="00531F75" w:rsidP="00531F75">
                  <w:pPr>
                    <w:pStyle w:val="MText"/>
                    <w:spacing w:line="240" w:lineRule="auto"/>
                  </w:pPr>
                </w:p>
                <w:p w14:paraId="3D965BDA" w14:textId="77777777" w:rsidR="00531F75" w:rsidRDefault="00531F75" w:rsidP="00531F75">
                  <w:pPr>
                    <w:pStyle w:val="MText"/>
                    <w:spacing w:line="240" w:lineRule="auto"/>
                    <w:rPr>
                      <w:i/>
                    </w:rPr>
                  </w:pPr>
                  <w:r>
                    <w:rPr>
                      <w:i/>
                    </w:rPr>
                    <w:t>Sufficient living area / Overcrowding:</w:t>
                  </w:r>
                </w:p>
                <w:p w14:paraId="4C4E9289" w14:textId="77777777" w:rsidR="00531F75" w:rsidRDefault="00531F75" w:rsidP="00531F75">
                  <w:pPr>
                    <w:pStyle w:val="MText"/>
                    <w:spacing w:line="240" w:lineRule="auto"/>
                  </w:pPr>
                  <w:r>
                    <w:t>• Proportion of households with more than two persons per room.</w:t>
                  </w:r>
                </w:p>
              </w:tc>
            </w:tr>
            <w:tr w:rsidR="00531F75" w14:paraId="27A2C51C" w14:textId="77777777" w:rsidTr="00EE3BE5">
              <w:trPr>
                <w:trHeight w:val="1451"/>
              </w:trPr>
              <w:tc>
                <w:tcPr>
                  <w:tcW w:w="1345" w:type="dxa"/>
                  <w:tcBorders>
                    <w:top w:val="single" w:sz="4" w:space="0" w:color="auto"/>
                    <w:left w:val="single" w:sz="4" w:space="0" w:color="auto"/>
                    <w:bottom w:val="single" w:sz="4" w:space="0" w:color="auto"/>
                    <w:right w:val="single" w:sz="4" w:space="0" w:color="auto"/>
                  </w:tcBorders>
                  <w:hideMark/>
                </w:tcPr>
                <w:p w14:paraId="45082721" w14:textId="77777777" w:rsidR="00531F75" w:rsidRDefault="00531F75" w:rsidP="00EE3BE5">
                  <w:pPr>
                    <w:pStyle w:val="MSubHeader"/>
                    <w:spacing w:line="240" w:lineRule="auto"/>
                    <w:rPr>
                      <w:sz w:val="20"/>
                    </w:rPr>
                  </w:pPr>
                  <w:r>
                    <w:lastRenderedPageBreak/>
                    <w:t xml:space="preserve">Inadequate housing </w:t>
                  </w:r>
                </w:p>
              </w:tc>
              <w:tc>
                <w:tcPr>
                  <w:tcW w:w="2190" w:type="dxa"/>
                  <w:tcBorders>
                    <w:top w:val="single" w:sz="4" w:space="0" w:color="auto"/>
                    <w:left w:val="single" w:sz="4" w:space="0" w:color="auto"/>
                    <w:bottom w:val="single" w:sz="4" w:space="0" w:color="auto"/>
                    <w:right w:val="single" w:sz="4" w:space="0" w:color="auto"/>
                  </w:tcBorders>
                  <w:hideMark/>
                </w:tcPr>
                <w:p w14:paraId="64D1E3CB" w14:textId="77777777" w:rsidR="00531F75" w:rsidRDefault="00531F75" w:rsidP="00EE3BE5">
                  <w:pPr>
                    <w:pStyle w:val="MSubHeader"/>
                    <w:spacing w:line="240" w:lineRule="auto"/>
                  </w:pPr>
                  <w:r>
                    <w:t xml:space="preserve">DEFINITION: </w:t>
                  </w:r>
                </w:p>
                <w:p w14:paraId="631CD589" w14:textId="77777777" w:rsidR="00531F75" w:rsidRDefault="00531F75" w:rsidP="00EE3BE5">
                  <w:pPr>
                    <w:pStyle w:val="MText"/>
                    <w:spacing w:line="240" w:lineRule="auto"/>
                    <w:rPr>
                      <w:sz w:val="20"/>
                    </w:rPr>
                  </w:pPr>
                  <w:r>
                    <w:t>Proposed to complement the slums/informal settlements measuring affordability of housing at the global level.</w:t>
                  </w:r>
                </w:p>
              </w:tc>
              <w:tc>
                <w:tcPr>
                  <w:tcW w:w="2040" w:type="dxa"/>
                  <w:tcBorders>
                    <w:top w:val="single" w:sz="4" w:space="0" w:color="auto"/>
                    <w:left w:val="single" w:sz="4" w:space="0" w:color="auto"/>
                    <w:bottom w:val="single" w:sz="4" w:space="0" w:color="auto"/>
                    <w:right w:val="single" w:sz="4" w:space="0" w:color="auto"/>
                  </w:tcBorders>
                  <w:hideMark/>
                </w:tcPr>
                <w:p w14:paraId="6438CD19" w14:textId="77777777" w:rsidR="00531F75" w:rsidRDefault="00531F75" w:rsidP="00EE3BE5">
                  <w:pPr>
                    <w:pStyle w:val="MSubHeader"/>
                    <w:spacing w:line="240" w:lineRule="auto"/>
                  </w:pPr>
                  <w:r>
                    <w:t xml:space="preserve">MEASUREMENT: </w:t>
                  </w:r>
                </w:p>
                <w:p w14:paraId="72211A3C" w14:textId="77777777" w:rsidR="00531F75" w:rsidRDefault="00531F75" w:rsidP="00EE3BE5">
                  <w:pPr>
                    <w:pStyle w:val="MText"/>
                    <w:spacing w:line="240" w:lineRule="auto"/>
                    <w:rPr>
                      <w:i/>
                    </w:rPr>
                  </w:pPr>
                  <w:r>
                    <w:rPr>
                      <w:i/>
                    </w:rPr>
                    <w:t xml:space="preserve">Affordability: </w:t>
                  </w:r>
                </w:p>
                <w:p w14:paraId="7AF86E0C" w14:textId="77777777" w:rsidR="00531F75" w:rsidRDefault="00531F75" w:rsidP="00EE3BE5">
                  <w:pPr>
                    <w:pStyle w:val="MText"/>
                    <w:spacing w:line="240" w:lineRule="auto"/>
                  </w:pPr>
                  <w:r>
                    <w:t>• Proportion of households with net monthly expenditure on housing exceeding 30% of the total monthly income of the household.</w:t>
                  </w:r>
                </w:p>
              </w:tc>
            </w:tr>
          </w:tbl>
          <w:p w14:paraId="6F5859B0" w14:textId="6B3ABA2B" w:rsidR="007C63C4" w:rsidRPr="00B6605A" w:rsidRDefault="007C63C4" w:rsidP="00B6605A">
            <w:pPr>
              <w:pStyle w:val="Default"/>
              <w:rPr>
                <w:rFonts w:asciiTheme="minorHAnsi" w:hAnsiTheme="minorHAnsi" w:cstheme="minorHAnsi"/>
                <w:sz w:val="21"/>
                <w:szCs w:val="21"/>
              </w:rPr>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0C593F6" w14:textId="77777777" w:rsidR="00E61165" w:rsidRDefault="00E61165" w:rsidP="00E61165">
            <w:pPr>
              <w:pStyle w:val="MSubHeader"/>
            </w:pPr>
            <w:r>
              <w:t>Comments and limitations:</w:t>
            </w:r>
          </w:p>
          <w:p w14:paraId="36CA0615" w14:textId="77777777" w:rsidR="00E61165" w:rsidRDefault="00E61165" w:rsidP="00E61165">
            <w:pPr>
              <w:pStyle w:val="MText"/>
            </w:pPr>
            <w:r>
              <w:t>As with all indicators, there are a number of potential challenges and limitations. Some of these are outlined below.</w:t>
            </w:r>
          </w:p>
          <w:p w14:paraId="7F581291" w14:textId="77777777" w:rsidR="00E61165" w:rsidRDefault="00E61165" w:rsidP="00E61165">
            <w:pPr>
              <w:pStyle w:val="MText"/>
              <w:numPr>
                <w:ilvl w:val="0"/>
                <w:numId w:val="25"/>
              </w:numPr>
              <w:ind w:left="370"/>
            </w:pPr>
            <w:r>
              <w:t>Difficulties to agree universally on some definitions and characteristics when referring to deteriorated housing conditions, often due to political or economic considerations.</w:t>
            </w:r>
          </w:p>
          <w:p w14:paraId="70CD4028" w14:textId="77777777" w:rsidR="00E61165" w:rsidRDefault="00E61165" w:rsidP="00E61165">
            <w:pPr>
              <w:pStyle w:val="MText"/>
              <w:numPr>
                <w:ilvl w:val="0"/>
                <w:numId w:val="25"/>
              </w:numPr>
              <w:ind w:left="370"/>
            </w:pPr>
            <w:r>
              <w:t xml:space="preserve">Lack of appropriate tools at national and city levels to measure all components required by Indicator 11.1.1, </w:t>
            </w:r>
            <w:r>
              <w:lastRenderedPageBreak/>
              <w:t>sometimes resulting in the underestimation of deteriorated housing units.</w:t>
            </w:r>
          </w:p>
          <w:p w14:paraId="0D232590" w14:textId="77777777" w:rsidR="00E61165" w:rsidRDefault="00E61165" w:rsidP="00E61165">
            <w:pPr>
              <w:pStyle w:val="MText"/>
              <w:numPr>
                <w:ilvl w:val="0"/>
                <w:numId w:val="25"/>
              </w:numPr>
              <w:ind w:left="370"/>
            </w:pPr>
            <w:r>
              <w:t xml:space="preserve">The complicated relation between security of tenure with land and property makes it a difficult, but vital, aspect to include in the different surveys, and thus, to measure and monitor. </w:t>
            </w:r>
          </w:p>
          <w:p w14:paraId="1864AF80" w14:textId="77777777" w:rsidR="00E61165" w:rsidRDefault="00E61165" w:rsidP="00E61165">
            <w:pPr>
              <w:pStyle w:val="MText"/>
              <w:numPr>
                <w:ilvl w:val="0"/>
                <w:numId w:val="25"/>
              </w:numPr>
              <w:ind w:left="370"/>
            </w:pPr>
            <w:r>
              <w:t>Indicator 11.1.1 does not capture homelessness.</w:t>
            </w:r>
          </w:p>
          <w:p w14:paraId="328C0885" w14:textId="31558335" w:rsidR="007C63C4" w:rsidRPr="00E61165" w:rsidRDefault="00E61165" w:rsidP="00E61165">
            <w:pPr>
              <w:pStyle w:val="MText"/>
              <w:numPr>
                <w:ilvl w:val="0"/>
                <w:numId w:val="25"/>
              </w:numPr>
              <w:ind w:left="370"/>
              <w:rPr>
                <w:b/>
              </w:rPr>
            </w:pPr>
            <w:r>
              <w:t>Many countries still have limited capacities for data collection, management and analysis, their update and monitoring. These are key to ensure national and global data consistency.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3F84282" w14:textId="77777777" w:rsidR="00F02D75" w:rsidRDefault="00F02D75" w:rsidP="00F02D75">
            <w:pPr>
              <w:pStyle w:val="MHeader"/>
            </w:pPr>
            <w:r>
              <w:t>Methodology</w:t>
            </w:r>
          </w:p>
          <w:p w14:paraId="461C5236" w14:textId="2AF9D71B" w:rsidR="00F02D75" w:rsidRDefault="00F02D75" w:rsidP="00F02D75">
            <w:pPr>
              <w:pStyle w:val="MSubHeader"/>
            </w:pPr>
            <w:r>
              <w:t>Computation method:</w:t>
            </w:r>
          </w:p>
          <w:p w14:paraId="478ACB6A" w14:textId="77777777" w:rsidR="00F02D75" w:rsidRDefault="00F02D75" w:rsidP="00F02D75">
            <w:pPr>
              <w:pStyle w:val="MText"/>
            </w:pPr>
            <w:r>
              <w:t>The indicator considers two components to be computed as follows:</w:t>
            </w:r>
          </w:p>
          <w:p w14:paraId="32AA8DA1" w14:textId="44253F8B" w:rsidR="00F02D75" w:rsidRDefault="00F02D75" w:rsidP="006E35EE">
            <w:pPr>
              <w:pStyle w:val="MText"/>
              <w:numPr>
                <w:ilvl w:val="0"/>
                <w:numId w:val="39"/>
              </w:numPr>
              <w:rPr>
                <w:bCs/>
                <w:iCs/>
              </w:rPr>
            </w:pPr>
            <w:r>
              <w:rPr>
                <w:bCs/>
                <w:iCs/>
              </w:rPr>
              <w:t xml:space="preserve">Slum/Informal Settlements households (SISH): </w:t>
            </w:r>
            <w:r>
              <w:rPr>
                <w:bCs/>
                <w:iCs/>
              </w:rPr>
              <w:tab/>
            </w:r>
          </w:p>
          <w:p w14:paraId="23F0BE3A" w14:textId="246EAED9" w:rsidR="00A70720" w:rsidRDefault="00A70720" w:rsidP="00AD7B8E">
            <w:pPr>
              <w:pStyle w:val="MText"/>
              <w:jc w:val="center"/>
            </w:pPr>
            <w:r>
              <w:rPr>
                <w:noProof/>
              </w:rPr>
              <w:drawing>
                <wp:inline distT="0" distB="0" distL="0" distR="0" wp14:anchorId="1F51AE58" wp14:editId="03868423">
                  <wp:extent cx="3455543" cy="51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013" cy="511984"/>
                          </a:xfrm>
                          <a:prstGeom prst="rect">
                            <a:avLst/>
                          </a:prstGeom>
                          <a:noFill/>
                          <a:ln>
                            <a:noFill/>
                          </a:ln>
                        </pic:spPr>
                      </pic:pic>
                    </a:graphicData>
                  </a:graphic>
                </wp:inline>
              </w:drawing>
            </w:r>
          </w:p>
          <w:p w14:paraId="56111764" w14:textId="77777777" w:rsidR="00F02D75" w:rsidRDefault="00F02D75" w:rsidP="00F02D75">
            <w:pPr>
              <w:pStyle w:val="MText"/>
            </w:pPr>
          </w:p>
          <w:p w14:paraId="68BB47A5" w14:textId="6A34C596" w:rsidR="00F02D75" w:rsidRDefault="00F02D75" w:rsidP="006E35EE">
            <w:pPr>
              <w:pStyle w:val="MText"/>
              <w:numPr>
                <w:ilvl w:val="0"/>
                <w:numId w:val="39"/>
              </w:numPr>
              <w:rPr>
                <w:bCs/>
                <w:iCs/>
              </w:rPr>
            </w:pPr>
            <w:r>
              <w:rPr>
                <w:bCs/>
                <w:iCs/>
              </w:rPr>
              <w:t>Inadequate housing households (IHH):</w:t>
            </w:r>
          </w:p>
          <w:p w14:paraId="227480A6" w14:textId="1B48A03D" w:rsidR="00AD7B8E" w:rsidRDefault="00AD7B8E" w:rsidP="00AD7B8E">
            <w:pPr>
              <w:pStyle w:val="MText"/>
              <w:jc w:val="center"/>
              <w:rPr>
                <w:bCs/>
                <w:iCs/>
              </w:rPr>
            </w:pPr>
            <w:r>
              <w:rPr>
                <w:noProof/>
              </w:rPr>
              <w:drawing>
                <wp:inline distT="0" distB="0" distL="0" distR="0" wp14:anchorId="46FF7749" wp14:editId="5E38F009">
                  <wp:extent cx="2219325" cy="3603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372" cy="387942"/>
                          </a:xfrm>
                          <a:prstGeom prst="rect">
                            <a:avLst/>
                          </a:prstGeom>
                          <a:noFill/>
                          <a:ln>
                            <a:noFill/>
                          </a:ln>
                        </pic:spPr>
                      </pic:pic>
                    </a:graphicData>
                  </a:graphic>
                </wp:inline>
              </w:drawing>
            </w:r>
          </w:p>
          <w:p w14:paraId="14D79041" w14:textId="3A880AFD" w:rsidR="007C63C4" w:rsidRPr="004073A7" w:rsidRDefault="00F02D75" w:rsidP="00AD7B8E">
            <w:pPr>
              <w:pStyle w:val="MText"/>
              <w:rPr>
                <w:rFonts w:cstheme="minorHAnsi"/>
              </w:rPr>
            </w:pPr>
            <w:r>
              <w:t>The unit of measurements for all these indicators will be %. Currently, the data for this indicator is already being reported in nearly all developing countries on what refers to slums and informal settlements, and in some countries for what refers to expenditure on housing. The SDG indicator 11.1.1 will therefore contribute to report on a broader spectrum of inadequate housing conditions affecting households in all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6B78470" w14:textId="300AD83F" w:rsidR="007F793B" w:rsidRDefault="007F793B" w:rsidP="007F793B">
            <w:pPr>
              <w:pStyle w:val="MSubHeader"/>
            </w:pPr>
            <w:r>
              <w:t xml:space="preserve">Treatment of missing values: </w:t>
            </w:r>
          </w:p>
          <w:p w14:paraId="49607901" w14:textId="105AFFB4"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country level</w:t>
            </w:r>
            <w:r w:rsidR="00797DD2" w:rsidRPr="00797DD2">
              <w:rPr>
                <w:b/>
                <w:bCs/>
                <w:color w:val="1C75BB"/>
                <w:sz w:val="21"/>
                <w:szCs w:val="21"/>
              </w:rPr>
              <w:t>:</w:t>
            </w:r>
          </w:p>
          <w:p w14:paraId="150EFDAC" w14:textId="77777777" w:rsidR="007F793B" w:rsidRDefault="007F793B" w:rsidP="00797DD2">
            <w:pPr>
              <w:pStyle w:val="MText"/>
              <w:ind w:left="360"/>
            </w:pPr>
            <w:r>
              <w:t xml:space="preserve">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w:t>
            </w:r>
            <w:r>
              <w:lastRenderedPageBreak/>
              <w:t>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B266EF2" w14:textId="77777777" w:rsidR="007F793B" w:rsidRDefault="007F793B" w:rsidP="009F2485">
            <w:pPr>
              <w:pStyle w:val="MText"/>
              <w:ind w:left="360"/>
              <w:rPr>
                <w:color w:val="494949"/>
              </w:rPr>
            </w:pPr>
          </w:p>
          <w:p w14:paraId="1ED9396A" w14:textId="10643D16" w:rsidR="007F793B" w:rsidRPr="00797DD2" w:rsidRDefault="007F793B" w:rsidP="00797DD2">
            <w:pPr>
              <w:pStyle w:val="Default"/>
              <w:numPr>
                <w:ilvl w:val="0"/>
                <w:numId w:val="36"/>
              </w:numPr>
              <w:rPr>
                <w:b/>
                <w:bCs/>
                <w:color w:val="1C75BB"/>
                <w:sz w:val="21"/>
                <w:szCs w:val="21"/>
              </w:rPr>
            </w:pPr>
            <w:r w:rsidRPr="00797DD2">
              <w:rPr>
                <w:b/>
                <w:bCs/>
                <w:color w:val="1C75BB"/>
                <w:sz w:val="21"/>
                <w:szCs w:val="21"/>
              </w:rPr>
              <w:t>At regional and global levels</w:t>
            </w:r>
            <w:r w:rsidR="00797DD2" w:rsidRPr="00797DD2">
              <w:rPr>
                <w:b/>
                <w:bCs/>
                <w:color w:val="1C75BB"/>
                <w:sz w:val="21"/>
                <w:szCs w:val="21"/>
              </w:rPr>
              <w:t>:</w:t>
            </w:r>
          </w:p>
          <w:p w14:paraId="11763FCE" w14:textId="4FB99D6D" w:rsidR="007C63C4" w:rsidRPr="007F793B" w:rsidRDefault="007F793B" w:rsidP="00797DD2">
            <w:pPr>
              <w:pStyle w:val="MText"/>
              <w:ind w:left="360"/>
              <w:rPr>
                <w:color w:val="1C75BB"/>
              </w:rPr>
            </w:pPr>
            <w:r w:rsidRPr="007F793B">
              <w:t>Global estimates will be adjusted with modelling based on trends to cater for missing information or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F7E80A7" w14:textId="77777777" w:rsidR="00FA23A3" w:rsidRDefault="00FA23A3" w:rsidP="00FA23A3">
            <w:pPr>
              <w:pStyle w:val="MSubHeader"/>
            </w:pPr>
            <w:r>
              <w:t>Regional aggregates:</w:t>
            </w:r>
          </w:p>
          <w:p w14:paraId="431A563F" w14:textId="00611B07" w:rsidR="00FA23A3" w:rsidRDefault="00FA23A3" w:rsidP="00797DD2">
            <w:pPr>
              <w:pStyle w:val="MText"/>
              <w:rPr>
                <w:rFonts w:eastAsiaTheme="minorHAnsi"/>
                <w:b/>
                <w:bCs/>
              </w:rPr>
            </w:pPr>
            <w:r>
              <w:rPr>
                <w:rFonts w:eastAsiaTheme="minorHAnsi"/>
              </w:rPr>
              <w:t>Regional and global estimates will be derived from national figures with an appropriate disaggregation level. 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28568B46" w14:textId="77777777" w:rsidR="00FA23A3" w:rsidRDefault="00FA23A3" w:rsidP="00FA23A3">
            <w:pPr>
              <w:pStyle w:val="MSubHeader"/>
              <w:rPr>
                <w:rFonts w:ascii="Calibri" w:eastAsiaTheme="minorHAnsi" w:hAnsi="Calibri" w:cs="Calibri"/>
                <w:b w:val="0"/>
                <w:bCs w:val="0"/>
                <w:color w:val="494949"/>
                <w:lang w:val="en-US" w:eastAsia="en-US"/>
              </w:rPr>
            </w:pPr>
          </w:p>
          <w:p w14:paraId="6E65421B" w14:textId="57E17C0E" w:rsidR="007C63C4" w:rsidRPr="00FA23A3" w:rsidRDefault="00FA23A3" w:rsidP="00797DD2">
            <w:pPr>
              <w:pStyle w:val="MText"/>
              <w:rPr>
                <w:rFonts w:eastAsiaTheme="minorHAnsi"/>
                <w:b/>
                <w:bCs/>
              </w:rPr>
            </w:pPr>
            <w:r>
              <w:rPr>
                <w:rFonts w:eastAsiaTheme="minorHAnsi"/>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5C67F88"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B91151">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B612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5C19EA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B91151">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6" w:name="_Toc36655613"/>
            <w:bookmarkStart w:id="27" w:name="_Toc36812576"/>
            <w:bookmarkStart w:id="28" w:name="_Toc36812689"/>
            <w:bookmarkStart w:id="29" w:name="_Toc36813076"/>
            <w:r w:rsidRPr="001A0E35">
              <w:t>5</w:t>
            </w:r>
            <w:r w:rsidR="00952376" w:rsidRPr="001A0E35">
              <w:t>. Data availability and disaggregation</w:t>
            </w:r>
            <w:bookmarkEnd w:id="26"/>
            <w:bookmarkEnd w:id="27"/>
            <w:bookmarkEnd w:id="28"/>
            <w:bookmarkEnd w:id="2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CA4C61" w14:textId="4AD7FC32" w:rsidR="003B0B19" w:rsidRDefault="003B0B19" w:rsidP="003B0B19">
            <w:pPr>
              <w:pStyle w:val="MHeader"/>
            </w:pPr>
            <w:r>
              <w:t>Data availability</w:t>
            </w:r>
          </w:p>
          <w:p w14:paraId="51E0F14A" w14:textId="77777777" w:rsidR="003B0B19" w:rsidRDefault="003B0B19" w:rsidP="003B0B19">
            <w:pPr>
              <w:pStyle w:val="MSubHeader"/>
            </w:pPr>
            <w:r>
              <w:t>Description:</w:t>
            </w:r>
          </w:p>
          <w:p w14:paraId="3D958BBC" w14:textId="77777777" w:rsidR="003B0B19" w:rsidRDefault="003B0B19" w:rsidP="003B0B19">
            <w:pPr>
              <w:pStyle w:val="MText"/>
            </w:pPr>
            <w:r>
              <w:t xml:space="preserve">Data on slums is available for all developing countries, as it has been reported yearly by UN-Habitat in the MDGs’ reports. Recently, UN-Habitat has disaggregated information on this indicator at city level, increasing its suitability for SDG 11. The people living in slums’ </w:t>
            </w:r>
            <w:r>
              <w:lastRenderedPageBreak/>
              <w:t>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2C7AD5C6" w14:textId="77777777" w:rsidR="003B0B19" w:rsidRDefault="003B0B19" w:rsidP="008E17D4">
            <w:pPr>
              <w:pStyle w:val="MSubHeader"/>
            </w:pPr>
          </w:p>
          <w:p w14:paraId="5E8D0589" w14:textId="5F2513F0" w:rsidR="008E17D4" w:rsidRDefault="008E17D4" w:rsidP="008E17D4">
            <w:pPr>
              <w:pStyle w:val="MSubHeader"/>
            </w:pPr>
            <w:r>
              <w:t>Disaggregation</w:t>
            </w:r>
            <w:r>
              <w:rPr>
                <w:rStyle w:val="MTextChar"/>
                <w:vertAlign w:val="superscript"/>
              </w:rPr>
              <w:footnoteReference w:id="13"/>
            </w:r>
            <w:r>
              <w:t>:</w:t>
            </w:r>
          </w:p>
          <w:p w14:paraId="000011BE" w14:textId="77777777" w:rsidR="008E17D4" w:rsidRPr="00700927" w:rsidRDefault="008E17D4" w:rsidP="00700927">
            <w:pPr>
              <w:pStyle w:val="MText"/>
              <w:rPr>
                <w:b/>
                <w:bCs/>
                <w:i/>
                <w:iCs/>
              </w:rPr>
            </w:pPr>
            <w:r w:rsidRPr="00700927">
              <w:rPr>
                <w:b/>
                <w:bCs/>
                <w:i/>
                <w:iCs/>
              </w:rPr>
              <w:t>Potential Disaggregation:</w:t>
            </w:r>
          </w:p>
          <w:p w14:paraId="1DB56065" w14:textId="77777777" w:rsidR="008E17D4" w:rsidRDefault="008E17D4" w:rsidP="008E17D4">
            <w:pPr>
              <w:pStyle w:val="MText"/>
              <w:numPr>
                <w:ilvl w:val="0"/>
                <w:numId w:val="27"/>
              </w:numPr>
            </w:pPr>
            <w:r>
              <w:t>Disaggregation by location (intra-urban)</w:t>
            </w:r>
          </w:p>
          <w:p w14:paraId="523FC946" w14:textId="77777777" w:rsidR="008E17D4" w:rsidRDefault="008E17D4" w:rsidP="008E17D4">
            <w:pPr>
              <w:pStyle w:val="MText"/>
              <w:numPr>
                <w:ilvl w:val="0"/>
                <w:numId w:val="27"/>
              </w:numPr>
            </w:pPr>
            <w:r>
              <w:t>Disaggregation by income group</w:t>
            </w:r>
          </w:p>
          <w:p w14:paraId="74196E19" w14:textId="77777777" w:rsidR="008E17D4" w:rsidRDefault="008E17D4" w:rsidP="008E17D4">
            <w:pPr>
              <w:pStyle w:val="MText"/>
              <w:numPr>
                <w:ilvl w:val="0"/>
                <w:numId w:val="27"/>
              </w:numPr>
            </w:pPr>
            <w:r>
              <w:t>Disaggregation by sex, race, ethnicity, religion, migration status (head of household)</w:t>
            </w:r>
          </w:p>
          <w:p w14:paraId="0EA1B5F6" w14:textId="77777777" w:rsidR="008E17D4" w:rsidRDefault="008E17D4" w:rsidP="008E17D4">
            <w:pPr>
              <w:pStyle w:val="MText"/>
              <w:numPr>
                <w:ilvl w:val="0"/>
                <w:numId w:val="27"/>
              </w:numPr>
            </w:pPr>
            <w:r>
              <w:t>Disaggregation by age (household members)</w:t>
            </w:r>
          </w:p>
          <w:p w14:paraId="6CCE6206" w14:textId="77777777" w:rsidR="008E17D4" w:rsidRDefault="008E17D4" w:rsidP="008E17D4">
            <w:pPr>
              <w:pStyle w:val="MText"/>
              <w:numPr>
                <w:ilvl w:val="0"/>
                <w:numId w:val="27"/>
              </w:numPr>
            </w:pPr>
            <w:r>
              <w:t>Disaggregation by disability (household members)</w:t>
            </w:r>
          </w:p>
          <w:p w14:paraId="44938135" w14:textId="77777777" w:rsidR="008E17D4" w:rsidRDefault="008E17D4" w:rsidP="008E17D4">
            <w:pPr>
              <w:pStyle w:val="MSubHeader"/>
              <w:rPr>
                <w:i/>
                <w:iCs/>
              </w:rPr>
            </w:pPr>
          </w:p>
          <w:p w14:paraId="69D0A000" w14:textId="77777777" w:rsidR="008E17D4" w:rsidRPr="00700927" w:rsidRDefault="008E17D4" w:rsidP="00700927">
            <w:pPr>
              <w:pStyle w:val="MText"/>
              <w:rPr>
                <w:b/>
                <w:bCs/>
                <w:i/>
                <w:iCs/>
              </w:rPr>
            </w:pPr>
            <w:r w:rsidRPr="00700927">
              <w:rPr>
                <w:b/>
                <w:bCs/>
                <w:i/>
                <w:iCs/>
              </w:rPr>
              <w:t>Quantifiable Derivatives:</w:t>
            </w:r>
          </w:p>
          <w:p w14:paraId="0397005D" w14:textId="77777777" w:rsidR="008E17D4" w:rsidRDefault="008E17D4" w:rsidP="008E17D4">
            <w:pPr>
              <w:pStyle w:val="MText"/>
              <w:numPr>
                <w:ilvl w:val="0"/>
                <w:numId w:val="28"/>
              </w:numPr>
            </w:pPr>
            <w:r>
              <w:t>Proportion of households with durable housing</w:t>
            </w:r>
          </w:p>
          <w:p w14:paraId="52F59386" w14:textId="77777777" w:rsidR="008E17D4" w:rsidRDefault="008E17D4" w:rsidP="008E17D4">
            <w:pPr>
              <w:pStyle w:val="MText"/>
              <w:numPr>
                <w:ilvl w:val="0"/>
                <w:numId w:val="28"/>
              </w:numPr>
            </w:pPr>
            <w:r>
              <w:t>Proportion of households with improved water</w:t>
            </w:r>
          </w:p>
          <w:p w14:paraId="32296E2C" w14:textId="77777777" w:rsidR="008E17D4" w:rsidRDefault="008E17D4" w:rsidP="008E17D4">
            <w:pPr>
              <w:pStyle w:val="MText"/>
              <w:numPr>
                <w:ilvl w:val="0"/>
                <w:numId w:val="28"/>
              </w:numPr>
            </w:pPr>
            <w:r>
              <w:t>Proportion of households with improved sanitation</w:t>
            </w:r>
          </w:p>
          <w:p w14:paraId="7A745670" w14:textId="77777777" w:rsidR="008E17D4" w:rsidRDefault="008E17D4" w:rsidP="008E17D4">
            <w:pPr>
              <w:pStyle w:val="MText"/>
              <w:numPr>
                <w:ilvl w:val="0"/>
                <w:numId w:val="28"/>
              </w:numPr>
            </w:pPr>
            <w:r>
              <w:t>Proportion of households with sufficient living space</w:t>
            </w:r>
          </w:p>
          <w:p w14:paraId="5C24F954" w14:textId="77777777" w:rsidR="008E17D4" w:rsidRDefault="008E17D4" w:rsidP="008E17D4">
            <w:pPr>
              <w:pStyle w:val="MText"/>
              <w:numPr>
                <w:ilvl w:val="0"/>
                <w:numId w:val="28"/>
              </w:numPr>
            </w:pPr>
            <w:r>
              <w:t>Proportion of households with security of tenure</w:t>
            </w:r>
          </w:p>
          <w:p w14:paraId="117DE210" w14:textId="77777777" w:rsidR="008E17D4" w:rsidRDefault="008E17D4" w:rsidP="008E17D4">
            <w:pPr>
              <w:pStyle w:val="MText"/>
              <w:numPr>
                <w:ilvl w:val="0"/>
                <w:numId w:val="28"/>
              </w:numPr>
            </w:pPr>
            <w:r>
              <w:t>Proportion of households with one (1) housing deprivation</w:t>
            </w:r>
          </w:p>
          <w:p w14:paraId="25562B6C" w14:textId="77777777" w:rsidR="008E17D4" w:rsidRDefault="008E17D4" w:rsidP="008E17D4">
            <w:pPr>
              <w:pStyle w:val="MText"/>
              <w:numPr>
                <w:ilvl w:val="0"/>
                <w:numId w:val="28"/>
              </w:numPr>
            </w:pPr>
            <w:r>
              <w:t>Proportion of households with multiple (3 or more) housing deprivations</w:t>
            </w:r>
          </w:p>
          <w:p w14:paraId="75CC9D22" w14:textId="77777777" w:rsidR="008E17D4" w:rsidRDefault="008E17D4" w:rsidP="008E17D4">
            <w:pPr>
              <w:pStyle w:val="MText"/>
              <w:numPr>
                <w:ilvl w:val="0"/>
                <w:numId w:val="28"/>
              </w:numPr>
            </w:pPr>
            <w:r>
              <w:t>Proportion of households with approved municipal permit</w:t>
            </w:r>
          </w:p>
          <w:p w14:paraId="606721A7" w14:textId="61385C49" w:rsidR="00202B2D" w:rsidRPr="008E17D4" w:rsidRDefault="008E17D4" w:rsidP="005D1328">
            <w:pPr>
              <w:pStyle w:val="MText"/>
              <w:numPr>
                <w:ilvl w:val="0"/>
                <w:numId w:val="28"/>
              </w:numPr>
            </w:pPr>
            <w:r>
              <w:t>Proportion of households with (in) adequate housing (affordability)</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0" w:name="_Toc36655614"/>
            <w:bookmarkStart w:id="31" w:name="_Toc36812577"/>
            <w:bookmarkStart w:id="32" w:name="_Toc36812690"/>
            <w:bookmarkStart w:id="33" w:name="_Toc36813077"/>
            <w:bookmarkStart w:id="34"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0"/>
            <w:bookmarkEnd w:id="31"/>
            <w:bookmarkEnd w:id="32"/>
            <w:bookmarkEnd w:id="33"/>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8B7877E" w14:textId="77777777" w:rsidR="00F8270F" w:rsidRDefault="00F8270F" w:rsidP="00F8270F">
            <w:pPr>
              <w:pStyle w:val="MSubHeader"/>
            </w:pPr>
            <w:r>
              <w:t>Sources of discrepancies:</w:t>
            </w:r>
          </w:p>
          <w:p w14:paraId="13CF0B2D" w14:textId="5E7B78D4" w:rsidR="004F4616" w:rsidRPr="00F8270F" w:rsidRDefault="00F8270F" w:rsidP="00700927">
            <w:pPr>
              <w:pStyle w:val="MText"/>
              <w:rPr>
                <w:rFonts w:eastAsiaTheme="minorHAnsi"/>
              </w:rPr>
            </w:pPr>
            <w:r>
              <w:rPr>
                <w:rFonts w:eastAsiaTheme="minorHAnsi"/>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tc>
      </w:tr>
      <w:bookmarkEnd w:id="3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5" w:name="_Toc36655615"/>
            <w:bookmarkStart w:id="36" w:name="_Toc36812578"/>
            <w:bookmarkStart w:id="37" w:name="_Toc36812691"/>
            <w:bookmarkStart w:id="38" w:name="_Toc36813078"/>
            <w:r w:rsidRPr="001A0E35">
              <w:t>7. References and documentation</w:t>
            </w:r>
            <w:bookmarkEnd w:id="35"/>
            <w:bookmarkEnd w:id="36"/>
            <w:bookmarkEnd w:id="37"/>
            <w:bookmarkEnd w:id="38"/>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8AB011" w14:textId="77777777" w:rsidR="00030CA4" w:rsidRDefault="00030CA4" w:rsidP="00030CA4">
            <w:pPr>
              <w:pStyle w:val="MHeader"/>
            </w:pPr>
            <w:r>
              <w:t>References</w:t>
            </w:r>
          </w:p>
          <w:p w14:paraId="32912DEE" w14:textId="3C13BB31" w:rsidR="00030CA4" w:rsidRDefault="00030CA4" w:rsidP="008E49D1">
            <w:pPr>
              <w:pStyle w:val="MSubHeader"/>
            </w:pPr>
            <w:r>
              <w:t xml:space="preserve">Bibliographic </w:t>
            </w:r>
            <w:r w:rsidR="008B6D4D">
              <w:t>r</w:t>
            </w:r>
            <w:r>
              <w:t>eferences:</w:t>
            </w:r>
          </w:p>
          <w:p w14:paraId="069BCE51" w14:textId="391108E3" w:rsidR="00030CA4" w:rsidRDefault="00030CA4" w:rsidP="006E35EE">
            <w:pPr>
              <w:pStyle w:val="MText"/>
            </w:pPr>
            <w:r>
              <w:t>United Nations (2007). Indicators of Sustainable Development: Guidelines and Methodologies. Third Edition, United Nations, New York</w:t>
            </w:r>
          </w:p>
          <w:p w14:paraId="2CD2EFB1" w14:textId="77777777" w:rsidR="006E35EE" w:rsidRDefault="006E35EE" w:rsidP="006E35EE">
            <w:pPr>
              <w:pStyle w:val="MText"/>
            </w:pPr>
          </w:p>
          <w:p w14:paraId="2246BE83" w14:textId="3ECF2BDF" w:rsidR="00030CA4" w:rsidRDefault="00030CA4" w:rsidP="006E35EE">
            <w:pPr>
              <w:pStyle w:val="MText"/>
            </w:pPr>
            <w:r>
              <w:t>A/HRC/25/54 (2013), Report of the Special Rapporteur on adequate housing as a component of the right to an adequate standard of living, and on the right to non-discrimination in this context</w:t>
            </w:r>
          </w:p>
          <w:p w14:paraId="0ABCBFC4" w14:textId="77777777" w:rsidR="006E35EE" w:rsidRDefault="006E35EE" w:rsidP="006E35EE">
            <w:pPr>
              <w:pStyle w:val="MText"/>
              <w:rPr>
                <w:lang w:val="fr-FR"/>
              </w:rPr>
            </w:pPr>
          </w:p>
          <w:p w14:paraId="0F076D34" w14:textId="33421F6F" w:rsidR="00030CA4" w:rsidRDefault="00030CA4" w:rsidP="006E35EE">
            <w:pPr>
              <w:pStyle w:val="MText"/>
              <w:rPr>
                <w:lang w:val="fr-FR"/>
              </w:rPr>
            </w:pPr>
            <w:r>
              <w:rPr>
                <w:lang w:val="fr-FR"/>
              </w:rPr>
              <w:t xml:space="preserve">UN-Habitat (2002) Urban </w:t>
            </w:r>
            <w:proofErr w:type="spellStart"/>
            <w:r>
              <w:rPr>
                <w:lang w:val="fr-FR"/>
              </w:rPr>
              <w:t>Indicators</w:t>
            </w:r>
            <w:proofErr w:type="spellEnd"/>
            <w:r>
              <w:rPr>
                <w:lang w:val="fr-FR"/>
              </w:rPr>
              <w:t xml:space="preserve"> Guidelines. Nairobi</w:t>
            </w:r>
          </w:p>
          <w:p w14:paraId="01B1F5FB" w14:textId="77777777" w:rsidR="006E35EE" w:rsidRDefault="006E35EE" w:rsidP="006E35EE">
            <w:pPr>
              <w:pStyle w:val="MText"/>
              <w:rPr>
                <w:lang w:val="en-US"/>
              </w:rPr>
            </w:pPr>
          </w:p>
          <w:p w14:paraId="2AF50D8D" w14:textId="06157EE6" w:rsidR="00030CA4" w:rsidRDefault="00030CA4" w:rsidP="006E35EE">
            <w:pPr>
              <w:pStyle w:val="MText"/>
              <w:rPr>
                <w:lang w:val="en-US"/>
              </w:rPr>
            </w:pPr>
            <w:r>
              <w:rPr>
                <w:lang w:val="en-US"/>
              </w:rPr>
              <w:t>UN-Habitat, Global Urban Indicators Database 2012 a. Nairobi</w:t>
            </w:r>
          </w:p>
          <w:p w14:paraId="749D00F0" w14:textId="77777777" w:rsidR="006E35EE" w:rsidRDefault="006E35EE" w:rsidP="006E35EE">
            <w:pPr>
              <w:pStyle w:val="MText"/>
            </w:pPr>
          </w:p>
          <w:p w14:paraId="1615B3C4" w14:textId="2336490B" w:rsidR="00030CA4" w:rsidRDefault="00030CA4" w:rsidP="006E35EE">
            <w:pPr>
              <w:pStyle w:val="MText"/>
            </w:pPr>
            <w:r>
              <w:t>UN-Habitat (2002), Expert Group Meeting on Urban Indicators, Nairobi, Kenya, November 2002</w:t>
            </w:r>
          </w:p>
          <w:p w14:paraId="387E4CF5" w14:textId="77777777" w:rsidR="006E35EE" w:rsidRDefault="006E35EE" w:rsidP="006E35EE">
            <w:pPr>
              <w:pStyle w:val="MText"/>
            </w:pPr>
          </w:p>
          <w:p w14:paraId="599E1C00" w14:textId="4639F524" w:rsidR="00030CA4" w:rsidRDefault="00030CA4" w:rsidP="006E35EE">
            <w:pPr>
              <w:pStyle w:val="MText"/>
            </w:pPr>
            <w:r>
              <w:t>UN-Habitat (2003a), Slums of the World: The face of urban poverty in the new millennium</w:t>
            </w:r>
          </w:p>
          <w:p w14:paraId="2156345D" w14:textId="77777777" w:rsidR="006E35EE" w:rsidRDefault="006E35EE" w:rsidP="006E35EE">
            <w:pPr>
              <w:pStyle w:val="MText"/>
            </w:pPr>
          </w:p>
          <w:p w14:paraId="21A515E0" w14:textId="605B158A" w:rsidR="00030CA4" w:rsidRDefault="00030CA4" w:rsidP="006E35EE">
            <w:pPr>
              <w:pStyle w:val="MText"/>
            </w:pPr>
            <w:r>
              <w:t>UN-Habitat (2003b), Improving the Lives of 100 Million Slum Dwellers – Guide to Monitoring Target 11</w:t>
            </w:r>
          </w:p>
          <w:p w14:paraId="5544FF1A" w14:textId="6462BA68" w:rsidR="00030CA4" w:rsidRDefault="00030CA4" w:rsidP="006E35EE">
            <w:pPr>
              <w:pStyle w:val="MText"/>
            </w:pPr>
            <w:r>
              <w:lastRenderedPageBreak/>
              <w:t>UN-Habitat (1998), Crowding and Health in Low Income Settlements of Guinea Bissau, SIEP Occasional Series No.1</w:t>
            </w:r>
          </w:p>
          <w:p w14:paraId="52FB6249" w14:textId="3A960D9C" w:rsidR="00030CA4" w:rsidRDefault="00030CA4" w:rsidP="006E35EE">
            <w:pPr>
              <w:pStyle w:val="MText"/>
            </w:pPr>
            <w:r>
              <w:t>Global report on Human settlement on Slums (2002)</w:t>
            </w:r>
          </w:p>
          <w:p w14:paraId="07506CC3" w14:textId="77777777" w:rsidR="006E35EE" w:rsidRDefault="006E35EE" w:rsidP="006E35EE">
            <w:pPr>
              <w:pStyle w:val="MText"/>
            </w:pPr>
          </w:p>
          <w:p w14:paraId="10F65C32" w14:textId="0323967A" w:rsidR="00030CA4" w:rsidRDefault="00030CA4" w:rsidP="006E35EE">
            <w:pPr>
              <w:pStyle w:val="MText"/>
            </w:pPr>
            <w:proofErr w:type="spellStart"/>
            <w:r>
              <w:t>Turkstra</w:t>
            </w:r>
            <w:proofErr w:type="spellEnd"/>
            <w:r>
              <w:t xml:space="preserve">, J. and </w:t>
            </w:r>
            <w:proofErr w:type="spellStart"/>
            <w:r>
              <w:t>Raithelhuber</w:t>
            </w:r>
            <w:proofErr w:type="spellEnd"/>
            <w:r>
              <w:t>, M. (2004). Urban slum Monitoring. ESRI User Conference paper 1667</w:t>
            </w:r>
          </w:p>
          <w:p w14:paraId="50B11FDA" w14:textId="77777777" w:rsidR="006E35EE" w:rsidRDefault="006E35EE" w:rsidP="006E35EE">
            <w:pPr>
              <w:pStyle w:val="MText"/>
            </w:pPr>
          </w:p>
          <w:p w14:paraId="563B9D30" w14:textId="1E2A1D42" w:rsidR="00030CA4" w:rsidRDefault="00030CA4" w:rsidP="006E35EE">
            <w:pPr>
              <w:pStyle w:val="MText"/>
            </w:pPr>
            <w:r>
              <w:t>Urban Indicators Programme, World Bank and UN-Habitat, Guidelines</w:t>
            </w:r>
          </w:p>
          <w:p w14:paraId="7E355CD3" w14:textId="77777777" w:rsidR="006E35EE" w:rsidRDefault="006E35EE" w:rsidP="006E35EE">
            <w:pPr>
              <w:pStyle w:val="MText"/>
            </w:pPr>
          </w:p>
          <w:p w14:paraId="480A2F07" w14:textId="361FD4D9" w:rsidR="00030CA4" w:rsidRDefault="00030CA4" w:rsidP="006E35EE">
            <w:pPr>
              <w:pStyle w:val="MText"/>
            </w:pPr>
            <w:r>
              <w:t>Habitat for Humanity, Global Housing Indicators</w:t>
            </w:r>
          </w:p>
          <w:p w14:paraId="3877BE73" w14:textId="77777777" w:rsidR="006E35EE" w:rsidRDefault="006E35EE" w:rsidP="006E35EE">
            <w:pPr>
              <w:pStyle w:val="MText"/>
            </w:pPr>
          </w:p>
          <w:p w14:paraId="49BAEB4C" w14:textId="6036FC3E" w:rsidR="00030CA4" w:rsidRDefault="00030CA4" w:rsidP="006E35EE">
            <w:pPr>
              <w:pStyle w:val="MText"/>
            </w:pPr>
            <w:r>
              <w:t>Habitat for Humanity, Housing Indicators for the Sustainable Development Goals, 2015</w:t>
            </w:r>
          </w:p>
          <w:p w14:paraId="6B1B7256" w14:textId="77777777" w:rsidR="006E35EE" w:rsidRDefault="006E35EE" w:rsidP="006E35EE">
            <w:pPr>
              <w:pStyle w:val="MText"/>
            </w:pPr>
          </w:p>
          <w:p w14:paraId="22E18E97" w14:textId="64D21924" w:rsidR="00030CA4" w:rsidRDefault="00030CA4" w:rsidP="006E35EE">
            <w:pPr>
              <w:pStyle w:val="MText"/>
            </w:pPr>
            <w:r>
              <w:t>McKinsey Global Institute (2014), A Blueprint for Addressing the Global Affordable Housing Challenge</w:t>
            </w:r>
          </w:p>
          <w:p w14:paraId="323EDEFF" w14:textId="77777777" w:rsidR="006E35EE" w:rsidRDefault="006E35EE" w:rsidP="006E35EE">
            <w:pPr>
              <w:pStyle w:val="MText"/>
            </w:pPr>
          </w:p>
          <w:p w14:paraId="65ACE8E7" w14:textId="71391F70" w:rsidR="006E35EE" w:rsidRDefault="00030CA4" w:rsidP="006E35EE">
            <w:pPr>
              <w:pStyle w:val="MText"/>
            </w:pPr>
            <w:r>
              <w:t xml:space="preserve">United Nations (2015), Conference on Housing and Sustainable </w:t>
            </w:r>
          </w:p>
          <w:p w14:paraId="4227F160" w14:textId="1E315595" w:rsidR="00030CA4" w:rsidRDefault="00030CA4" w:rsidP="006E35EE">
            <w:pPr>
              <w:pStyle w:val="MText"/>
            </w:pPr>
            <w:r>
              <w:t>Urban Development – Habitat III, Issue Paper No. 22 on Informal Settlements</w:t>
            </w:r>
          </w:p>
          <w:p w14:paraId="0F342C34" w14:textId="77777777" w:rsidR="006E35EE" w:rsidRDefault="006E35EE" w:rsidP="006E35EE">
            <w:pPr>
              <w:pStyle w:val="MText"/>
              <w:rPr>
                <w:lang w:val="fr-FR"/>
              </w:rPr>
            </w:pPr>
          </w:p>
          <w:p w14:paraId="1163C466" w14:textId="3777EFB8" w:rsidR="00030CA4" w:rsidRDefault="00030CA4" w:rsidP="006E35EE">
            <w:pPr>
              <w:pStyle w:val="MText"/>
              <w:rPr>
                <w:lang w:val="fr-FR"/>
              </w:rPr>
            </w:pPr>
            <w:r>
              <w:rPr>
                <w:lang w:val="fr-FR"/>
              </w:rPr>
              <w:t xml:space="preserve">UN-Habitat, UN-AIDS (2015a) </w:t>
            </w:r>
            <w:proofErr w:type="spellStart"/>
            <w:r>
              <w:rPr>
                <w:lang w:val="fr-FR"/>
              </w:rPr>
              <w:t>Ending</w:t>
            </w:r>
            <w:proofErr w:type="spellEnd"/>
            <w:r>
              <w:rPr>
                <w:lang w:val="fr-FR"/>
              </w:rPr>
              <w:t xml:space="preserve"> the Urban </w:t>
            </w:r>
            <w:proofErr w:type="spellStart"/>
            <w:r>
              <w:rPr>
                <w:lang w:val="fr-FR"/>
              </w:rPr>
              <w:t>Aids</w:t>
            </w:r>
            <w:proofErr w:type="spellEnd"/>
            <w:r>
              <w:rPr>
                <w:lang w:val="fr-FR"/>
              </w:rPr>
              <w:t xml:space="preserve"> </w:t>
            </w:r>
            <w:proofErr w:type="spellStart"/>
            <w:r>
              <w:rPr>
                <w:lang w:val="fr-FR"/>
              </w:rPr>
              <w:t>Epidemic</w:t>
            </w:r>
            <w:proofErr w:type="spellEnd"/>
            <w:r>
              <w:rPr>
                <w:lang w:val="fr-FR"/>
              </w:rPr>
              <w:t>. Nairobi</w:t>
            </w:r>
          </w:p>
          <w:p w14:paraId="47EC34B4" w14:textId="77777777" w:rsidR="006E35EE" w:rsidRDefault="006E35EE" w:rsidP="006E35EE">
            <w:pPr>
              <w:pStyle w:val="MText"/>
              <w:rPr>
                <w:lang w:val="fr-FR"/>
              </w:rPr>
            </w:pPr>
          </w:p>
          <w:p w14:paraId="3B722C56" w14:textId="5F908FDF" w:rsidR="00030CA4" w:rsidRDefault="00030CA4" w:rsidP="006E35EE">
            <w:pPr>
              <w:pStyle w:val="MText"/>
            </w:pPr>
            <w:r>
              <w:rPr>
                <w:lang w:val="fr-FR"/>
              </w:rPr>
              <w:t xml:space="preserve">UN-Habitat (2015b). </w:t>
            </w:r>
            <w:r>
              <w:t>Slum Almanac 2015-2016</w:t>
            </w:r>
          </w:p>
          <w:p w14:paraId="09A0F9A2" w14:textId="77777777" w:rsidR="006E35EE" w:rsidRDefault="006E35EE" w:rsidP="006E35EE">
            <w:pPr>
              <w:pStyle w:val="MText"/>
            </w:pPr>
          </w:p>
          <w:p w14:paraId="261BAA52" w14:textId="4BAEBD4C" w:rsidR="00030CA4" w:rsidRDefault="00030CA4" w:rsidP="006E35EE">
            <w:pPr>
              <w:pStyle w:val="MText"/>
            </w:pPr>
            <w:r>
              <w:t>UN-Habitat (2016). World Cities Report 2016</w:t>
            </w:r>
          </w:p>
          <w:p w14:paraId="0E61E5C8" w14:textId="77777777" w:rsidR="00030CA4" w:rsidRDefault="00030CA4" w:rsidP="00030CA4">
            <w:pPr>
              <w:pStyle w:val="MText"/>
              <w:rPr>
                <w:b/>
                <w:bCs/>
              </w:rPr>
            </w:pPr>
          </w:p>
          <w:p w14:paraId="5CB8E2E6" w14:textId="32F4BDC0" w:rsidR="00030CA4" w:rsidRDefault="00030CA4" w:rsidP="008E49D1">
            <w:pPr>
              <w:pStyle w:val="MSubHeader"/>
            </w:pPr>
            <w:r>
              <w:t xml:space="preserve">URL </w:t>
            </w:r>
            <w:r w:rsidR="008B6D4D">
              <w:t>r</w:t>
            </w:r>
            <w:r>
              <w:t>eferences:</w:t>
            </w:r>
          </w:p>
          <w:p w14:paraId="3BE58911" w14:textId="12ED1B58" w:rsidR="00030CA4" w:rsidRDefault="00EE3BE5" w:rsidP="008B6D4D">
            <w:pPr>
              <w:pStyle w:val="MText"/>
              <w:numPr>
                <w:ilvl w:val="0"/>
                <w:numId w:val="30"/>
              </w:numPr>
              <w:ind w:left="375"/>
            </w:pPr>
            <w:hyperlink r:id="rId11" w:history="1">
              <w:r w:rsidR="00030CA4" w:rsidRPr="008B6D4D">
                <w:rPr>
                  <w:rStyle w:val="Hyperlink"/>
                </w:rPr>
                <w:t>http://www.un.org/esa/sustdev/natlinfo/indicators/methodology_sheets.pdf</w:t>
              </w:r>
            </w:hyperlink>
          </w:p>
          <w:p w14:paraId="6FC82026" w14:textId="6A045D93" w:rsidR="00030CA4" w:rsidRDefault="00EE3BE5" w:rsidP="008B6D4D">
            <w:pPr>
              <w:pStyle w:val="MText"/>
              <w:numPr>
                <w:ilvl w:val="0"/>
                <w:numId w:val="30"/>
              </w:numPr>
              <w:ind w:left="375"/>
            </w:pPr>
            <w:hyperlink r:id="rId12" w:history="1">
              <w:r w:rsidR="00030CA4" w:rsidRPr="008B6D4D">
                <w:rPr>
                  <w:rStyle w:val="Hyperlink"/>
                </w:rPr>
                <w:t>http://unhabitat.org/urban-indicators-guidelines/</w:t>
              </w:r>
            </w:hyperlink>
          </w:p>
          <w:p w14:paraId="6B863CE0" w14:textId="06DE5BC3" w:rsidR="00030CA4" w:rsidRDefault="00EE3BE5" w:rsidP="008B6D4D">
            <w:pPr>
              <w:pStyle w:val="MText"/>
              <w:numPr>
                <w:ilvl w:val="0"/>
                <w:numId w:val="30"/>
              </w:numPr>
              <w:ind w:left="375"/>
            </w:pPr>
            <w:hyperlink r:id="rId13" w:history="1">
              <w:r w:rsidR="00030CA4" w:rsidRPr="008B6D4D">
                <w:rPr>
                  <w:rStyle w:val="Hyperlink"/>
                </w:rPr>
                <w:t>http://mdgs.un.org/unsd/mdg/Metadata.aspx?IndicatorId=0&amp;SeriesId=710</w:t>
              </w:r>
            </w:hyperlink>
          </w:p>
          <w:p w14:paraId="17DA4CF2" w14:textId="722F26C3" w:rsidR="00030CA4" w:rsidRDefault="00EE3BE5" w:rsidP="008B6D4D">
            <w:pPr>
              <w:pStyle w:val="MText"/>
              <w:numPr>
                <w:ilvl w:val="0"/>
                <w:numId w:val="30"/>
              </w:numPr>
              <w:ind w:left="375"/>
            </w:pPr>
            <w:hyperlink r:id="rId14" w:history="1">
              <w:r w:rsidR="00030CA4" w:rsidRPr="008B6D4D">
                <w:rPr>
                  <w:rStyle w:val="Hyperlink"/>
                </w:rPr>
                <w:t>http://unhabitat.org/urban-initiatives/initiatives-programmes/participatory-slum-upgrading/</w:t>
              </w:r>
            </w:hyperlink>
          </w:p>
          <w:p w14:paraId="2CC6A539" w14:textId="1A859F12" w:rsidR="00030CA4" w:rsidRDefault="00EE3BE5" w:rsidP="008B6D4D">
            <w:pPr>
              <w:pStyle w:val="MText"/>
              <w:numPr>
                <w:ilvl w:val="0"/>
                <w:numId w:val="30"/>
              </w:numPr>
              <w:ind w:left="375"/>
            </w:pPr>
            <w:hyperlink r:id="rId15" w:history="1">
              <w:r w:rsidR="00030CA4" w:rsidRPr="008B6D4D">
                <w:rPr>
                  <w:rStyle w:val="Hyperlink"/>
                </w:rPr>
                <w:t>http://unhabitat.org/slum-almanac-2015-2016/</w:t>
              </w:r>
            </w:hyperlink>
          </w:p>
          <w:p w14:paraId="5BBD5638" w14:textId="6EB6E3E8" w:rsidR="00030CA4" w:rsidRDefault="00EE3BE5" w:rsidP="008B6D4D">
            <w:pPr>
              <w:pStyle w:val="MText"/>
              <w:numPr>
                <w:ilvl w:val="0"/>
                <w:numId w:val="30"/>
              </w:numPr>
              <w:ind w:left="375"/>
            </w:pPr>
            <w:hyperlink r:id="rId16" w:history="1">
              <w:r w:rsidR="00030CA4" w:rsidRPr="008B6D4D">
                <w:rPr>
                  <w:rStyle w:val="Hyperlink"/>
                </w:rPr>
                <w:t>http://wcr.unhabitat.org/</w:t>
              </w:r>
            </w:hyperlink>
          </w:p>
          <w:p w14:paraId="75668AC2" w14:textId="66EBCC4E" w:rsidR="007B2E39" w:rsidRPr="00854588" w:rsidRDefault="00EE3BE5" w:rsidP="002735FF">
            <w:pPr>
              <w:pStyle w:val="MText"/>
              <w:numPr>
                <w:ilvl w:val="0"/>
                <w:numId w:val="30"/>
              </w:numPr>
              <w:ind w:left="375"/>
              <w:rPr>
                <w:rFonts w:cstheme="minorHAnsi"/>
                <w:lang w:val="es-ES"/>
              </w:rPr>
            </w:pPr>
            <w:hyperlink r:id="rId17" w:history="1">
              <w:r w:rsidR="00030CA4" w:rsidRPr="008B6D4D">
                <w:rPr>
                  <w:rStyle w:val="Hyperlink"/>
                </w:rPr>
                <w:t>http://www.unhabitat.org/programmes/guo/documents/EGM final report 4 Dec 02.pdf</w:t>
              </w:r>
            </w:hyperlink>
          </w:p>
        </w:tc>
      </w:tr>
    </w:tbl>
    <w:p w14:paraId="4069D0CB" w14:textId="15EB9674" w:rsidR="00C605D4" w:rsidRDefault="00C605D4" w:rsidP="008E49D1">
      <w:pPr>
        <w:pStyle w:val="Heading1"/>
        <w:rPr>
          <w:sz w:val="28"/>
          <w:szCs w:val="28"/>
        </w:rPr>
      </w:pPr>
    </w:p>
    <w:sectPr w:rsidR="00C605D4"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D1C6E" w14:textId="77777777" w:rsidR="00794FBC" w:rsidRDefault="00794FBC" w:rsidP="006B0512">
      <w:pPr>
        <w:spacing w:after="0" w:line="240" w:lineRule="auto"/>
      </w:pPr>
      <w:r>
        <w:separator/>
      </w:r>
    </w:p>
  </w:endnote>
  <w:endnote w:type="continuationSeparator" w:id="0">
    <w:p w14:paraId="46D83762" w14:textId="77777777" w:rsidR="00794FBC" w:rsidRDefault="00794FBC"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D1237" w14:textId="77777777" w:rsidR="00794FBC" w:rsidRDefault="00794FBC" w:rsidP="006B0512">
      <w:pPr>
        <w:spacing w:after="0" w:line="240" w:lineRule="auto"/>
      </w:pPr>
      <w:r>
        <w:separator/>
      </w:r>
    </w:p>
  </w:footnote>
  <w:footnote w:type="continuationSeparator" w:id="0">
    <w:p w14:paraId="72046990" w14:textId="77777777" w:rsidR="00794FBC" w:rsidRDefault="00794FBC" w:rsidP="006B0512">
      <w:pPr>
        <w:spacing w:after="0" w:line="240" w:lineRule="auto"/>
      </w:pPr>
      <w:r>
        <w:continuationSeparator/>
      </w:r>
    </w:p>
  </w:footnote>
  <w:footnote w:id="1">
    <w:p w14:paraId="142C5A15" w14:textId="77777777" w:rsidR="002A471F" w:rsidRDefault="002A471F" w:rsidP="002A471F">
      <w:pPr>
        <w:pStyle w:val="MText"/>
      </w:pPr>
      <w:r>
        <w:rPr>
          <w:rStyle w:val="FootnoteReference"/>
        </w:rPr>
        <w:footnoteRef/>
      </w:r>
      <w:r>
        <w:t xml:space="preserve"> UN-Habitat (2016). Fundaments of Urbanization. Evidence Base for Policy Making. Nairobi: UN-Habitat</w:t>
      </w:r>
    </w:p>
  </w:footnote>
  <w:footnote w:id="2">
    <w:p w14:paraId="04888B69" w14:textId="77777777" w:rsidR="002A471F" w:rsidRDefault="002A471F" w:rsidP="002A471F">
      <w:pPr>
        <w:pStyle w:val="MText"/>
      </w:pPr>
      <w:r>
        <w:rPr>
          <w:rStyle w:val="FootnoteReference"/>
        </w:rPr>
        <w:footnoteRef/>
      </w:r>
      <w:r>
        <w:t xml:space="preserve"> Ibid</w:t>
      </w:r>
    </w:p>
  </w:footnote>
  <w:footnote w:id="3">
    <w:p w14:paraId="0558DBF8" w14:textId="77777777" w:rsidR="002A471F" w:rsidRDefault="002A471F" w:rsidP="002A471F">
      <w:pPr>
        <w:pStyle w:val="MText"/>
      </w:pPr>
      <w:r>
        <w:rPr>
          <w:rStyle w:val="FootnoteReference"/>
        </w:rPr>
        <w:footnoteRef/>
      </w:r>
      <w:r>
        <w:t xml:space="preserve"> World Bank, 2017. Africa’s Cities: Opening Doors to the World.</w:t>
      </w:r>
    </w:p>
  </w:footnote>
  <w:footnote w:id="4">
    <w:p w14:paraId="3CFB5BA3" w14:textId="77777777" w:rsidR="002A471F" w:rsidRDefault="002A471F" w:rsidP="002A471F">
      <w:pPr>
        <w:pStyle w:val="MText"/>
        <w:rPr>
          <w:rStyle w:val="A19"/>
          <w:rFonts w:asciiTheme="minorHAnsi" w:eastAsiaTheme="majorEastAsia" w:hAnsiTheme="minorHAnsi"/>
          <w:lang w:eastAsia="en-US"/>
        </w:rPr>
      </w:pPr>
      <w:r>
        <w:rPr>
          <w:rStyle w:val="FootnoteReference"/>
        </w:rPr>
        <w:footnoteRef/>
      </w:r>
      <w:r>
        <w:rPr>
          <w:lang w:val="fr-FR"/>
        </w:rPr>
        <w:t xml:space="preserve"> </w:t>
      </w:r>
      <w:r>
        <w:rPr>
          <w:rFonts w:eastAsiaTheme="majorEastAsia"/>
          <w:lang w:val="fr-FR"/>
        </w:rPr>
        <w:t xml:space="preserve">UN-Habitat (2016). World Cities Report. UN-Habitat (2005). </w:t>
      </w:r>
      <w:r>
        <w:rPr>
          <w:rFonts w:eastAsiaTheme="majorEastAsia"/>
        </w:rPr>
        <w:t>Financing Shelter.</w:t>
      </w:r>
    </w:p>
  </w:footnote>
  <w:footnote w:id="5">
    <w:p w14:paraId="11F74BF1" w14:textId="77777777" w:rsidR="002A471F" w:rsidRDefault="002A471F" w:rsidP="002A471F">
      <w:pPr>
        <w:pStyle w:val="MText"/>
      </w:pPr>
      <w:r>
        <w:rPr>
          <w:rStyle w:val="FootnoteReference"/>
        </w:rPr>
        <w:footnoteRef/>
      </w:r>
      <w:r>
        <w:t xml:space="preserve"> UN-HABITAT (2005). Financing Urban Shelter: Global Report on Human Settlements 2005. Nairobi: UN-Habitat</w:t>
      </w:r>
    </w:p>
  </w:footnote>
  <w:footnote w:id="6">
    <w:p w14:paraId="57291A37" w14:textId="5E48F334" w:rsidR="002A471F" w:rsidRDefault="002A471F" w:rsidP="002A471F">
      <w:pPr>
        <w:pStyle w:val="FootnoteText"/>
        <w:rPr>
          <w:sz w:val="18"/>
          <w:szCs w:val="18"/>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UN-Habitat (2003), Slums of the World: The face of urban poverty in the new millennium; &lt;</w:t>
      </w:r>
      <w:hyperlink r:id="rId1" w:history="1">
        <w:r w:rsidRPr="008F27DB">
          <w:rPr>
            <w:rStyle w:val="Hyperlink"/>
            <w:rFonts w:eastAsiaTheme="majorEastAsia" w:cs="Times New Roman"/>
            <w:sz w:val="18"/>
            <w:szCs w:val="18"/>
            <w:shd w:val="clear" w:color="auto" w:fill="FFFFFF"/>
            <w:lang w:eastAsia="en-GB"/>
          </w:rPr>
          <w:t>mirror.unhabitat.org/pmss/getElectronicVersion.aspx?nr=1124&amp;alt=1</w:t>
        </w:r>
      </w:hyperlink>
      <w:r>
        <w:rPr>
          <w:rStyle w:val="MTextChar"/>
          <w:rFonts w:eastAsiaTheme="majorEastAsia"/>
          <w:sz w:val="18"/>
          <w:szCs w:val="18"/>
        </w:rPr>
        <w:t>&gt;</w:t>
      </w:r>
    </w:p>
  </w:footnote>
  <w:footnote w:id="7">
    <w:p w14:paraId="5EDF9CA0" w14:textId="2BC4AAB1" w:rsidR="002A471F" w:rsidRDefault="002A471F" w:rsidP="002A471F">
      <w:pPr>
        <w:pStyle w:val="FootnoteText"/>
        <w:rPr>
          <w:rStyle w:val="A19"/>
          <w:rFonts w:asciiTheme="minorHAnsi" w:hAnsiTheme="minorHAnsi" w:cs="Times New Roman"/>
          <w:lang w:eastAsia="en-US"/>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United Nations (2007), Indicators of Sustainable Development: Guidelines and Methodologies. Third Edition, United Nations, New York; &lt;</w:t>
      </w:r>
      <w:hyperlink r:id="rId2" w:history="1">
        <w:r w:rsidRPr="008F27DB">
          <w:rPr>
            <w:rStyle w:val="Hyperlink"/>
            <w:rFonts w:eastAsiaTheme="majorEastAsia" w:cs="Times New Roman"/>
            <w:sz w:val="18"/>
            <w:szCs w:val="18"/>
            <w:shd w:val="clear" w:color="auto" w:fill="FFFFFF"/>
            <w:lang w:eastAsia="en-GB"/>
          </w:rPr>
          <w:t>https://sustainabledevelopment.un.org/index.php?page=view&amp;type=400&amp;nr=107&amp;</w:t>
        </w:r>
      </w:hyperlink>
      <w:r>
        <w:rPr>
          <w:rStyle w:val="MTextChar"/>
          <w:rFonts w:eastAsiaTheme="majorEastAsia"/>
          <w:sz w:val="18"/>
          <w:szCs w:val="18"/>
        </w:rPr>
        <w:t>&gt;; UN-Habitat (2003), Slums of the World: The face of urban poverty in the new millennium.</w:t>
      </w:r>
    </w:p>
  </w:footnote>
  <w:footnote w:id="8">
    <w:p w14:paraId="43888E80" w14:textId="223146E9" w:rsidR="002A471F" w:rsidRDefault="002A471F" w:rsidP="002A471F">
      <w:pPr>
        <w:pStyle w:val="FootnoteText"/>
        <w:rPr>
          <w:rStyle w:val="A19"/>
          <w:sz w:val="18"/>
          <w:szCs w:val="18"/>
          <w:lang w:eastAsia="en-US"/>
        </w:rPr>
      </w:pPr>
      <w:r>
        <w:rPr>
          <w:rStyle w:val="FootnoteReference"/>
          <w:color w:val="000000"/>
          <w:sz w:val="18"/>
          <w:szCs w:val="18"/>
          <w:lang w:eastAsia="en-US"/>
        </w:rPr>
        <w:footnoteRef/>
      </w:r>
      <w:r>
        <w:rPr>
          <w:rStyle w:val="FootnoteReference"/>
          <w:rFonts w:ascii="Arial" w:hAnsi="Arial" w:cs="Arial"/>
          <w:sz w:val="18"/>
          <w:szCs w:val="18"/>
        </w:rPr>
        <w:t xml:space="preserve"> </w:t>
      </w:r>
      <w:r>
        <w:rPr>
          <w:rStyle w:val="MTextChar"/>
          <w:rFonts w:eastAsiaTheme="majorEastAsia"/>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w:t>
      </w:r>
      <w:hyperlink r:id="rId3" w:history="1">
        <w:r w:rsidRPr="008F27DB">
          <w:rPr>
            <w:rStyle w:val="Hyperlink"/>
            <w:rFonts w:eastAsiaTheme="majorEastAsia" w:cs="Times New Roman"/>
            <w:sz w:val="18"/>
            <w:szCs w:val="18"/>
            <w:shd w:val="clear" w:color="auto" w:fill="FFFFFF"/>
            <w:lang w:eastAsia="en-GB"/>
          </w:rPr>
          <w:t>http://mdgs.un.org/unsd/mdg/Metadata.aspx</w:t>
        </w:r>
      </w:hyperlink>
      <w:r>
        <w:rPr>
          <w:rStyle w:val="MTextChar"/>
          <w:rFonts w:eastAsiaTheme="majorEastAsia"/>
          <w:sz w:val="18"/>
          <w:szCs w:val="18"/>
        </w:rPr>
        <w:t>&gt;).</w:t>
      </w:r>
    </w:p>
  </w:footnote>
  <w:footnote w:id="9">
    <w:p w14:paraId="68CF9F50" w14:textId="77777777" w:rsidR="002A471F" w:rsidRDefault="002A471F" w:rsidP="002A471F">
      <w:pPr>
        <w:pStyle w:val="FootnoteText"/>
        <w:rPr>
          <w:rStyle w:val="MTextChar"/>
          <w:rFonts w:eastAsiaTheme="majorEastAsia"/>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eastAsiaTheme="majorEastAsia"/>
          <w:sz w:val="18"/>
          <w:szCs w:val="18"/>
        </w:rPr>
        <w:t>UN-Habitat (1998), Crowding and Health in Low Income Settlements of Guinea Bissau, SIEP Occasional Series No.1.</w:t>
      </w:r>
    </w:p>
  </w:footnote>
  <w:footnote w:id="10">
    <w:p w14:paraId="001F9F9A" w14:textId="77777777" w:rsidR="002A471F" w:rsidRDefault="002A471F" w:rsidP="002A471F">
      <w:pPr>
        <w:pStyle w:val="MText"/>
        <w:rPr>
          <w:rStyle w:val="A19"/>
          <w:rFonts w:asciiTheme="minorHAnsi" w:eastAsiaTheme="majorEastAsia" w:hAnsiTheme="minorHAns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583A7AC3" w14:textId="77777777" w:rsidR="002A471F" w:rsidRDefault="002A471F" w:rsidP="002A471F">
      <w:pPr>
        <w:pStyle w:val="MText"/>
        <w:rPr>
          <w:rStyle w:val="A19"/>
          <w:rFonts w:eastAsiaTheme="majorEastAsia"/>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2A709BAA" w14:textId="77777777" w:rsidR="00531F75" w:rsidRDefault="00531F75" w:rsidP="00531F75">
      <w:pPr>
        <w:pStyle w:val="FootnoteText"/>
        <w:rPr>
          <w:rStyle w:val="FootnoteReference"/>
          <w:lang w:val="it-IT" w:eastAsia="en-US"/>
        </w:rPr>
      </w:pPr>
      <w:r>
        <w:rPr>
          <w:rStyle w:val="FootnoteReference"/>
          <w:color w:val="000000"/>
          <w:lang w:eastAsia="en-US"/>
        </w:rPr>
        <w:footnoteRef/>
      </w:r>
      <w:r>
        <w:rPr>
          <w:rStyle w:val="FootnoteReference"/>
          <w:color w:val="000000"/>
          <w:lang w:eastAsia="en-US"/>
        </w:rPr>
        <w:t xml:space="preserve"> </w:t>
      </w:r>
      <w:r>
        <w:rPr>
          <w:rStyle w:val="MTextChar"/>
          <w:rFonts w:eastAsiaTheme="minorEastAsia"/>
        </w:rPr>
        <w:t>Measurements based on those in the (2003) UN-Habitat Challenge of Slums, p.12.</w:t>
      </w:r>
    </w:p>
  </w:footnote>
  <w:footnote w:id="13">
    <w:p w14:paraId="4C9F26C1" w14:textId="77777777" w:rsidR="008E17D4" w:rsidRDefault="008E17D4" w:rsidP="008E17D4">
      <w:pPr>
        <w:pStyle w:val="FootnoteText"/>
        <w:jc w:val="both"/>
      </w:pPr>
      <w:r>
        <w:rPr>
          <w:rStyle w:val="FootnoteReference"/>
          <w:rFonts w:ascii="Times New Roman" w:hAnsi="Times New Roman" w:cs="Times New Roman"/>
          <w:sz w:val="18"/>
        </w:rPr>
        <w:footnoteRef/>
      </w:r>
      <w:r>
        <w:rPr>
          <w:rStyle w:val="FootnoteReference"/>
          <w:rFonts w:ascii="Times New Roman" w:hAnsi="Times New Roman" w:cs="Times New Roman"/>
          <w:sz w:val="18"/>
        </w:rPr>
        <w:t xml:space="preserve"> </w:t>
      </w:r>
      <w:r>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FF586E"/>
    <w:multiLevelType w:val="hybridMultilevel"/>
    <w:tmpl w:val="4EF436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1201FE"/>
    <w:multiLevelType w:val="hybridMultilevel"/>
    <w:tmpl w:val="519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A08DB"/>
    <w:multiLevelType w:val="hybridMultilevel"/>
    <w:tmpl w:val="B48284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D54B6"/>
    <w:multiLevelType w:val="hybridMultilevel"/>
    <w:tmpl w:val="1A5ED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D8D4785"/>
    <w:multiLevelType w:val="hybridMultilevel"/>
    <w:tmpl w:val="1CF2E650"/>
    <w:lvl w:ilvl="0" w:tplc="F806A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1760F"/>
    <w:multiLevelType w:val="hybridMultilevel"/>
    <w:tmpl w:val="E19CC64C"/>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027704"/>
    <w:multiLevelType w:val="hybridMultilevel"/>
    <w:tmpl w:val="146E0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FA25C25"/>
    <w:multiLevelType w:val="hybridMultilevel"/>
    <w:tmpl w:val="8EA0271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8425036"/>
    <w:multiLevelType w:val="hybridMultilevel"/>
    <w:tmpl w:val="F46C84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7B6161"/>
    <w:multiLevelType w:val="hybridMultilevel"/>
    <w:tmpl w:val="3CFE3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3"/>
  </w:num>
  <w:num w:numId="4">
    <w:abstractNumId w:val="16"/>
  </w:num>
  <w:num w:numId="5">
    <w:abstractNumId w:val="34"/>
  </w:num>
  <w:num w:numId="6">
    <w:abstractNumId w:val="10"/>
  </w:num>
  <w:num w:numId="7">
    <w:abstractNumId w:val="30"/>
  </w:num>
  <w:num w:numId="8">
    <w:abstractNumId w:val="0"/>
  </w:num>
  <w:num w:numId="9">
    <w:abstractNumId w:val="29"/>
  </w:num>
  <w:num w:numId="10">
    <w:abstractNumId w:val="28"/>
  </w:num>
  <w:num w:numId="11">
    <w:abstractNumId w:val="35"/>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33"/>
  </w:num>
  <w:num w:numId="19">
    <w:abstractNumId w:val="3"/>
  </w:num>
  <w:num w:numId="20">
    <w:abstractNumId w:val="6"/>
  </w:num>
  <w:num w:numId="21">
    <w:abstractNumId w:val="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18"/>
  </w:num>
  <w:num w:numId="29">
    <w:abstractNumId w:val="2"/>
  </w:num>
  <w:num w:numId="30">
    <w:abstractNumId w:val="32"/>
  </w:num>
  <w:num w:numId="31">
    <w:abstractNumId w:val="5"/>
  </w:num>
  <w:num w:numId="32">
    <w:abstractNumId w:val="22"/>
  </w:num>
  <w:num w:numId="33">
    <w:abstractNumId w:val="31"/>
  </w:num>
  <w:num w:numId="34">
    <w:abstractNumId w:val="17"/>
  </w:num>
  <w:num w:numId="35">
    <w:abstractNumId w:val="7"/>
  </w:num>
  <w:num w:numId="36">
    <w:abstractNumId w:val="1"/>
  </w:num>
  <w:num w:numId="37">
    <w:abstractNumId w:val="24"/>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0CA4"/>
    <w:rsid w:val="00042B85"/>
    <w:rsid w:val="000434EA"/>
    <w:rsid w:val="00044505"/>
    <w:rsid w:val="000639BB"/>
    <w:rsid w:val="00073907"/>
    <w:rsid w:val="00077DCF"/>
    <w:rsid w:val="00091352"/>
    <w:rsid w:val="000A24C4"/>
    <w:rsid w:val="000B2C16"/>
    <w:rsid w:val="000B6681"/>
    <w:rsid w:val="000C6D3A"/>
    <w:rsid w:val="000E0840"/>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5FF"/>
    <w:rsid w:val="0027379A"/>
    <w:rsid w:val="0029558C"/>
    <w:rsid w:val="002960FA"/>
    <w:rsid w:val="002A471F"/>
    <w:rsid w:val="002A631A"/>
    <w:rsid w:val="002A6E7E"/>
    <w:rsid w:val="002B07D0"/>
    <w:rsid w:val="002C550A"/>
    <w:rsid w:val="002E449E"/>
    <w:rsid w:val="002E4E48"/>
    <w:rsid w:val="003161D6"/>
    <w:rsid w:val="00325D2B"/>
    <w:rsid w:val="00334DB3"/>
    <w:rsid w:val="00335EA0"/>
    <w:rsid w:val="00344199"/>
    <w:rsid w:val="00352386"/>
    <w:rsid w:val="003525CD"/>
    <w:rsid w:val="003700A1"/>
    <w:rsid w:val="00374A78"/>
    <w:rsid w:val="00380958"/>
    <w:rsid w:val="00394ADD"/>
    <w:rsid w:val="003A176C"/>
    <w:rsid w:val="003A3746"/>
    <w:rsid w:val="003A60DA"/>
    <w:rsid w:val="003B0B19"/>
    <w:rsid w:val="003B3C76"/>
    <w:rsid w:val="003C32E3"/>
    <w:rsid w:val="003E7F33"/>
    <w:rsid w:val="00406983"/>
    <w:rsid w:val="004073A7"/>
    <w:rsid w:val="00417B9F"/>
    <w:rsid w:val="004233A5"/>
    <w:rsid w:val="00430958"/>
    <w:rsid w:val="00431B0C"/>
    <w:rsid w:val="00433D18"/>
    <w:rsid w:val="004361A7"/>
    <w:rsid w:val="00437A0E"/>
    <w:rsid w:val="004502AA"/>
    <w:rsid w:val="00462DB8"/>
    <w:rsid w:val="00463306"/>
    <w:rsid w:val="004732A1"/>
    <w:rsid w:val="00490C58"/>
    <w:rsid w:val="004962C5"/>
    <w:rsid w:val="004C1C86"/>
    <w:rsid w:val="004C665C"/>
    <w:rsid w:val="004D68B6"/>
    <w:rsid w:val="004F23B5"/>
    <w:rsid w:val="004F4616"/>
    <w:rsid w:val="00500E13"/>
    <w:rsid w:val="00511908"/>
    <w:rsid w:val="00514CB8"/>
    <w:rsid w:val="00514E59"/>
    <w:rsid w:val="005223A2"/>
    <w:rsid w:val="00522827"/>
    <w:rsid w:val="0052362A"/>
    <w:rsid w:val="00531F75"/>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E35EE"/>
    <w:rsid w:val="006F50E8"/>
    <w:rsid w:val="00700927"/>
    <w:rsid w:val="007100BD"/>
    <w:rsid w:val="00736C4F"/>
    <w:rsid w:val="00737374"/>
    <w:rsid w:val="00741B79"/>
    <w:rsid w:val="00760C49"/>
    <w:rsid w:val="00794FBC"/>
    <w:rsid w:val="0079591F"/>
    <w:rsid w:val="00797DD2"/>
    <w:rsid w:val="007A078A"/>
    <w:rsid w:val="007A2617"/>
    <w:rsid w:val="007A28BA"/>
    <w:rsid w:val="007A5A6B"/>
    <w:rsid w:val="007B2E39"/>
    <w:rsid w:val="007C63C4"/>
    <w:rsid w:val="007E2E6A"/>
    <w:rsid w:val="007E4EE0"/>
    <w:rsid w:val="007F4449"/>
    <w:rsid w:val="007F793B"/>
    <w:rsid w:val="00800BB8"/>
    <w:rsid w:val="00814E37"/>
    <w:rsid w:val="0083759C"/>
    <w:rsid w:val="00846F04"/>
    <w:rsid w:val="00854588"/>
    <w:rsid w:val="008A7300"/>
    <w:rsid w:val="008B6D4D"/>
    <w:rsid w:val="008D1FE5"/>
    <w:rsid w:val="008D6488"/>
    <w:rsid w:val="008E17D4"/>
    <w:rsid w:val="008E49D1"/>
    <w:rsid w:val="008E6037"/>
    <w:rsid w:val="008F179C"/>
    <w:rsid w:val="008F27DB"/>
    <w:rsid w:val="0090556F"/>
    <w:rsid w:val="0091555D"/>
    <w:rsid w:val="00924458"/>
    <w:rsid w:val="0095215C"/>
    <w:rsid w:val="0095217A"/>
    <w:rsid w:val="00952376"/>
    <w:rsid w:val="00970B70"/>
    <w:rsid w:val="00971FA7"/>
    <w:rsid w:val="009739C8"/>
    <w:rsid w:val="009B7FDA"/>
    <w:rsid w:val="009D6F69"/>
    <w:rsid w:val="009E049D"/>
    <w:rsid w:val="009F2485"/>
    <w:rsid w:val="00A0576E"/>
    <w:rsid w:val="00A167C6"/>
    <w:rsid w:val="00A31ECA"/>
    <w:rsid w:val="00A3532A"/>
    <w:rsid w:val="00A36E8B"/>
    <w:rsid w:val="00A4314D"/>
    <w:rsid w:val="00A45D0E"/>
    <w:rsid w:val="00A67357"/>
    <w:rsid w:val="00A70720"/>
    <w:rsid w:val="00A91915"/>
    <w:rsid w:val="00A92C73"/>
    <w:rsid w:val="00AA38A9"/>
    <w:rsid w:val="00AB65AE"/>
    <w:rsid w:val="00AD7B8E"/>
    <w:rsid w:val="00AE7A74"/>
    <w:rsid w:val="00AF0A41"/>
    <w:rsid w:val="00AF0B75"/>
    <w:rsid w:val="00B137EE"/>
    <w:rsid w:val="00B26EF8"/>
    <w:rsid w:val="00B27325"/>
    <w:rsid w:val="00B61457"/>
    <w:rsid w:val="00B6605A"/>
    <w:rsid w:val="00B71AEA"/>
    <w:rsid w:val="00B74489"/>
    <w:rsid w:val="00B91151"/>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63BD"/>
    <w:rsid w:val="00D82137"/>
    <w:rsid w:val="00D824EC"/>
    <w:rsid w:val="00D855E8"/>
    <w:rsid w:val="00DA4FFC"/>
    <w:rsid w:val="00DB24B1"/>
    <w:rsid w:val="00DC4AE7"/>
    <w:rsid w:val="00DD657C"/>
    <w:rsid w:val="00DE10A6"/>
    <w:rsid w:val="00DF78A7"/>
    <w:rsid w:val="00E07A4C"/>
    <w:rsid w:val="00E07CA1"/>
    <w:rsid w:val="00E23632"/>
    <w:rsid w:val="00E44F28"/>
    <w:rsid w:val="00E51B2C"/>
    <w:rsid w:val="00E61165"/>
    <w:rsid w:val="00E613BC"/>
    <w:rsid w:val="00E6571F"/>
    <w:rsid w:val="00E67E00"/>
    <w:rsid w:val="00E72040"/>
    <w:rsid w:val="00E74038"/>
    <w:rsid w:val="00E74F47"/>
    <w:rsid w:val="00EA6E73"/>
    <w:rsid w:val="00EC064B"/>
    <w:rsid w:val="00ED7DAE"/>
    <w:rsid w:val="00EE3BE5"/>
    <w:rsid w:val="00F00FDD"/>
    <w:rsid w:val="00F02D75"/>
    <w:rsid w:val="00F07040"/>
    <w:rsid w:val="00F07E48"/>
    <w:rsid w:val="00F2310E"/>
    <w:rsid w:val="00F707F3"/>
    <w:rsid w:val="00F75853"/>
    <w:rsid w:val="00F8144F"/>
    <w:rsid w:val="00F81CDD"/>
    <w:rsid w:val="00F8270F"/>
    <w:rsid w:val="00F862A7"/>
    <w:rsid w:val="00F93763"/>
    <w:rsid w:val="00F939A2"/>
    <w:rsid w:val="00F96E8D"/>
    <w:rsid w:val="00FA20D9"/>
    <w:rsid w:val="00FA23A3"/>
    <w:rsid w:val="00FB03D0"/>
    <w:rsid w:val="00FF642D"/>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aliases w:val="Footnote.Text,f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aliases w:val="Footnote.Text Char,f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9">
    <w:name w:val="A19"/>
    <w:uiPriority w:val="99"/>
    <w:rsid w:val="002A471F"/>
    <w:rPr>
      <w:rFonts w:ascii="Frutiger LT Std 45 Light" w:hAnsi="Frutiger LT Std 45 Light" w:cs="Frutiger LT Std 45 Light" w:hint="defaul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21265469">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0835084">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05778930">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3323235">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3248069">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47232726">
      <w:bodyDiv w:val="1"/>
      <w:marLeft w:val="0"/>
      <w:marRight w:val="0"/>
      <w:marTop w:val="0"/>
      <w:marBottom w:val="0"/>
      <w:divBdr>
        <w:top w:val="none" w:sz="0" w:space="0" w:color="auto"/>
        <w:left w:val="none" w:sz="0" w:space="0" w:color="auto"/>
        <w:bottom w:val="none" w:sz="0" w:space="0" w:color="auto"/>
        <w:right w:val="none" w:sz="0" w:space="0" w:color="auto"/>
      </w:divBdr>
    </w:div>
    <w:div w:id="1252543780">
      <w:bodyDiv w:val="1"/>
      <w:marLeft w:val="0"/>
      <w:marRight w:val="0"/>
      <w:marTop w:val="0"/>
      <w:marBottom w:val="0"/>
      <w:divBdr>
        <w:top w:val="none" w:sz="0" w:space="0" w:color="auto"/>
        <w:left w:val="none" w:sz="0" w:space="0" w:color="auto"/>
        <w:bottom w:val="none" w:sz="0" w:space="0" w:color="auto"/>
        <w:right w:val="none" w:sz="0" w:space="0" w:color="auto"/>
      </w:divBdr>
    </w:div>
    <w:div w:id="1255673877">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80857423">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005863">
      <w:bodyDiv w:val="1"/>
      <w:marLeft w:val="0"/>
      <w:marRight w:val="0"/>
      <w:marTop w:val="0"/>
      <w:marBottom w:val="0"/>
      <w:divBdr>
        <w:top w:val="none" w:sz="0" w:space="0" w:color="auto"/>
        <w:left w:val="none" w:sz="0" w:space="0" w:color="auto"/>
        <w:bottom w:val="none" w:sz="0" w:space="0" w:color="auto"/>
        <w:right w:val="none" w:sz="0" w:space="0" w:color="auto"/>
      </w:divBdr>
    </w:div>
    <w:div w:id="1445148886">
      <w:bodyDiv w:val="1"/>
      <w:marLeft w:val="0"/>
      <w:marRight w:val="0"/>
      <w:marTop w:val="0"/>
      <w:marBottom w:val="0"/>
      <w:divBdr>
        <w:top w:val="none" w:sz="0" w:space="0" w:color="auto"/>
        <w:left w:val="none" w:sz="0" w:space="0" w:color="auto"/>
        <w:bottom w:val="none" w:sz="0" w:space="0" w:color="auto"/>
        <w:right w:val="none" w:sz="0" w:space="0" w:color="auto"/>
      </w:divBdr>
    </w:div>
    <w:div w:id="1486626484">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4120923">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6814032">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6918327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gs.un.org/unsd/mdg/Metadata.aspx?IndicatorId=0&amp;SeriesId=7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unhabitat.org/urban-indicators-guidelines/" TargetMode="External"/><Relationship Id="rId17" Type="http://schemas.openxmlformats.org/officeDocument/2006/relationships/hyperlink" Target="http://www.unhabitat.org/programmes/guo/documents/EGM%20final%20report%204%20Dec%2002.pdf" TargetMode="External"/><Relationship Id="rId2" Type="http://schemas.openxmlformats.org/officeDocument/2006/relationships/numbering" Target="numbering.xml"/><Relationship Id="rId16" Type="http://schemas.openxmlformats.org/officeDocument/2006/relationships/hyperlink" Target="http://wcr.unhabita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sa/sustdev/natlinfo/indicators/methodology_sheets.pdf" TargetMode="External"/><Relationship Id="rId5" Type="http://schemas.openxmlformats.org/officeDocument/2006/relationships/webSettings" Target="webSettings.xml"/><Relationship Id="rId15" Type="http://schemas.openxmlformats.org/officeDocument/2006/relationships/hyperlink" Target="http://unhabitat.org/slum-almanac-2015-201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habitat.org/urban-initiatives/initiatives-programmes/participatory-slum-upgradi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dgs.un.org/unsd/mdg/Metadata.aspx" TargetMode="External"/><Relationship Id="rId2" Type="http://schemas.openxmlformats.org/officeDocument/2006/relationships/hyperlink" Target="https://sustainabledevelopment.un.org/index.php?page=view&amp;type=400&amp;nr=107&amp;" TargetMode="External"/><Relationship Id="rId1" Type="http://schemas.openxmlformats.org/officeDocument/2006/relationships/hyperlink" Target="mirror.unhabitat.org/pmss/getElectronicVersion.aspx?nr=1124&amp;alt=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7CAF38CE4A4679819729D0284C0FF0"/>
        <w:category>
          <w:name w:val="General"/>
          <w:gallery w:val="placeholder"/>
        </w:category>
        <w:types>
          <w:type w:val="bbPlcHdr"/>
        </w:types>
        <w:behaviors>
          <w:behavior w:val="content"/>
        </w:behaviors>
        <w:guid w:val="{87FCD99E-AB7E-4C41-9426-C668471E7BD3}"/>
      </w:docPartPr>
      <w:docPartBody>
        <w:p w:rsidR="003A0AD3" w:rsidRDefault="002B48DD" w:rsidP="002B48DD">
          <w:pPr>
            <w:pStyle w:val="117CAF38CE4A4679819729D0284C0FF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D"/>
    <w:rsid w:val="00255365"/>
    <w:rsid w:val="002B48DD"/>
    <w:rsid w:val="003A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8DD"/>
    <w:rPr>
      <w:color w:val="808080"/>
    </w:rPr>
  </w:style>
  <w:style w:type="paragraph" w:customStyle="1" w:styleId="117CAF38CE4A4679819729D0284C0FF0">
    <w:name w:val="117CAF38CE4A4679819729D0284C0FF0"/>
    <w:rsid w:val="002B4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CF94-EF62-4E1E-9AF7-59367151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19</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2020-04-10T17:02:00Z</cp:lastPrinted>
  <dcterms:created xsi:type="dcterms:W3CDTF">2020-04-14T18:33:00Z</dcterms:created>
  <dcterms:modified xsi:type="dcterms:W3CDTF">2020-04-20T18:59:00Z</dcterms:modified>
</cp:coreProperties>
</file>