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AC62D1" w:rsidRDefault="00355460" w:rsidP="00316CFE">
      <w:pPr>
        <w:pStyle w:val="MHeader"/>
        <w:outlineLvl w:val="0"/>
      </w:pPr>
      <w:bookmarkStart w:id="0" w:name="_Toc37932741"/>
      <w:r w:rsidRPr="00AC62D1">
        <w:t>Metadata Attachment</w:t>
      </w:r>
      <w:bookmarkEnd w:id="0"/>
    </w:p>
    <w:p w14:paraId="083C8FDB" w14:textId="77777777" w:rsidR="00355460" w:rsidRPr="00AC62D1" w:rsidRDefault="00355460" w:rsidP="002806B7">
      <w:pPr>
        <w:spacing w:after="0"/>
        <w:rPr>
          <w:sz w:val="26"/>
          <w:szCs w:val="26"/>
        </w:rPr>
      </w:pPr>
      <w:r w:rsidRPr="00AC62D1">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AC62D1" w:rsidRDefault="00355460" w:rsidP="00355460">
          <w:r w:rsidRPr="00AC62D1">
            <w:rPr>
              <w:rStyle w:val="PlaceholderText"/>
            </w:rPr>
            <w:t>Choose an item.</w:t>
          </w:r>
        </w:p>
      </w:sdtContent>
    </w:sdt>
    <w:p w14:paraId="1B663815" w14:textId="77777777" w:rsidR="00355460" w:rsidRPr="00AC62D1" w:rsidRDefault="00355460" w:rsidP="002806B7">
      <w:pPr>
        <w:spacing w:after="0"/>
        <w:rPr>
          <w:sz w:val="26"/>
          <w:szCs w:val="26"/>
        </w:rPr>
      </w:pPr>
      <w:r w:rsidRPr="00AC62D1">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AC62D1" w:rsidRDefault="00355460" w:rsidP="00355460">
          <w:r w:rsidRPr="00AC62D1">
            <w:rPr>
              <w:rStyle w:val="PlaceholderText"/>
            </w:rPr>
            <w:t>Choose an item.</w:t>
          </w:r>
        </w:p>
      </w:sdtContent>
    </w:sdt>
    <w:p w14:paraId="0C6EECD0" w14:textId="77777777" w:rsidR="00355460" w:rsidRPr="00AC62D1" w:rsidRDefault="00355460" w:rsidP="002806B7">
      <w:pPr>
        <w:spacing w:after="0"/>
        <w:rPr>
          <w:sz w:val="26"/>
          <w:szCs w:val="26"/>
        </w:rPr>
      </w:pPr>
      <w:r w:rsidRPr="00AC62D1">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AC62D1" w:rsidRDefault="00355460" w:rsidP="00355460">
          <w:r w:rsidRPr="00AC62D1">
            <w:rPr>
              <w:rStyle w:val="PlaceholderText"/>
            </w:rPr>
            <w:t>Choose an item.</w:t>
          </w:r>
        </w:p>
      </w:sdtContent>
    </w:sdt>
    <w:p w14:paraId="69911511" w14:textId="77777777" w:rsidR="00B8102F" w:rsidRPr="00AC62D1" w:rsidRDefault="00B8102F" w:rsidP="00355460"/>
    <w:p w14:paraId="04071A0F" w14:textId="77777777" w:rsidR="00693674" w:rsidRPr="00AC62D1" w:rsidRDefault="000149A9" w:rsidP="004962C5">
      <w:pPr>
        <w:pStyle w:val="MHeader"/>
        <w:outlineLvl w:val="0"/>
      </w:pPr>
      <w:bookmarkStart w:id="1" w:name="_Toc37932742"/>
      <w:r w:rsidRPr="00AC62D1">
        <w:t xml:space="preserve">Metadata </w:t>
      </w:r>
      <w:r w:rsidR="004962C5" w:rsidRPr="00AC62D1">
        <w:t>Submission Form</w:t>
      </w:r>
      <w:bookmarkEnd w:id="1"/>
    </w:p>
    <w:p w14:paraId="4B748B70" w14:textId="132BFDC7" w:rsidR="00B74489" w:rsidRPr="00AC62D1"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AC62D1"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AC62D1"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AC62D1">
              <w:rPr>
                <w:sz w:val="32"/>
                <w:szCs w:val="32"/>
              </w:rPr>
              <w:t>0. Indicator information</w:t>
            </w:r>
            <w:bookmarkEnd w:id="2"/>
            <w:bookmarkEnd w:id="3"/>
            <w:bookmarkEnd w:id="4"/>
            <w:bookmarkEnd w:id="5"/>
            <w:bookmarkEnd w:id="6"/>
          </w:p>
        </w:tc>
      </w:tr>
      <w:tr w:rsidR="005377B9" w:rsidRPr="00AC62D1"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AC62D1" w:rsidRDefault="005377B9" w:rsidP="0051738B">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C62D1" w:rsidRDefault="005377B9" w:rsidP="0051738B">
            <w:pPr>
              <w:spacing w:after="0" w:line="240" w:lineRule="auto"/>
              <w:rPr>
                <w:rFonts w:ascii="Calibri" w:eastAsia="Times New Roman" w:hAnsi="Calibri" w:cs="Calibri"/>
                <w:i/>
                <w:iCs/>
                <w:color w:val="000000"/>
              </w:rPr>
            </w:pPr>
            <w:r w:rsidRPr="00AC62D1">
              <w:rPr>
                <w:rFonts w:ascii="Calibri" w:eastAsia="Times New Roman" w:hAnsi="Calibri" w:cs="Calibri"/>
                <w:i/>
                <w:iCs/>
                <w:color w:val="000000"/>
              </w:rPr>
              <w:t xml:space="preserve">Insert text, lists, tables, and images. </w:t>
            </w:r>
          </w:p>
        </w:tc>
      </w:tr>
      <w:tr w:rsidR="005377B9" w:rsidRPr="00AC62D1"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AC62D1" w:rsidRDefault="005377B9" w:rsidP="0051738B">
            <w:pPr>
              <w:spacing w:after="0" w:line="240" w:lineRule="auto"/>
              <w:rPr>
                <w:rFonts w:ascii="Calibri" w:eastAsia="Times New Roman" w:hAnsi="Calibri" w:cs="Calibri"/>
              </w:rPr>
            </w:pPr>
            <w:r w:rsidRPr="00AC62D1">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AC62D1" w:rsidRDefault="005377B9" w:rsidP="0051738B">
            <w:pPr>
              <w:pStyle w:val="MGTHeader"/>
              <w:rPr>
                <w:rFonts w:cstheme="minorHAnsi"/>
              </w:rPr>
            </w:pPr>
          </w:p>
        </w:tc>
      </w:tr>
      <w:tr w:rsidR="005377B9" w:rsidRPr="00AC62D1"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9458FC" w:rsidR="005377B9" w:rsidRPr="00A53C4F" w:rsidRDefault="00A53C4F" w:rsidP="002C7F7E">
            <w:pPr>
              <w:pStyle w:val="MGTHeader"/>
            </w:pPr>
            <w:r>
              <w:t xml:space="preserve">Goal 12: </w:t>
            </w:r>
            <w:r w:rsidRPr="006A7BE5">
              <w:t>Ensure sustainable consumption and production patterns</w:t>
            </w:r>
          </w:p>
        </w:tc>
      </w:tr>
      <w:tr w:rsidR="005377B9" w:rsidRPr="00AC62D1"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853722E" w:rsidR="005377B9" w:rsidRPr="00A53C4F" w:rsidRDefault="00A53C4F" w:rsidP="002C7F7E">
            <w:pPr>
              <w:pStyle w:val="MGTHeader"/>
            </w:pPr>
            <w:r>
              <w:t>Target</w:t>
            </w:r>
            <w:r w:rsidRPr="00573631">
              <w:t xml:space="preserve"> </w:t>
            </w:r>
            <w:r>
              <w:t>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tc>
      </w:tr>
      <w:tr w:rsidR="005377B9" w:rsidRPr="00AC62D1"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97B3289" w:rsidR="005377B9" w:rsidRPr="00A53C4F" w:rsidRDefault="00A53C4F" w:rsidP="002C7F7E">
            <w:pPr>
              <w:pStyle w:val="MIndHeader"/>
            </w:pPr>
            <w:r>
              <w:t>Indicator 12.4.1: Number of parties to international multilateral environmental agreements on hazardous waste, and other chemicals that meet their commitments and obligations in transmitting information as required by each relevant agreement</w:t>
            </w:r>
          </w:p>
        </w:tc>
      </w:tr>
      <w:tr w:rsidR="005377B9" w:rsidRPr="00AC62D1"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AC62D1" w:rsidRDefault="005377B9" w:rsidP="0051738B">
            <w:pPr>
              <w:spacing w:after="0" w:line="240" w:lineRule="auto"/>
              <w:rPr>
                <w:rFonts w:ascii="Calibri" w:eastAsia="Times New Roman" w:hAnsi="Calibri" w:cs="Calibri"/>
                <w:color w:val="000000"/>
              </w:rPr>
            </w:pPr>
          </w:p>
        </w:tc>
      </w:tr>
      <w:tr w:rsidR="005377B9" w:rsidRPr="00AC62D1"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546C348" w:rsidR="005377B9" w:rsidRPr="00A53C4F" w:rsidRDefault="00A53C4F" w:rsidP="00A53C4F">
            <w:pPr>
              <w:pStyle w:val="Header"/>
              <w:rPr>
                <w:color w:val="595959" w:themeColor="text1" w:themeTint="A6"/>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11 July 2017</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5377B9" w:rsidRPr="00AC62D1"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0B46709" w14:textId="77777777" w:rsidR="002421DF" w:rsidRPr="00573631" w:rsidRDefault="002421DF" w:rsidP="002C7F7E">
            <w:pPr>
              <w:pStyle w:val="MHeader"/>
            </w:pPr>
            <w:r w:rsidRPr="00573631">
              <w:t>Related indicators</w:t>
            </w:r>
          </w:p>
          <w:p w14:paraId="1D8C2572" w14:textId="2DE07FD5" w:rsidR="005377B9" w:rsidRPr="002421DF" w:rsidRDefault="002421DF" w:rsidP="002C7F7E">
            <w:pPr>
              <w:pStyle w:val="MText"/>
            </w:pPr>
            <w:r>
              <w:t>Indicators 12.4.2, 12.5.1, 3.9.1, 3.9.2 and 3.9.3.</w:t>
            </w:r>
          </w:p>
        </w:tc>
      </w:tr>
      <w:tr w:rsidR="005377B9" w:rsidRPr="00AC62D1"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 xml:space="preserve">0.g. International </w:t>
            </w:r>
            <w:proofErr w:type="spellStart"/>
            <w:r w:rsidRPr="00AC62D1">
              <w:rPr>
                <w:rFonts w:ascii="Calibri" w:eastAsia="Times New Roman" w:hAnsi="Calibri" w:cs="Calibri"/>
              </w:rPr>
              <w:t>organisations</w:t>
            </w:r>
            <w:proofErr w:type="spellEnd"/>
            <w:r w:rsidRPr="00AC62D1">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871FC5" w14:textId="77777777" w:rsidR="00072A02" w:rsidRPr="00573631" w:rsidRDefault="00072A02" w:rsidP="002C7F7E">
            <w:pPr>
              <w:pStyle w:val="MHeader"/>
            </w:pPr>
            <w:r w:rsidRPr="00573631">
              <w:t>Institutional information</w:t>
            </w:r>
          </w:p>
          <w:p w14:paraId="02BA7444" w14:textId="77777777" w:rsidR="00072A02" w:rsidRPr="00573631" w:rsidRDefault="00072A02" w:rsidP="002C7F7E">
            <w:pPr>
              <w:pStyle w:val="MSubHeader"/>
            </w:pPr>
            <w:r w:rsidRPr="00573631">
              <w:t>Organization(s):</w:t>
            </w:r>
          </w:p>
          <w:p w14:paraId="716FA1AC" w14:textId="07C0AC7F" w:rsidR="005377B9" w:rsidRPr="00072A02" w:rsidRDefault="00072A02" w:rsidP="002C7F7E">
            <w:pPr>
              <w:pStyle w:val="MText"/>
            </w:pPr>
            <w:r w:rsidRPr="004B3091">
              <w:t xml:space="preserve">UN Environment (United Nations Environment </w:t>
            </w:r>
            <w:proofErr w:type="spellStart"/>
            <w:r w:rsidRPr="004B3091">
              <w:t>Programme</w:t>
            </w:r>
            <w:proofErr w:type="spellEnd"/>
            <w:r w:rsidRPr="004B3091">
              <w:t>)</w:t>
            </w:r>
          </w:p>
        </w:tc>
      </w:tr>
    </w:tbl>
    <w:p w14:paraId="44B450B9" w14:textId="3E6E7F6C" w:rsidR="0015178E" w:rsidRDefault="0015178E">
      <w:pPr>
        <w:pBdr>
          <w:bottom w:val="single" w:sz="6" w:space="1" w:color="auto"/>
        </w:pBdr>
      </w:pPr>
    </w:p>
    <w:p w14:paraId="2ABD623D" w14:textId="77777777" w:rsidR="002C7F7E" w:rsidRPr="00AC62D1" w:rsidRDefault="002C7F7E"/>
    <w:tbl>
      <w:tblPr>
        <w:tblW w:w="4750" w:type="pct"/>
        <w:tblLayout w:type="fixed"/>
        <w:tblLook w:val="04A0" w:firstRow="1" w:lastRow="0" w:firstColumn="1" w:lastColumn="0" w:noHBand="0" w:noVBand="1"/>
      </w:tblPr>
      <w:tblGrid>
        <w:gridCol w:w="3183"/>
        <w:gridCol w:w="5709"/>
      </w:tblGrid>
      <w:tr w:rsidR="003E7389" w:rsidRPr="00AC62D1"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C62D1" w:rsidRDefault="003E7389" w:rsidP="00AF2FE1">
            <w:pPr>
              <w:pStyle w:val="Heading2"/>
              <w:rPr>
                <w:rFonts w:ascii="Times New Roman" w:hAnsi="Times New Roman"/>
                <w:sz w:val="32"/>
                <w:szCs w:val="32"/>
              </w:rPr>
            </w:pPr>
            <w:bookmarkStart w:id="30" w:name="_Toc36655609"/>
            <w:bookmarkStart w:id="31" w:name="_Toc36812572"/>
            <w:bookmarkStart w:id="32" w:name="_Toc36812685"/>
            <w:bookmarkStart w:id="33" w:name="_Toc36813072"/>
            <w:bookmarkStart w:id="34" w:name="_Toc37932744"/>
            <w:r w:rsidRPr="00AC62D1">
              <w:rPr>
                <w:sz w:val="32"/>
                <w:szCs w:val="32"/>
              </w:rPr>
              <w:t>1. Data reporter</w:t>
            </w:r>
            <w:bookmarkEnd w:id="30"/>
            <w:bookmarkEnd w:id="31"/>
            <w:bookmarkEnd w:id="32"/>
            <w:bookmarkEnd w:id="33"/>
            <w:bookmarkEnd w:id="34"/>
          </w:p>
        </w:tc>
      </w:tr>
      <w:tr w:rsidR="003E7389" w:rsidRPr="00AC62D1"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AC62D1" w:rsidRDefault="003E7389"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AC62D1" w:rsidRDefault="003E7389"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3E7389" w:rsidRPr="00AC62D1"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AC62D1" w:rsidRDefault="003E7389" w:rsidP="00057BB3">
            <w:pPr>
              <w:spacing w:after="0" w:line="240" w:lineRule="auto"/>
              <w:rPr>
                <w:rFonts w:ascii="Calibri" w:eastAsia="Times New Roman" w:hAnsi="Calibri" w:cs="Calibri"/>
              </w:rPr>
            </w:pPr>
            <w:r w:rsidRPr="00AC62D1">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 xml:space="preserve">1.a. </w:t>
            </w:r>
            <w:proofErr w:type="spellStart"/>
            <w:r w:rsidRPr="00AC62D1">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 xml:space="preserve">1.c. Contact </w:t>
            </w:r>
            <w:proofErr w:type="spellStart"/>
            <w:r w:rsidRPr="00AC62D1">
              <w:rPr>
                <w:rFonts w:ascii="Calibri" w:eastAsia="Times New Roman" w:hAnsi="Calibri" w:cs="Calibri"/>
              </w:rPr>
              <w:t>organisation</w:t>
            </w:r>
            <w:proofErr w:type="spellEnd"/>
            <w:r w:rsidRPr="00AC62D1">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AC62D1" w:rsidRDefault="003E7389" w:rsidP="004E5702">
            <w:pPr>
              <w:spacing w:after="0" w:line="240" w:lineRule="auto"/>
              <w:ind w:left="160"/>
              <w:rPr>
                <w:rFonts w:ascii="Calibri" w:eastAsia="Times New Roman" w:hAnsi="Calibri" w:cs="Calibri"/>
                <w:color w:val="000000"/>
              </w:rPr>
            </w:pPr>
            <w:r w:rsidRPr="00AC62D1">
              <w:t>1</w:t>
            </w:r>
            <w:r w:rsidRPr="00AC62D1">
              <w:rPr>
                <w:rFonts w:ascii="Calibri" w:eastAsia="Times New Roman" w:hAnsi="Calibri" w:cs="Calibri"/>
              </w:rPr>
              <w:t>.d.</w:t>
            </w:r>
            <w:r w:rsidRPr="00AC62D1">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AC62D1" w:rsidRDefault="003E7389" w:rsidP="00057BB3">
            <w:pPr>
              <w:spacing w:after="0" w:line="240" w:lineRule="auto"/>
              <w:rPr>
                <w:rFonts w:ascii="Calibri" w:eastAsia="Times New Roman" w:hAnsi="Calibri" w:cs="Calibri"/>
                <w:color w:val="000000"/>
              </w:rPr>
            </w:pPr>
          </w:p>
        </w:tc>
      </w:tr>
    </w:tbl>
    <w:p w14:paraId="60664166" w14:textId="6BA7A750" w:rsidR="00881218" w:rsidRDefault="00881218">
      <w:pPr>
        <w:pBdr>
          <w:bottom w:val="single" w:sz="6" w:space="1" w:color="auto"/>
        </w:pBdr>
      </w:pPr>
    </w:p>
    <w:p w14:paraId="774519BA" w14:textId="681B3BDF" w:rsidR="00881218" w:rsidRPr="00AC62D1" w:rsidRDefault="00881218"/>
    <w:tbl>
      <w:tblPr>
        <w:tblW w:w="4750" w:type="pct"/>
        <w:tblLayout w:type="fixed"/>
        <w:tblLook w:val="04A0" w:firstRow="1" w:lastRow="0" w:firstColumn="1" w:lastColumn="0" w:noHBand="0" w:noVBand="1"/>
      </w:tblPr>
      <w:tblGrid>
        <w:gridCol w:w="3118"/>
        <w:gridCol w:w="5774"/>
      </w:tblGrid>
      <w:tr w:rsidR="0015178E" w:rsidRPr="00AC62D1"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C62D1" w:rsidRDefault="0015178E" w:rsidP="00AF2FE1">
            <w:pPr>
              <w:pStyle w:val="Heading2"/>
              <w:rPr>
                <w:sz w:val="32"/>
                <w:szCs w:val="32"/>
              </w:rPr>
            </w:pPr>
            <w:bookmarkStart w:id="35" w:name="_Toc36655610"/>
            <w:bookmarkStart w:id="36" w:name="_Toc36812573"/>
            <w:bookmarkStart w:id="37" w:name="_Toc36812686"/>
            <w:bookmarkStart w:id="38" w:name="_Toc36813073"/>
            <w:bookmarkStart w:id="39" w:name="_Toc37932745"/>
            <w:r w:rsidRPr="00AC62D1">
              <w:rPr>
                <w:sz w:val="32"/>
                <w:szCs w:val="32"/>
              </w:rPr>
              <w:t>2. Definition, concepts, and classifications</w:t>
            </w:r>
            <w:bookmarkEnd w:id="35"/>
            <w:bookmarkEnd w:id="36"/>
            <w:bookmarkEnd w:id="37"/>
            <w:bookmarkEnd w:id="38"/>
            <w:bookmarkEnd w:id="39"/>
          </w:p>
        </w:tc>
      </w:tr>
      <w:tr w:rsidR="0015178E" w:rsidRPr="00AC62D1"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AC62D1" w:rsidRDefault="0015178E"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AC62D1" w:rsidRDefault="0015178E"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15178E" w:rsidRPr="00AC62D1"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AC62D1" w:rsidRDefault="0015178E" w:rsidP="00057BB3">
            <w:pPr>
              <w:spacing w:after="0" w:line="240" w:lineRule="auto"/>
              <w:rPr>
                <w:rFonts w:ascii="Calibri" w:eastAsia="Times New Roman" w:hAnsi="Calibri" w:cs="Calibri"/>
              </w:rPr>
            </w:pPr>
            <w:r w:rsidRPr="00AC62D1">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AC62D1" w:rsidRDefault="0015178E" w:rsidP="00057BB3">
            <w:pPr>
              <w:pStyle w:val="Default"/>
              <w:rPr>
                <w:rFonts w:asciiTheme="minorHAnsi" w:hAnsiTheme="minorHAnsi" w:cstheme="minorHAnsi"/>
                <w:sz w:val="21"/>
                <w:szCs w:val="21"/>
              </w:rPr>
            </w:pPr>
          </w:p>
        </w:tc>
      </w:tr>
      <w:tr w:rsidR="0015178E" w:rsidRPr="00AC62D1"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426FF93" w14:textId="77777777" w:rsidR="00E8695F" w:rsidRDefault="00E8695F" w:rsidP="00586588">
            <w:pPr>
              <w:pStyle w:val="MSubHeader"/>
            </w:pPr>
            <w:r w:rsidRPr="00573631">
              <w:t>Definition:</w:t>
            </w:r>
          </w:p>
          <w:p w14:paraId="672751AA" w14:textId="77777777" w:rsidR="00E8695F" w:rsidRDefault="00E8695F" w:rsidP="00586588">
            <w:pPr>
              <w:pStyle w:val="MText"/>
            </w:pPr>
            <w:r w:rsidRPr="00A22E9D">
              <w:t>The indicator refers to the number of parties (</w:t>
            </w:r>
            <w:r>
              <w:t>=</w:t>
            </w:r>
            <w:r w:rsidRPr="00A22E9D">
              <w:t>countries that have</w:t>
            </w:r>
            <w:r>
              <w:t xml:space="preserve"> </w:t>
            </w:r>
            <w:r w:rsidRPr="00042C85">
              <w:t>ratified, accepted, approved or accessed</w:t>
            </w:r>
            <w:r w:rsidRPr="00D010F1">
              <w:t>),</w:t>
            </w:r>
            <w:r>
              <w:t xml:space="preserve"> </w:t>
            </w:r>
            <w:r w:rsidRPr="00A22E9D">
              <w:t>to the following M</w:t>
            </w:r>
            <w:r>
              <w:t xml:space="preserve">ultilateral </w:t>
            </w:r>
            <w:r w:rsidRPr="00A22E9D">
              <w:t>E</w:t>
            </w:r>
            <w:r>
              <w:t xml:space="preserve">nvironmental </w:t>
            </w:r>
            <w:r w:rsidRPr="00A22E9D">
              <w:t>A</w:t>
            </w:r>
            <w:r>
              <w:t>greements</w:t>
            </w:r>
            <w:r w:rsidRPr="00A22E9D">
              <w:t xml:space="preserve"> </w:t>
            </w:r>
            <w:r>
              <w:t>(MEAs):</w:t>
            </w:r>
          </w:p>
          <w:p w14:paraId="6A74C77D" w14:textId="77777777" w:rsidR="00E8695F" w:rsidRDefault="00E8695F" w:rsidP="00E8695F">
            <w:pPr>
              <w:shd w:val="clear" w:color="auto" w:fill="FFFFFF"/>
              <w:spacing w:after="0"/>
              <w:jc w:val="both"/>
              <w:rPr>
                <w:rFonts w:eastAsia="Times New Roman" w:cs="Times New Roman"/>
                <w:color w:val="4A4A4A"/>
                <w:sz w:val="21"/>
                <w:szCs w:val="21"/>
                <w:lang w:eastAsia="en-GB"/>
              </w:rPr>
            </w:pPr>
          </w:p>
          <w:p w14:paraId="1D15F35C" w14:textId="77777777" w:rsidR="00E8695F" w:rsidRDefault="00E8695F" w:rsidP="00586588">
            <w:pPr>
              <w:pStyle w:val="ListParagraph"/>
              <w:numPr>
                <w:ilvl w:val="0"/>
                <w:numId w:val="5"/>
              </w:numPr>
              <w:shd w:val="clear" w:color="auto" w:fill="FFFFFF"/>
              <w:spacing w:after="0"/>
              <w:ind w:left="375"/>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Basel Convention on the Control of Transboundary Movements of Hazardous Wastes and their Disposal</w:t>
            </w:r>
            <w:r>
              <w:rPr>
                <w:rFonts w:eastAsia="Times New Roman" w:cs="Times New Roman"/>
                <w:color w:val="4A4A4A"/>
                <w:sz w:val="21"/>
                <w:szCs w:val="21"/>
                <w:lang w:eastAsia="en-GB"/>
              </w:rPr>
              <w:t xml:space="preserve"> (Basel Convention); </w:t>
            </w:r>
          </w:p>
          <w:p w14:paraId="6E25C7F1" w14:textId="77777777" w:rsidR="00E8695F" w:rsidRDefault="00E8695F" w:rsidP="00586588">
            <w:pPr>
              <w:pStyle w:val="ListParagraph"/>
              <w:numPr>
                <w:ilvl w:val="0"/>
                <w:numId w:val="5"/>
              </w:numPr>
              <w:shd w:val="clear" w:color="auto" w:fill="FFFFFF"/>
              <w:spacing w:after="0"/>
              <w:ind w:left="375"/>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Rotterdam Convention on the prior informed consent procedure for certain hazardous chemicals and pesticides in international trade</w:t>
            </w:r>
            <w:r>
              <w:rPr>
                <w:rFonts w:eastAsia="Times New Roman" w:cs="Times New Roman"/>
                <w:color w:val="4A4A4A"/>
                <w:sz w:val="21"/>
                <w:szCs w:val="21"/>
                <w:lang w:eastAsia="en-GB"/>
              </w:rPr>
              <w:t xml:space="preserve"> (Rotterdam Convention);</w:t>
            </w:r>
          </w:p>
          <w:p w14:paraId="3A74593E" w14:textId="77777777" w:rsidR="00E8695F" w:rsidRDefault="00E8695F" w:rsidP="00586588">
            <w:pPr>
              <w:pStyle w:val="ListParagraph"/>
              <w:numPr>
                <w:ilvl w:val="0"/>
                <w:numId w:val="5"/>
              </w:numPr>
              <w:shd w:val="clear" w:color="auto" w:fill="FFFFFF"/>
              <w:spacing w:after="0"/>
              <w:ind w:left="375"/>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Stockholm Convention on Persistent Organic Pollutants</w:t>
            </w:r>
            <w:r>
              <w:rPr>
                <w:rFonts w:eastAsia="Times New Roman" w:cs="Times New Roman"/>
                <w:color w:val="4A4A4A"/>
                <w:sz w:val="21"/>
                <w:szCs w:val="21"/>
                <w:lang w:eastAsia="en-GB"/>
              </w:rPr>
              <w:t xml:space="preserve"> (Stockholm Convention);</w:t>
            </w:r>
          </w:p>
          <w:p w14:paraId="1C90808F" w14:textId="77777777" w:rsidR="00E8695F" w:rsidRDefault="00E8695F" w:rsidP="00586588">
            <w:pPr>
              <w:pStyle w:val="ListParagraph"/>
              <w:numPr>
                <w:ilvl w:val="0"/>
                <w:numId w:val="5"/>
              </w:numPr>
              <w:shd w:val="clear" w:color="auto" w:fill="FFFFFF"/>
              <w:spacing w:after="0"/>
              <w:ind w:left="375"/>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Montreal Protocol on Substances that Deplete the Ozone Layer</w:t>
            </w:r>
            <w:r>
              <w:rPr>
                <w:rFonts w:eastAsia="Times New Roman" w:cs="Times New Roman"/>
                <w:color w:val="4A4A4A"/>
                <w:sz w:val="21"/>
                <w:szCs w:val="21"/>
                <w:lang w:eastAsia="en-GB"/>
              </w:rPr>
              <w:t xml:space="preserve"> (Montreal Protocol);</w:t>
            </w:r>
          </w:p>
          <w:p w14:paraId="6EA0AA0A" w14:textId="77777777" w:rsidR="00E8695F" w:rsidRDefault="00E8695F" w:rsidP="00586588">
            <w:pPr>
              <w:pStyle w:val="ListParagraph"/>
              <w:numPr>
                <w:ilvl w:val="0"/>
                <w:numId w:val="5"/>
              </w:numPr>
              <w:shd w:val="clear" w:color="auto" w:fill="FFFFFF"/>
              <w:spacing w:after="0"/>
              <w:ind w:left="375"/>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 xml:space="preserve">Minamata Convention </w:t>
            </w:r>
            <w:r>
              <w:rPr>
                <w:rFonts w:eastAsia="Times New Roman" w:cs="Times New Roman"/>
                <w:color w:val="4A4A4A"/>
                <w:sz w:val="21"/>
                <w:szCs w:val="21"/>
                <w:lang w:eastAsia="en-GB"/>
              </w:rPr>
              <w:t>on Mercury (Minamata Convention),</w:t>
            </w:r>
          </w:p>
          <w:p w14:paraId="24A83566" w14:textId="77777777" w:rsidR="00E8695F" w:rsidRDefault="00E8695F" w:rsidP="00E8695F">
            <w:pPr>
              <w:pStyle w:val="ListParagraph"/>
              <w:shd w:val="clear" w:color="auto" w:fill="FFFFFF"/>
              <w:spacing w:after="0"/>
              <w:jc w:val="both"/>
              <w:rPr>
                <w:rFonts w:eastAsia="Times New Roman" w:cs="Times New Roman"/>
                <w:color w:val="4A4A4A"/>
                <w:sz w:val="21"/>
                <w:szCs w:val="21"/>
                <w:lang w:eastAsia="en-GB"/>
              </w:rPr>
            </w:pPr>
          </w:p>
          <w:p w14:paraId="641555F5" w14:textId="77777777" w:rsidR="00E8695F" w:rsidRDefault="00E8695F" w:rsidP="00586588">
            <w:pPr>
              <w:pStyle w:val="MText"/>
            </w:pPr>
            <w:r>
              <w:t xml:space="preserve">Which have submitted the information </w:t>
            </w:r>
            <w:r w:rsidRPr="00534E20">
              <w:t>to the Secretariat of each M</w:t>
            </w:r>
            <w:r>
              <w:t xml:space="preserve">EA, as required by each of the </w:t>
            </w:r>
            <w:r w:rsidRPr="00534E20">
              <w:t xml:space="preserve">agreements. </w:t>
            </w:r>
          </w:p>
          <w:p w14:paraId="218F71EC" w14:textId="77777777" w:rsidR="00E8695F" w:rsidRDefault="00E8695F" w:rsidP="00586588">
            <w:pPr>
              <w:pStyle w:val="MText"/>
            </w:pPr>
          </w:p>
          <w:p w14:paraId="17121D04" w14:textId="77777777" w:rsidR="00E8695F" w:rsidRPr="00534E20" w:rsidRDefault="00E8695F" w:rsidP="00586588">
            <w:pPr>
              <w:pStyle w:val="MText"/>
            </w:pPr>
            <w:r w:rsidRPr="00534E20">
              <w:t>The information required is as follows:</w:t>
            </w:r>
          </w:p>
          <w:p w14:paraId="2CEFD15C" w14:textId="77777777" w:rsidR="00E8695F" w:rsidRDefault="00E8695F" w:rsidP="00E8695F">
            <w:pPr>
              <w:shd w:val="clear" w:color="auto" w:fill="FFFFFF"/>
              <w:spacing w:after="0"/>
              <w:jc w:val="both"/>
              <w:rPr>
                <w:rFonts w:eastAsia="Times New Roman" w:cs="Times New Roman"/>
                <w:color w:val="4A4A4A"/>
                <w:sz w:val="21"/>
                <w:szCs w:val="21"/>
                <w:lang w:eastAsia="en-GB"/>
              </w:rPr>
            </w:pPr>
          </w:p>
          <w:p w14:paraId="073F8507" w14:textId="77777777" w:rsidR="00E8695F" w:rsidRPr="0026136F" w:rsidRDefault="00E8695F" w:rsidP="00586588">
            <w:pPr>
              <w:pStyle w:val="MSubSubHead"/>
            </w:pPr>
            <w:r w:rsidRPr="0026136F">
              <w:lastRenderedPageBreak/>
              <w:t>Basel Convention</w:t>
            </w:r>
            <w:r w:rsidRPr="004D4C8C">
              <w:rPr>
                <w:rStyle w:val="FootnoteReference"/>
                <w:lang w:val="en-US"/>
              </w:rPr>
              <w:footnoteReference w:id="1"/>
            </w:r>
            <w:r w:rsidRPr="0026136F">
              <w:t>:</w:t>
            </w:r>
          </w:p>
          <w:p w14:paraId="2ADEFF6A" w14:textId="77777777" w:rsidR="00E8695F" w:rsidRPr="008C4056" w:rsidRDefault="00E8695F" w:rsidP="004D4C8C">
            <w:pPr>
              <w:pStyle w:val="ListParagraph"/>
              <w:numPr>
                <w:ilvl w:val="0"/>
                <w:numId w:val="6"/>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Focal Point and one or more Competent Authorities;</w:t>
            </w:r>
          </w:p>
          <w:p w14:paraId="65CAD7B3" w14:textId="2D6DA263" w:rsidR="004D4C8C" w:rsidRPr="004D4C8C" w:rsidRDefault="00E8695F" w:rsidP="004D4C8C">
            <w:pPr>
              <w:pStyle w:val="ListParagraph"/>
              <w:numPr>
                <w:ilvl w:val="0"/>
                <w:numId w:val="6"/>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annual national reports.</w:t>
            </w:r>
          </w:p>
          <w:p w14:paraId="6F74EA07" w14:textId="77777777" w:rsidR="00E8695F" w:rsidRPr="0026136F" w:rsidRDefault="00E8695F" w:rsidP="004D4C8C">
            <w:pPr>
              <w:pStyle w:val="MSubSubHead"/>
            </w:pPr>
            <w:r w:rsidRPr="0026136F">
              <w:t>Rotterdam Convention:</w:t>
            </w:r>
          </w:p>
          <w:p w14:paraId="7342F0D9" w14:textId="77777777" w:rsidR="00E8695F" w:rsidRPr="008C4056" w:rsidRDefault="00E8695F" w:rsidP="004D4C8C">
            <w:pPr>
              <w:pStyle w:val="ListParagraph"/>
              <w:numPr>
                <w:ilvl w:val="0"/>
                <w:numId w:val="7"/>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Designated National Authority(-</w:t>
            </w:r>
            <w:proofErr w:type="spellStart"/>
            <w:r w:rsidRPr="008C4056">
              <w:rPr>
                <w:rFonts w:eastAsia="Times New Roman" w:cs="Times New Roman"/>
                <w:color w:val="4A4A4A"/>
                <w:sz w:val="21"/>
                <w:szCs w:val="21"/>
                <w:lang w:val="en-US" w:eastAsia="en-GB"/>
              </w:rPr>
              <w:t>ies</w:t>
            </w:r>
            <w:proofErr w:type="spellEnd"/>
            <w:r w:rsidRPr="008C4056">
              <w:rPr>
                <w:rFonts w:eastAsia="Times New Roman" w:cs="Times New Roman"/>
                <w:color w:val="4A4A4A"/>
                <w:sz w:val="21"/>
                <w:szCs w:val="21"/>
                <w:lang w:val="en-US" w:eastAsia="en-GB"/>
              </w:rPr>
              <w:t>) and Official contact points;</w:t>
            </w:r>
          </w:p>
          <w:p w14:paraId="6A1E9AA8" w14:textId="77777777" w:rsidR="00E8695F" w:rsidRPr="008C4056" w:rsidRDefault="00E8695F" w:rsidP="004D4C8C">
            <w:pPr>
              <w:pStyle w:val="ListParagraph"/>
              <w:numPr>
                <w:ilvl w:val="0"/>
                <w:numId w:val="7"/>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import responses. </w:t>
            </w:r>
          </w:p>
          <w:p w14:paraId="7F577327" w14:textId="77777777" w:rsidR="00E8695F" w:rsidRPr="0026136F" w:rsidRDefault="00E8695F" w:rsidP="004D4C8C">
            <w:pPr>
              <w:pStyle w:val="MSubSubHead"/>
            </w:pPr>
            <w:r w:rsidRPr="0026136F">
              <w:t>Stockholm Convention:</w:t>
            </w:r>
          </w:p>
          <w:p w14:paraId="58E993AE" w14:textId="77777777" w:rsidR="00E8695F" w:rsidRPr="008C4056" w:rsidRDefault="00E8695F" w:rsidP="004D4C8C">
            <w:pPr>
              <w:pStyle w:val="ListParagraph"/>
              <w:numPr>
                <w:ilvl w:val="0"/>
                <w:numId w:val="8"/>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w:t>
            </w:r>
            <w:r w:rsidRPr="008C4056" w:rsidDel="00E66FD8">
              <w:rPr>
                <w:rFonts w:eastAsia="Times New Roman" w:cs="Times New Roman"/>
                <w:color w:val="4A4A4A"/>
                <w:sz w:val="21"/>
                <w:szCs w:val="21"/>
                <w:lang w:val="en-US" w:eastAsia="en-GB"/>
              </w:rPr>
              <w:t xml:space="preserve"> </w:t>
            </w:r>
            <w:r w:rsidRPr="008C4056">
              <w:rPr>
                <w:rFonts w:eastAsia="Times New Roman" w:cs="Times New Roman"/>
                <w:color w:val="4A4A4A"/>
                <w:sz w:val="21"/>
                <w:szCs w:val="21"/>
                <w:lang w:val="en-US" w:eastAsia="en-GB"/>
              </w:rPr>
              <w:t>of the Stockholm Convention official contact points and national focal points;</w:t>
            </w:r>
          </w:p>
          <w:p w14:paraId="13D36570" w14:textId="77777777" w:rsidR="00E8695F" w:rsidRPr="008C4056" w:rsidRDefault="00E8695F" w:rsidP="004D4C8C">
            <w:pPr>
              <w:pStyle w:val="ListParagraph"/>
              <w:numPr>
                <w:ilvl w:val="0"/>
                <w:numId w:val="8"/>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national implementation plans; </w:t>
            </w:r>
          </w:p>
          <w:p w14:paraId="2FE72A64" w14:textId="77777777" w:rsidR="00E8695F" w:rsidRPr="008C4056" w:rsidRDefault="00E8695F" w:rsidP="004D4C8C">
            <w:pPr>
              <w:pStyle w:val="ListParagraph"/>
              <w:numPr>
                <w:ilvl w:val="0"/>
                <w:numId w:val="8"/>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revised national implementation plan addressing amendments; </w:t>
            </w:r>
          </w:p>
          <w:p w14:paraId="52521AB7" w14:textId="77777777" w:rsidR="00E8695F" w:rsidRPr="008C4056" w:rsidRDefault="00E8695F" w:rsidP="004D4C8C">
            <w:pPr>
              <w:pStyle w:val="ListParagraph"/>
              <w:numPr>
                <w:ilvl w:val="0"/>
                <w:numId w:val="8"/>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national reports.</w:t>
            </w:r>
          </w:p>
          <w:p w14:paraId="189055EC" w14:textId="77777777" w:rsidR="00E8695F" w:rsidRPr="0026136F" w:rsidRDefault="00E8695F" w:rsidP="004D4C8C">
            <w:pPr>
              <w:pStyle w:val="MSubSubHead"/>
            </w:pPr>
            <w:r w:rsidRPr="0026136F">
              <w:t>Montreal Protocol:</w:t>
            </w:r>
          </w:p>
          <w:p w14:paraId="743CF355" w14:textId="77777777" w:rsidR="00E8695F" w:rsidRPr="008C4056" w:rsidRDefault="00E8695F" w:rsidP="004D4C8C">
            <w:pPr>
              <w:pStyle w:val="ListParagraph"/>
              <w:numPr>
                <w:ilvl w:val="0"/>
                <w:numId w:val="9"/>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Compliance with reporting requirements for production and consumption of ozone-depleting substances under (Article 7 of) the Montreal Protocol;</w:t>
            </w:r>
          </w:p>
          <w:p w14:paraId="614FF159" w14:textId="77777777" w:rsidR="00E8695F" w:rsidRPr="008C4056" w:rsidRDefault="00E8695F" w:rsidP="004D4C8C">
            <w:pPr>
              <w:pStyle w:val="ListParagraph"/>
              <w:numPr>
                <w:ilvl w:val="0"/>
                <w:numId w:val="9"/>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information on Licensing systems under (Article 4B of) the Montreal Protocol.</w:t>
            </w:r>
          </w:p>
          <w:p w14:paraId="1495B992" w14:textId="77777777" w:rsidR="00E8695F" w:rsidRPr="0026136F" w:rsidRDefault="00E8695F" w:rsidP="001C486C">
            <w:pPr>
              <w:pStyle w:val="MSubSubHead"/>
            </w:pPr>
            <w:r w:rsidRPr="0026136F">
              <w:t>Minamata Convention:</w:t>
            </w:r>
          </w:p>
          <w:p w14:paraId="4EFCCF35" w14:textId="77777777" w:rsidR="00E8695F" w:rsidRPr="008C4056" w:rsidRDefault="00E8695F" w:rsidP="001C486C">
            <w:pPr>
              <w:pStyle w:val="ListParagraph"/>
              <w:numPr>
                <w:ilvl w:val="0"/>
                <w:numId w:val="10"/>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a national focal point for exchange of information under Article 17 of the Convention;</w:t>
            </w:r>
          </w:p>
          <w:p w14:paraId="53A614CC" w14:textId="73459A48" w:rsidR="00E8695F" w:rsidRDefault="00E8695F" w:rsidP="001C486C">
            <w:pPr>
              <w:pStyle w:val="ListParagraph"/>
              <w:numPr>
                <w:ilvl w:val="0"/>
                <w:numId w:val="10"/>
              </w:numPr>
              <w:shd w:val="clear" w:color="auto" w:fill="FFFFFF"/>
              <w:spacing w:after="0"/>
              <w:ind w:left="375"/>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national reports as required under Article 21 of the Minamata Convention.</w:t>
            </w:r>
          </w:p>
          <w:p w14:paraId="32ED2A93" w14:textId="77777777" w:rsidR="001C486C" w:rsidRDefault="001C486C" w:rsidP="00D20479">
            <w:pPr>
              <w:shd w:val="clear" w:color="auto" w:fill="FFFFFF"/>
              <w:spacing w:after="0"/>
              <w:rPr>
                <w:rFonts w:eastAsia="Times New Roman" w:cs="Times New Roman"/>
                <w:b/>
                <w:bCs/>
                <w:color w:val="4A4A4A"/>
                <w:sz w:val="21"/>
                <w:szCs w:val="21"/>
                <w:lang w:eastAsia="en-GB"/>
              </w:rPr>
            </w:pPr>
          </w:p>
          <w:p w14:paraId="4228B96E" w14:textId="348A2654" w:rsidR="00D20479" w:rsidRPr="00573631" w:rsidRDefault="00D20479" w:rsidP="001C486C">
            <w:pPr>
              <w:pStyle w:val="MSubHeader"/>
            </w:pPr>
            <w:r w:rsidRPr="00573631">
              <w:t>Concepts:</w:t>
            </w:r>
          </w:p>
          <w:p w14:paraId="2F5E90F2" w14:textId="37FE193B" w:rsidR="00D20479" w:rsidRDefault="00D20479" w:rsidP="00D20479">
            <w:pPr>
              <w:shd w:val="clear" w:color="auto" w:fill="FFFFFF"/>
              <w:spacing w:after="0"/>
              <w:jc w:val="both"/>
              <w:rPr>
                <w:rFonts w:eastAsia="Times New Roman" w:cs="Times New Roman"/>
                <w:color w:val="4A4A4A"/>
                <w:sz w:val="21"/>
                <w:szCs w:val="21"/>
                <w:lang w:eastAsia="en-GB"/>
              </w:rPr>
            </w:pPr>
            <w:r w:rsidRPr="001C486C">
              <w:rPr>
                <w:rStyle w:val="MTextChar"/>
                <w:b/>
                <w:bCs/>
                <w:i/>
                <w:iCs/>
              </w:rPr>
              <w:t>Parties:</w:t>
            </w:r>
            <w:r w:rsidRPr="00A142CB">
              <w:rPr>
                <w:rFonts w:eastAsia="Times New Roman" w:cs="Times New Roman"/>
                <w:color w:val="4A4A4A"/>
                <w:sz w:val="21"/>
                <w:szCs w:val="21"/>
                <w:lang w:eastAsia="en-GB"/>
              </w:rPr>
              <w:t xml:space="preserve"> </w:t>
            </w:r>
            <w:r w:rsidR="001C486C" w:rsidRPr="001C486C">
              <w:rPr>
                <w:rStyle w:val="MTextChar"/>
              </w:rPr>
              <w:t>C</w:t>
            </w:r>
            <w:r w:rsidRPr="001C486C">
              <w:rPr>
                <w:rStyle w:val="MTextChar"/>
              </w:rPr>
              <w:t>ountries that have ratified, accepted, approved or accessed a convention.</w:t>
            </w:r>
          </w:p>
          <w:p w14:paraId="638BC639" w14:textId="77777777" w:rsidR="001C486C" w:rsidRDefault="001C486C" w:rsidP="00D20479">
            <w:pPr>
              <w:shd w:val="clear" w:color="auto" w:fill="FFFFFF"/>
              <w:spacing w:after="0"/>
              <w:jc w:val="both"/>
              <w:rPr>
                <w:rFonts w:eastAsia="Times New Roman" w:cs="Times New Roman"/>
                <w:color w:val="4A4A4A"/>
                <w:sz w:val="21"/>
                <w:szCs w:val="21"/>
                <w:lang w:eastAsia="en-GB"/>
              </w:rPr>
            </w:pPr>
          </w:p>
          <w:p w14:paraId="59EB618A" w14:textId="77777777" w:rsidR="00D20479" w:rsidRDefault="00D20479" w:rsidP="001C486C">
            <w:pPr>
              <w:pStyle w:val="MText"/>
            </w:pPr>
            <w:r w:rsidRPr="001C486C">
              <w:rPr>
                <w:rStyle w:val="MTextChar"/>
                <w:b/>
                <w:bCs/>
                <w:i/>
                <w:iCs/>
              </w:rPr>
              <w:t>Information:</w:t>
            </w:r>
            <w:r>
              <w:rPr>
                <w:color w:val="FF0000"/>
              </w:rPr>
              <w:t xml:space="preserve"> </w:t>
            </w:r>
            <w:r w:rsidRPr="001C486C">
              <w:rPr>
                <w:rStyle w:val="MTextChar"/>
              </w:rPr>
              <w:t xml:space="preserve">Parties to the Basel Convention have an obligation to present an annual national report as provided for by Article 13, paragraph 3 in order to enable monitoring of the implementation of the Basel Convention by its Parties.  The reports are to contain, inter alia, Information regarding transboundary movements of hazardous wastes or other wastes in which Parties have been involved, including the amount of </w:t>
            </w:r>
            <w:r w:rsidRPr="001C486C">
              <w:rPr>
                <w:rStyle w:val="MTextChar"/>
              </w:rPr>
              <w:lastRenderedPageBreak/>
              <w:t>hazardous wastes and other wastes exported, their category, characteristics, destination, any</w:t>
            </w:r>
            <w:r w:rsidRPr="00445003">
              <w:t xml:space="preserve"> transit country and disposal method as stated </w:t>
            </w:r>
            <w:r>
              <w:t>on the response to notification, t</w:t>
            </w:r>
            <w:r w:rsidRPr="00445003">
              <w:t>he amount of hazardous wastes and other wastes imported their category, characteristics, origin, and disposal methods;</w:t>
            </w:r>
            <w:r>
              <w:t xml:space="preserve"> i</w:t>
            </w:r>
            <w:r w:rsidRPr="00445003">
              <w:t>nformation on accidents occurring during the transboundary movement and disposal of hazardous wastes and other wastes and on the measures undertaken to deal with them;</w:t>
            </w:r>
            <w:r>
              <w:t xml:space="preserve"> i</w:t>
            </w:r>
            <w:r w:rsidRPr="00445003">
              <w:t xml:space="preserve">nformation on disposal options operated within the area of their national jurisdiction; </w:t>
            </w:r>
            <w:r>
              <w:t>and other information as per reporting format.</w:t>
            </w:r>
          </w:p>
          <w:p w14:paraId="3609CBDE" w14:textId="77777777" w:rsidR="00D20479" w:rsidRDefault="00D20479" w:rsidP="001C486C">
            <w:pPr>
              <w:pStyle w:val="MText"/>
            </w:pPr>
          </w:p>
          <w:p w14:paraId="30DECA3B" w14:textId="77777777" w:rsidR="00D20479" w:rsidRDefault="00D20479" w:rsidP="001C486C">
            <w:pPr>
              <w:pStyle w:val="MText"/>
            </w:pPr>
            <w:r w:rsidRPr="005566F7">
              <w:t xml:space="preserve">Import responses </w:t>
            </w:r>
            <w:r>
              <w:t xml:space="preserve">under the Rotterdam Convention </w:t>
            </w:r>
            <w:r w:rsidRPr="005566F7">
              <w:t xml:space="preserve">are the decisions provided by Parties indicating whether or not they will consent to import the chemicals listed in Annex III of the Convention and subject to the </w:t>
            </w:r>
            <w:r>
              <w:t>prior informed consent (</w:t>
            </w:r>
            <w:r w:rsidRPr="005566F7">
              <w:t>PIC</w:t>
            </w:r>
            <w:r>
              <w:t>)</w:t>
            </w:r>
            <w:r w:rsidRPr="005566F7">
              <w:t xml:space="preserve"> procedure.</w:t>
            </w:r>
            <w:r>
              <w:t xml:space="preserve"> </w:t>
            </w:r>
            <w:r w:rsidRPr="005566F7">
              <w:t xml:space="preserve">Article 10 of the </w:t>
            </w:r>
            <w:r>
              <w:t xml:space="preserve">Rotterdam </w:t>
            </w:r>
            <w:r w:rsidRPr="005566F7">
              <w:t>Convention sets out the obligations of Parties with respect to the future import o</w:t>
            </w:r>
            <w:r>
              <w:t>f chemicals listed in Annex III</w:t>
            </w:r>
            <w:r w:rsidRPr="005566F7">
              <w:t>.</w:t>
            </w:r>
          </w:p>
          <w:p w14:paraId="503CA069" w14:textId="69D7B5CF" w:rsidR="00D20479" w:rsidRDefault="00D20479" w:rsidP="00D20479">
            <w:pPr>
              <w:shd w:val="clear" w:color="auto" w:fill="FFFFFF"/>
              <w:spacing w:after="0"/>
              <w:jc w:val="both"/>
              <w:rPr>
                <w:rFonts w:eastAsia="Times New Roman" w:cs="Times New Roman"/>
                <w:color w:val="4A4A4A"/>
                <w:sz w:val="21"/>
                <w:szCs w:val="21"/>
                <w:lang w:eastAsia="en-GB"/>
              </w:rPr>
            </w:pPr>
          </w:p>
          <w:p w14:paraId="6C84E827" w14:textId="1400F977" w:rsidR="0015178E" w:rsidRPr="00AC62D1" w:rsidRDefault="00C721B8" w:rsidP="00C721B8">
            <w:pPr>
              <w:shd w:val="clear" w:color="auto" w:fill="FFFFFF"/>
              <w:spacing w:after="0"/>
              <w:jc w:val="both"/>
              <w:rPr>
                <w:rFonts w:cstheme="minorHAnsi"/>
                <w:sz w:val="21"/>
                <w:szCs w:val="21"/>
              </w:rPr>
            </w:pPr>
            <w:r w:rsidRPr="001C486C">
              <w:rPr>
                <w:rStyle w:val="MTextChar"/>
              </w:rPr>
              <w:t>Under the Stockholm Convention a Party has an obligation to report on the measures it has taken to implement the provisions of the Convention and on the effectiveness of such measures in meeting the objectives of the Convention. The national reports include statistical data on the total quantities of production, import and export of each of the chemicals listed in Annex A and Annex B or a reasonable estimate of such data; and to the extent practicable, a list of the States from which it has imported each such substance and the States to which it has exported each such substance. A National Implementation Plan under the Stockholm Convention is a plan explaining how a Party is going to implement the obligations under the Convention and make efforts to put such a plan into operation (</w:t>
            </w:r>
            <w:hyperlink r:id="rId8" w:anchor="Article%207" w:history="1">
              <w:r w:rsidRPr="001C486C">
                <w:rPr>
                  <w:rStyle w:val="MTextChar"/>
                </w:rPr>
                <w:t>Article 7</w:t>
              </w:r>
            </w:hyperlink>
            <w:r w:rsidRPr="001C486C">
              <w:rPr>
                <w:rStyle w:val="MTextChar"/>
              </w:rPr>
              <w:t>). Changes in the obligations arising from amendments to the Convention or its annexes</w:t>
            </w:r>
            <w:r w:rsidRPr="001C486C">
              <w:rPr>
                <w:rStyle w:val="MTextChar"/>
                <w:rFonts w:eastAsiaTheme="minorHAnsi"/>
              </w:rPr>
              <w:t>,</w:t>
            </w:r>
            <w:r w:rsidRPr="001C486C">
              <w:rPr>
                <w:rStyle w:val="MTextChar"/>
              </w:rPr>
              <w:t xml:space="preserve"> for example when a new chemical is listed into the annexes of the Convention, a Party will review and update its implementation plan, and transmit the updated plan to the Conference of the Parties within two years of the entry into force of the amendment for it, consistent with paragraph 1 (b) of the Convention</w:t>
            </w:r>
            <w:r w:rsidRPr="005566F7">
              <w:rPr>
                <w:rFonts w:eastAsia="Times New Roman" w:cs="Times New Roman"/>
                <w:color w:val="4A4A4A"/>
                <w:sz w:val="21"/>
                <w:szCs w:val="21"/>
                <w:lang w:eastAsia="en-GB"/>
              </w:rPr>
              <w:t xml:space="preserve"> </w:t>
            </w:r>
            <w:r w:rsidRPr="001C486C">
              <w:rPr>
                <w:rStyle w:val="MTextChar"/>
              </w:rPr>
              <w:t>(according to paragraph 7 of the annex to decision SC-1/12).</w:t>
            </w:r>
            <w:r w:rsidRPr="005566F7" w:rsidDel="005566F7">
              <w:rPr>
                <w:rFonts w:eastAsia="Times New Roman" w:cs="Times New Roman"/>
                <w:color w:val="4A4A4A"/>
                <w:sz w:val="21"/>
                <w:szCs w:val="21"/>
                <w:lang w:eastAsia="en-GB"/>
              </w:rPr>
              <w:t xml:space="preserve"> </w:t>
            </w:r>
          </w:p>
        </w:tc>
      </w:tr>
      <w:tr w:rsidR="0015178E" w:rsidRPr="00AC62D1"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AC62D1" w:rsidRDefault="0015178E" w:rsidP="00057BB3">
            <w:pPr>
              <w:spacing w:after="0" w:line="240" w:lineRule="auto"/>
              <w:rPr>
                <w:rFonts w:ascii="Calibri" w:eastAsia="Times New Roman" w:hAnsi="Calibri" w:cs="Calibri"/>
                <w:color w:val="000000"/>
              </w:rPr>
            </w:pPr>
          </w:p>
        </w:tc>
      </w:tr>
      <w:tr w:rsidR="0015178E" w:rsidRPr="00AC62D1"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AC62D1" w:rsidRDefault="0015178E" w:rsidP="00057BB3">
            <w:pPr>
              <w:spacing w:after="0" w:line="240" w:lineRule="auto"/>
              <w:rPr>
                <w:rFonts w:ascii="Calibri" w:eastAsia="Times New Roman" w:hAnsi="Calibri" w:cs="Calibri"/>
                <w:color w:val="000000"/>
              </w:rPr>
            </w:pPr>
          </w:p>
        </w:tc>
      </w:tr>
    </w:tbl>
    <w:p w14:paraId="079CD5BB" w14:textId="658AB967" w:rsidR="0051738B" w:rsidRPr="00AC62D1" w:rsidRDefault="0051738B"/>
    <w:tbl>
      <w:tblPr>
        <w:tblW w:w="4750" w:type="pct"/>
        <w:tblLayout w:type="fixed"/>
        <w:tblLook w:val="04A0" w:firstRow="1" w:lastRow="0" w:firstColumn="1" w:lastColumn="0" w:noHBand="0" w:noVBand="1"/>
      </w:tblPr>
      <w:tblGrid>
        <w:gridCol w:w="3119"/>
        <w:gridCol w:w="5773"/>
      </w:tblGrid>
      <w:tr w:rsidR="0035311B" w:rsidRPr="00AC62D1"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C62D1" w:rsidRDefault="0035311B" w:rsidP="00AF2FE1">
            <w:pPr>
              <w:pStyle w:val="Heading2"/>
              <w:rPr>
                <w:sz w:val="32"/>
                <w:szCs w:val="32"/>
              </w:rPr>
            </w:pPr>
            <w:bookmarkStart w:id="40" w:name="_Toc36813074"/>
            <w:bookmarkStart w:id="41" w:name="_Toc37932746"/>
            <w:r w:rsidRPr="00AC62D1">
              <w:rPr>
                <w:sz w:val="32"/>
                <w:szCs w:val="32"/>
              </w:rPr>
              <w:t>3. Data source type and data collection method</w:t>
            </w:r>
            <w:bookmarkEnd w:id="40"/>
            <w:bookmarkEnd w:id="41"/>
          </w:p>
        </w:tc>
      </w:tr>
      <w:tr w:rsidR="0035311B" w:rsidRPr="00AC62D1"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AC62D1" w:rsidRDefault="0035311B" w:rsidP="0051738B">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AC62D1" w:rsidRDefault="0035311B" w:rsidP="0051738B">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35311B" w:rsidRPr="00AC62D1"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AC62D1" w:rsidRDefault="0035311B" w:rsidP="0051738B">
            <w:pPr>
              <w:spacing w:after="0" w:line="240" w:lineRule="auto"/>
              <w:rPr>
                <w:rFonts w:ascii="Calibri" w:eastAsia="Times New Roman" w:hAnsi="Calibri" w:cs="Calibri"/>
              </w:rPr>
            </w:pPr>
            <w:r w:rsidRPr="00AC62D1">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AC62D1" w:rsidRDefault="0035311B" w:rsidP="0051738B">
            <w:pPr>
              <w:pStyle w:val="Default"/>
              <w:rPr>
                <w:rFonts w:asciiTheme="minorHAnsi" w:hAnsiTheme="minorHAnsi" w:cstheme="minorHAnsi"/>
                <w:sz w:val="21"/>
                <w:szCs w:val="21"/>
              </w:rPr>
            </w:pPr>
          </w:p>
        </w:tc>
      </w:tr>
      <w:tr w:rsidR="0035311B" w:rsidRPr="00AC62D1"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AC62D1" w:rsidRDefault="0035311B"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281B687" w14:textId="0CACAE7C" w:rsidR="00216ABC" w:rsidRPr="00573631" w:rsidRDefault="00216ABC" w:rsidP="00ED2AE7">
            <w:pPr>
              <w:pStyle w:val="MHeader"/>
            </w:pPr>
            <w:r w:rsidRPr="00573631">
              <w:t xml:space="preserve">Data </w:t>
            </w:r>
            <w:r w:rsidR="004B0C7C">
              <w:t>s</w:t>
            </w:r>
            <w:r w:rsidRPr="00573631">
              <w:t>ources</w:t>
            </w:r>
          </w:p>
          <w:p w14:paraId="565AC316" w14:textId="77777777" w:rsidR="00216ABC" w:rsidRPr="00573631" w:rsidRDefault="00216ABC" w:rsidP="00216ABC">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2FB0705" w14:textId="77777777" w:rsidR="00216ABC" w:rsidRPr="00A318D3" w:rsidRDefault="00216ABC" w:rsidP="00ED2AE7">
            <w:pPr>
              <w:pStyle w:val="ListParagraph"/>
              <w:numPr>
                <w:ilvl w:val="0"/>
                <w:numId w:val="16"/>
              </w:numPr>
              <w:shd w:val="clear" w:color="auto" w:fill="FFFFFF"/>
              <w:spacing w:after="0"/>
              <w:ind w:left="375"/>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Basel Convention: national focal points, electronic reporting system for annual national reports;</w:t>
            </w:r>
          </w:p>
          <w:p w14:paraId="23493777" w14:textId="77777777" w:rsidR="00216ABC" w:rsidRPr="00A318D3" w:rsidRDefault="00216ABC" w:rsidP="00ED2AE7">
            <w:pPr>
              <w:pStyle w:val="ListParagraph"/>
              <w:numPr>
                <w:ilvl w:val="0"/>
                <w:numId w:val="16"/>
              </w:numPr>
              <w:shd w:val="clear" w:color="auto" w:fill="FFFFFF"/>
              <w:spacing w:after="0"/>
              <w:ind w:left="375"/>
              <w:rPr>
                <w:rFonts w:eastAsia="Times New Roman" w:cs="Times New Roman"/>
                <w:color w:val="404040" w:themeColor="text1" w:themeTint="BF"/>
                <w:sz w:val="21"/>
                <w:szCs w:val="21"/>
                <w:lang w:val="fr-FR" w:eastAsia="en-GB"/>
              </w:rPr>
            </w:pPr>
            <w:r w:rsidRPr="00A318D3">
              <w:rPr>
                <w:rFonts w:eastAsia="Times New Roman" w:cs="Times New Roman"/>
                <w:color w:val="404040" w:themeColor="text1" w:themeTint="BF"/>
                <w:sz w:val="21"/>
                <w:szCs w:val="21"/>
                <w:lang w:val="fr-FR" w:eastAsia="en-GB"/>
              </w:rPr>
              <w:t xml:space="preserve">Rotterdam </w:t>
            </w:r>
            <w:proofErr w:type="gramStart"/>
            <w:r w:rsidRPr="00A318D3">
              <w:rPr>
                <w:rFonts w:eastAsia="Times New Roman" w:cs="Times New Roman"/>
                <w:color w:val="404040" w:themeColor="text1" w:themeTint="BF"/>
                <w:sz w:val="21"/>
                <w:szCs w:val="21"/>
                <w:lang w:val="fr-FR" w:eastAsia="en-GB"/>
              </w:rPr>
              <w:t>Convention:</w:t>
            </w:r>
            <w:proofErr w:type="gramEnd"/>
            <w:r w:rsidRPr="00A318D3">
              <w:rPr>
                <w:rFonts w:eastAsia="Times New Roman" w:cs="Times New Roman"/>
                <w:color w:val="404040" w:themeColor="text1" w:themeTint="BF"/>
                <w:sz w:val="21"/>
                <w:szCs w:val="21"/>
                <w:lang w:val="fr-FR" w:eastAsia="en-GB"/>
              </w:rPr>
              <w:t xml:space="preserve"> official contact points, PIC </w:t>
            </w:r>
            <w:proofErr w:type="spellStart"/>
            <w:r w:rsidRPr="00A318D3">
              <w:rPr>
                <w:rFonts w:eastAsia="Times New Roman" w:cs="Times New Roman"/>
                <w:color w:val="404040" w:themeColor="text1" w:themeTint="BF"/>
                <w:sz w:val="21"/>
                <w:szCs w:val="21"/>
                <w:lang w:val="fr-FR" w:eastAsia="en-GB"/>
              </w:rPr>
              <w:t>circular</w:t>
            </w:r>
            <w:proofErr w:type="spellEnd"/>
            <w:r w:rsidRPr="00A318D3">
              <w:rPr>
                <w:rFonts w:eastAsia="Times New Roman" w:cs="Times New Roman"/>
                <w:color w:val="404040" w:themeColor="text1" w:themeTint="BF"/>
                <w:sz w:val="21"/>
                <w:szCs w:val="21"/>
                <w:lang w:val="fr-FR" w:eastAsia="en-GB"/>
              </w:rPr>
              <w:t xml:space="preserve"> for import </w:t>
            </w:r>
            <w:proofErr w:type="spellStart"/>
            <w:r w:rsidRPr="00A318D3">
              <w:rPr>
                <w:rFonts w:eastAsia="Times New Roman" w:cs="Times New Roman"/>
                <w:color w:val="404040" w:themeColor="text1" w:themeTint="BF"/>
                <w:sz w:val="21"/>
                <w:szCs w:val="21"/>
                <w:lang w:val="fr-FR" w:eastAsia="en-GB"/>
              </w:rPr>
              <w:t>res</w:t>
            </w:r>
            <w:r w:rsidRPr="00A318D3">
              <w:rPr>
                <w:rFonts w:eastAsia="Times New Roman" w:cs="Times New Roman"/>
                <w:color w:val="404040" w:themeColor="text1" w:themeTint="BF"/>
                <w:sz w:val="21"/>
                <w:szCs w:val="21"/>
                <w:lang w:val="en-US" w:eastAsia="en-GB"/>
              </w:rPr>
              <w:t>ponses</w:t>
            </w:r>
            <w:proofErr w:type="spellEnd"/>
            <w:r w:rsidRPr="00A318D3">
              <w:rPr>
                <w:rFonts w:eastAsia="Times New Roman" w:cs="Times New Roman"/>
                <w:color w:val="404040" w:themeColor="text1" w:themeTint="BF"/>
                <w:sz w:val="21"/>
                <w:szCs w:val="21"/>
                <w:lang w:val="fr-FR" w:eastAsia="en-GB"/>
              </w:rPr>
              <w:t>;</w:t>
            </w:r>
          </w:p>
          <w:p w14:paraId="4AE19264" w14:textId="77777777" w:rsidR="00216ABC" w:rsidRPr="00A318D3" w:rsidRDefault="00216ABC" w:rsidP="00ED2AE7">
            <w:pPr>
              <w:pStyle w:val="ListParagraph"/>
              <w:numPr>
                <w:ilvl w:val="0"/>
                <w:numId w:val="16"/>
              </w:numPr>
              <w:shd w:val="clear" w:color="auto" w:fill="FFFFFF"/>
              <w:spacing w:after="0"/>
              <w:ind w:left="375"/>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Stockholm Convention: official contact points; electronic reporting system for national reports every four years, National Implementation Plans;</w:t>
            </w:r>
          </w:p>
          <w:p w14:paraId="4AB9EF14" w14:textId="77777777" w:rsidR="00216ABC" w:rsidRPr="00A318D3" w:rsidRDefault="00216ABC" w:rsidP="00ED2AE7">
            <w:pPr>
              <w:pStyle w:val="ListParagraph"/>
              <w:numPr>
                <w:ilvl w:val="0"/>
                <w:numId w:val="16"/>
              </w:numPr>
              <w:shd w:val="clear" w:color="auto" w:fill="FFFFFF"/>
              <w:spacing w:after="0"/>
              <w:ind w:left="375"/>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Montreal Protocol: national focal points;</w:t>
            </w:r>
          </w:p>
          <w:p w14:paraId="571CD33E" w14:textId="59E8E85C" w:rsidR="0035311B" w:rsidRPr="00216ABC" w:rsidRDefault="00216ABC" w:rsidP="00ED2AE7">
            <w:pPr>
              <w:pStyle w:val="ListParagraph"/>
              <w:numPr>
                <w:ilvl w:val="0"/>
                <w:numId w:val="16"/>
              </w:numPr>
              <w:shd w:val="clear" w:color="auto" w:fill="FFFFFF"/>
              <w:spacing w:after="0"/>
              <w:ind w:left="375"/>
              <w:rPr>
                <w:rFonts w:eastAsia="Times New Roman" w:cs="Times New Roman"/>
                <w:color w:val="FF0000"/>
                <w:sz w:val="21"/>
                <w:szCs w:val="21"/>
                <w:lang w:val="fr-FR" w:eastAsia="en-GB"/>
              </w:rPr>
            </w:pPr>
            <w:r w:rsidRPr="00A318D3">
              <w:rPr>
                <w:rFonts w:eastAsia="Times New Roman" w:cs="Times New Roman"/>
                <w:color w:val="404040" w:themeColor="text1" w:themeTint="BF"/>
                <w:sz w:val="21"/>
                <w:szCs w:val="21"/>
                <w:lang w:val="fr-FR" w:eastAsia="en-GB"/>
              </w:rPr>
              <w:t xml:space="preserve">Minamata </w:t>
            </w:r>
            <w:proofErr w:type="gramStart"/>
            <w:r w:rsidRPr="00A318D3">
              <w:rPr>
                <w:rFonts w:eastAsia="Times New Roman" w:cs="Times New Roman"/>
                <w:color w:val="404040" w:themeColor="text1" w:themeTint="BF"/>
                <w:sz w:val="21"/>
                <w:szCs w:val="21"/>
                <w:lang w:val="fr-FR" w:eastAsia="en-GB"/>
              </w:rPr>
              <w:t>Convention:</w:t>
            </w:r>
            <w:proofErr w:type="gramEnd"/>
            <w:r w:rsidRPr="00A318D3">
              <w:rPr>
                <w:rFonts w:eastAsia="Times New Roman" w:cs="Times New Roman"/>
                <w:color w:val="404040" w:themeColor="text1" w:themeTint="BF"/>
                <w:sz w:val="21"/>
                <w:szCs w:val="21"/>
                <w:lang w:val="fr-FR" w:eastAsia="en-GB"/>
              </w:rPr>
              <w:t xml:space="preserve"> national focal points.</w:t>
            </w:r>
          </w:p>
        </w:tc>
      </w:tr>
      <w:tr w:rsidR="0035311B" w:rsidRPr="00AC62D1"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AC62D1" w:rsidRDefault="0035311B"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C2C280B" w14:textId="77777777" w:rsidR="00F90988" w:rsidRPr="00573631" w:rsidRDefault="00F90988" w:rsidP="005C511F">
            <w:pPr>
              <w:pStyle w:val="MSubHeader"/>
            </w:pPr>
            <w:r w:rsidRPr="00573631">
              <w:t>Collection process:</w:t>
            </w:r>
          </w:p>
          <w:p w14:paraId="60E54013" w14:textId="3410B8FB" w:rsidR="0035311B" w:rsidRPr="00F90988" w:rsidRDefault="00F90988" w:rsidP="005C511F">
            <w:pPr>
              <w:pStyle w:val="MText"/>
            </w:pPr>
            <w:r>
              <w:t xml:space="preserve">Data is collected by the </w:t>
            </w:r>
            <w:r w:rsidRPr="00D60BF9">
              <w:t>Secretariat of the Basel, Rotterdam and Stockholm Conventions</w:t>
            </w:r>
            <w:r>
              <w:t xml:space="preserve"> from Focal Points for </w:t>
            </w:r>
            <w:r w:rsidRPr="00647CBA">
              <w:t>the Basel Conventions, Official contact points f</w:t>
            </w:r>
            <w:r>
              <w:t xml:space="preserve">or the Rotterdam Convention, </w:t>
            </w:r>
            <w:r w:rsidRPr="00647CBA">
              <w:t>official contact points for the Stockholm Convention</w:t>
            </w:r>
            <w:r>
              <w:t xml:space="preserve">, by the Ozone Secretariat from </w:t>
            </w:r>
            <w:r w:rsidRPr="00A318D3">
              <w:t>national focal points for the Montreal Protocol</w:t>
            </w:r>
            <w:r>
              <w:t xml:space="preserve">, and by the </w:t>
            </w:r>
            <w:r w:rsidRPr="00D60BF9">
              <w:t>Secretariat of the Minamata Convention</w:t>
            </w:r>
            <w:r>
              <w:t xml:space="preserve"> from national focal points for the Minamata Convention.</w:t>
            </w:r>
            <w:r w:rsidRPr="00647CBA">
              <w:t xml:space="preserve">  </w:t>
            </w:r>
          </w:p>
        </w:tc>
      </w:tr>
      <w:tr w:rsidR="0035311B" w:rsidRPr="00AC62D1"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AC62D1" w:rsidRDefault="0035311B" w:rsidP="004E5702">
            <w:pPr>
              <w:spacing w:after="0" w:line="240" w:lineRule="auto"/>
              <w:ind w:left="160"/>
              <w:rPr>
                <w:rFonts w:ascii="Calibri" w:eastAsia="Times New Roman" w:hAnsi="Calibri" w:cs="Calibri"/>
                <w:color w:val="000000"/>
              </w:rPr>
            </w:pPr>
            <w:r w:rsidRPr="00AC62D1">
              <w:t>3.</w:t>
            </w:r>
            <w:r w:rsidR="006B0FA2" w:rsidRPr="00AC62D1">
              <w:t>c</w:t>
            </w:r>
            <w:r w:rsidRPr="00AC62D1">
              <w:t>. Data collection calendar</w:t>
            </w:r>
          </w:p>
        </w:tc>
        <w:tc>
          <w:tcPr>
            <w:tcW w:w="3246" w:type="pct"/>
            <w:tcBorders>
              <w:top w:val="nil"/>
              <w:left w:val="nil"/>
              <w:bottom w:val="single" w:sz="4" w:space="0" w:color="auto"/>
              <w:right w:val="single" w:sz="4" w:space="0" w:color="auto"/>
            </w:tcBorders>
            <w:shd w:val="clear" w:color="auto" w:fill="auto"/>
          </w:tcPr>
          <w:p w14:paraId="01A9746B" w14:textId="77777777" w:rsidR="002C590D" w:rsidRPr="00573631" w:rsidRDefault="002C590D" w:rsidP="005C511F">
            <w:pPr>
              <w:pStyle w:val="MHeader"/>
            </w:pPr>
            <w:r w:rsidRPr="00573631">
              <w:t>Calendar</w:t>
            </w:r>
          </w:p>
          <w:p w14:paraId="2D30E75C" w14:textId="77777777" w:rsidR="002C590D" w:rsidRPr="00573631" w:rsidRDefault="002C590D" w:rsidP="005C511F">
            <w:pPr>
              <w:pStyle w:val="MSubHeader"/>
            </w:pPr>
            <w:r w:rsidRPr="00573631">
              <w:t>Data collection:</w:t>
            </w:r>
          </w:p>
          <w:p w14:paraId="55768290" w14:textId="77777777" w:rsidR="002C590D" w:rsidRDefault="002C590D" w:rsidP="005C511F">
            <w:pPr>
              <w:pStyle w:val="ListParagraph"/>
              <w:keepNext/>
              <w:keepLines/>
              <w:numPr>
                <w:ilvl w:val="0"/>
                <w:numId w:val="19"/>
              </w:numPr>
              <w:shd w:val="clear" w:color="auto" w:fill="FFFFFF"/>
              <w:spacing w:after="0"/>
              <w:ind w:left="375"/>
              <w:jc w:val="both"/>
              <w:rPr>
                <w:rFonts w:eastAsia="Times New Roman" w:cs="Times New Roman"/>
                <w:color w:val="4A4A4A"/>
                <w:sz w:val="21"/>
                <w:szCs w:val="21"/>
                <w:lang w:eastAsia="en-GB"/>
              </w:rPr>
            </w:pPr>
            <w:r>
              <w:rPr>
                <w:rFonts w:eastAsia="Times New Roman" w:cs="Times New Roman"/>
                <w:color w:val="4A4A4A"/>
                <w:sz w:val="21"/>
                <w:szCs w:val="21"/>
                <w:lang w:eastAsia="en-GB"/>
              </w:rPr>
              <w:t>First reporting cycle: 2017;</w:t>
            </w:r>
          </w:p>
          <w:p w14:paraId="3E7BC47A" w14:textId="77777777" w:rsidR="002C590D" w:rsidRDefault="002C590D" w:rsidP="005C511F">
            <w:pPr>
              <w:pStyle w:val="ListParagraph"/>
              <w:keepNext/>
              <w:keepLines/>
              <w:numPr>
                <w:ilvl w:val="0"/>
                <w:numId w:val="19"/>
              </w:numPr>
              <w:shd w:val="clear" w:color="auto" w:fill="FFFFFF"/>
              <w:spacing w:after="0"/>
              <w:ind w:left="375"/>
              <w:jc w:val="both"/>
              <w:rPr>
                <w:rFonts w:eastAsia="Times New Roman" w:cs="Times New Roman"/>
                <w:color w:val="4A4A4A"/>
                <w:sz w:val="21"/>
                <w:szCs w:val="21"/>
                <w:lang w:eastAsia="en-GB"/>
              </w:rPr>
            </w:pPr>
            <w:r>
              <w:rPr>
                <w:rFonts w:eastAsia="Times New Roman" w:cs="Times New Roman"/>
                <w:color w:val="4A4A4A"/>
                <w:sz w:val="21"/>
                <w:szCs w:val="21"/>
                <w:lang w:eastAsia="en-GB"/>
              </w:rPr>
              <w:t>Second reporting cycle: 2020;</w:t>
            </w:r>
          </w:p>
          <w:p w14:paraId="2D2D40F5" w14:textId="77777777" w:rsidR="002C590D" w:rsidRDefault="002C590D" w:rsidP="005C511F">
            <w:pPr>
              <w:pStyle w:val="ListParagraph"/>
              <w:keepNext/>
              <w:keepLines/>
              <w:numPr>
                <w:ilvl w:val="0"/>
                <w:numId w:val="19"/>
              </w:numPr>
              <w:shd w:val="clear" w:color="auto" w:fill="FFFFFF"/>
              <w:spacing w:after="0"/>
              <w:ind w:left="375"/>
              <w:jc w:val="both"/>
              <w:rPr>
                <w:rFonts w:eastAsia="Times New Roman" w:cs="Times New Roman"/>
                <w:color w:val="4A4A4A"/>
                <w:sz w:val="21"/>
                <w:szCs w:val="21"/>
                <w:lang w:eastAsia="en-GB"/>
              </w:rPr>
            </w:pPr>
            <w:r>
              <w:rPr>
                <w:rFonts w:eastAsia="Times New Roman" w:cs="Times New Roman"/>
                <w:color w:val="4A4A4A"/>
                <w:sz w:val="21"/>
                <w:szCs w:val="21"/>
                <w:lang w:eastAsia="en-GB"/>
              </w:rPr>
              <w:t>Third reporting cycle: 2025;</w:t>
            </w:r>
          </w:p>
          <w:p w14:paraId="604493E0" w14:textId="5FD6E9BD" w:rsidR="0035311B" w:rsidRPr="002C590D" w:rsidRDefault="002C590D" w:rsidP="005C511F">
            <w:pPr>
              <w:pStyle w:val="ListParagraph"/>
              <w:keepNext/>
              <w:keepLines/>
              <w:numPr>
                <w:ilvl w:val="0"/>
                <w:numId w:val="19"/>
              </w:numPr>
              <w:shd w:val="clear" w:color="auto" w:fill="FFFFFF"/>
              <w:spacing w:after="0"/>
              <w:ind w:left="375"/>
              <w:jc w:val="both"/>
              <w:rPr>
                <w:rFonts w:eastAsia="Times New Roman" w:cs="Times New Roman"/>
                <w:color w:val="4A4A4A"/>
                <w:sz w:val="21"/>
                <w:szCs w:val="21"/>
                <w:lang w:eastAsia="en-GB"/>
              </w:rPr>
            </w:pPr>
            <w:r>
              <w:rPr>
                <w:rFonts w:eastAsia="Times New Roman" w:cs="Times New Roman"/>
                <w:color w:val="4A4A4A"/>
                <w:sz w:val="21"/>
                <w:szCs w:val="21"/>
                <w:lang w:eastAsia="en-GB"/>
              </w:rPr>
              <w:t>Fourth reporting cycle: 2030.</w:t>
            </w:r>
          </w:p>
        </w:tc>
      </w:tr>
      <w:tr w:rsidR="0035311B" w:rsidRPr="00AC62D1"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AC62D1" w:rsidRDefault="0035311B"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d</w:t>
            </w:r>
            <w:r w:rsidRPr="00AC62D1">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819852B" w14:textId="77777777" w:rsidR="00B03B28" w:rsidRPr="00573631" w:rsidRDefault="00B03B28" w:rsidP="003E405E">
            <w:pPr>
              <w:pStyle w:val="MSubHeader"/>
            </w:pPr>
            <w:r w:rsidRPr="00573631">
              <w:t>Data release:</w:t>
            </w:r>
          </w:p>
          <w:p w14:paraId="16168C34" w14:textId="77777777" w:rsidR="00B03B28" w:rsidRPr="00A318D3" w:rsidRDefault="00B03B28" w:rsidP="003E405E">
            <w:pPr>
              <w:pStyle w:val="ListParagraph"/>
              <w:keepNext/>
              <w:keepLines/>
              <w:numPr>
                <w:ilvl w:val="0"/>
                <w:numId w:val="20"/>
              </w:numPr>
              <w:shd w:val="clear" w:color="auto" w:fill="FFFFFF"/>
              <w:spacing w:after="0"/>
              <w:ind w:left="375"/>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First reporting cycle: 2010-2014;</w:t>
            </w:r>
          </w:p>
          <w:p w14:paraId="7A0D6899" w14:textId="77777777" w:rsidR="00B03B28" w:rsidRPr="00A318D3" w:rsidRDefault="00B03B28" w:rsidP="003E405E">
            <w:pPr>
              <w:pStyle w:val="ListParagraph"/>
              <w:keepNext/>
              <w:keepLines/>
              <w:numPr>
                <w:ilvl w:val="0"/>
                <w:numId w:val="20"/>
              </w:numPr>
              <w:shd w:val="clear" w:color="auto" w:fill="FFFFFF"/>
              <w:spacing w:after="0"/>
              <w:ind w:left="375"/>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Second reporting cycle: 2015-2019;</w:t>
            </w:r>
          </w:p>
          <w:p w14:paraId="6F72C13F" w14:textId="77777777" w:rsidR="00B03B28" w:rsidRPr="00A318D3" w:rsidRDefault="00B03B28" w:rsidP="003E405E">
            <w:pPr>
              <w:pStyle w:val="ListParagraph"/>
              <w:keepNext/>
              <w:keepLines/>
              <w:numPr>
                <w:ilvl w:val="0"/>
                <w:numId w:val="20"/>
              </w:numPr>
              <w:shd w:val="clear" w:color="auto" w:fill="FFFFFF"/>
              <w:spacing w:after="0"/>
              <w:ind w:left="375"/>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Third reporting cycle: 2020-2024;</w:t>
            </w:r>
          </w:p>
          <w:p w14:paraId="35EF5915" w14:textId="31F4FA1A" w:rsidR="0035311B" w:rsidRPr="00B03B28" w:rsidRDefault="00B03B28" w:rsidP="003E405E">
            <w:pPr>
              <w:pStyle w:val="ListParagraph"/>
              <w:keepNext/>
              <w:keepLines/>
              <w:numPr>
                <w:ilvl w:val="0"/>
                <w:numId w:val="20"/>
              </w:numPr>
              <w:shd w:val="clear" w:color="auto" w:fill="FFFFFF"/>
              <w:spacing w:after="0"/>
              <w:ind w:left="375"/>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Fourth reporting cycle: 2025-2029.</w:t>
            </w:r>
          </w:p>
        </w:tc>
      </w:tr>
      <w:tr w:rsidR="0035311B" w:rsidRPr="00AC62D1"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AC62D1" w:rsidRDefault="0035311B"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e.</w:t>
            </w:r>
            <w:r w:rsidRPr="00AC62D1">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3539601" w14:textId="77777777" w:rsidR="007C2571" w:rsidRPr="00573631" w:rsidRDefault="007C2571" w:rsidP="003E405E">
            <w:pPr>
              <w:pStyle w:val="MHeader"/>
            </w:pPr>
            <w:r w:rsidRPr="00573631">
              <w:t>Data providers</w:t>
            </w:r>
          </w:p>
          <w:p w14:paraId="18AE9E59" w14:textId="77777777" w:rsidR="007C2571" w:rsidRPr="00016654" w:rsidRDefault="007C2571" w:rsidP="003E405E">
            <w:pPr>
              <w:pStyle w:val="ListParagraph"/>
              <w:numPr>
                <w:ilvl w:val="0"/>
                <w:numId w:val="21"/>
              </w:numPr>
              <w:shd w:val="clear" w:color="auto" w:fill="FFFFFF"/>
              <w:spacing w:after="0"/>
              <w:ind w:left="375"/>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Focal Points and Competent Authorities for the Basel Conventions (185 Parties);</w:t>
            </w:r>
          </w:p>
          <w:p w14:paraId="7DFD8B14" w14:textId="77777777" w:rsidR="007C2571" w:rsidRPr="00016654" w:rsidRDefault="007C2571" w:rsidP="003E405E">
            <w:pPr>
              <w:pStyle w:val="ListParagraph"/>
              <w:numPr>
                <w:ilvl w:val="0"/>
                <w:numId w:val="21"/>
              </w:numPr>
              <w:shd w:val="clear" w:color="auto" w:fill="FFFFFF"/>
              <w:spacing w:after="0"/>
              <w:ind w:left="375"/>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Designated National Authorities and Official contact points for the Rotterdam Convention (180 Parties);</w:t>
            </w:r>
          </w:p>
          <w:p w14:paraId="02CD7ACD" w14:textId="77777777" w:rsidR="007C2571" w:rsidRPr="00016654" w:rsidRDefault="007C2571" w:rsidP="003E405E">
            <w:pPr>
              <w:pStyle w:val="ListParagraph"/>
              <w:numPr>
                <w:ilvl w:val="0"/>
                <w:numId w:val="21"/>
              </w:numPr>
              <w:shd w:val="clear" w:color="auto" w:fill="FFFFFF"/>
              <w:spacing w:after="0"/>
              <w:ind w:left="375"/>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Official contact points and national focal points for Stockholm Convention (156 Parties);</w:t>
            </w:r>
          </w:p>
          <w:p w14:paraId="1FECB9C1" w14:textId="77777777" w:rsidR="007C2571" w:rsidRPr="00016654" w:rsidRDefault="007C2571" w:rsidP="003E405E">
            <w:pPr>
              <w:pStyle w:val="ListParagraph"/>
              <w:numPr>
                <w:ilvl w:val="0"/>
                <w:numId w:val="21"/>
              </w:numPr>
              <w:shd w:val="clear" w:color="auto" w:fill="FFFFFF"/>
              <w:spacing w:after="0"/>
              <w:ind w:left="375"/>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lastRenderedPageBreak/>
              <w:t>Focal points for Montreal Protocol (197 Parties);</w:t>
            </w:r>
          </w:p>
          <w:p w14:paraId="49E07E1E" w14:textId="5018EC56" w:rsidR="0035311B" w:rsidRPr="007C2571" w:rsidRDefault="007C2571" w:rsidP="003E405E">
            <w:pPr>
              <w:pStyle w:val="ListParagraph"/>
              <w:numPr>
                <w:ilvl w:val="0"/>
                <w:numId w:val="21"/>
              </w:numPr>
              <w:shd w:val="clear" w:color="auto" w:fill="FFFFFF"/>
              <w:spacing w:after="0"/>
              <w:ind w:left="375"/>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Focal points for information exchange and national focal points for the Minamata Convention (currently 35 Parties).</w:t>
            </w:r>
          </w:p>
        </w:tc>
      </w:tr>
      <w:tr w:rsidR="0035311B" w:rsidRPr="00AC62D1"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AC62D1" w:rsidRDefault="0035311B"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lastRenderedPageBreak/>
              <w:t>3.</w:t>
            </w:r>
            <w:r w:rsidR="006B0FA2" w:rsidRPr="00AC62D1">
              <w:rPr>
                <w:rFonts w:ascii="Calibri" w:eastAsia="Times New Roman" w:hAnsi="Calibri" w:cs="Calibri"/>
              </w:rPr>
              <w:t>f</w:t>
            </w:r>
            <w:r w:rsidRPr="00AC62D1">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49348B8" w14:textId="77777777" w:rsidR="001E4E9D" w:rsidRPr="00573631" w:rsidRDefault="001E4E9D" w:rsidP="003E405E">
            <w:pPr>
              <w:pStyle w:val="MHeader"/>
            </w:pPr>
            <w:r w:rsidRPr="00573631">
              <w:t>Data compilers</w:t>
            </w:r>
          </w:p>
          <w:p w14:paraId="71596C4B" w14:textId="77777777" w:rsidR="001E4E9D" w:rsidRPr="00D60BF9" w:rsidRDefault="001E4E9D" w:rsidP="003E405E">
            <w:pPr>
              <w:pStyle w:val="ListParagraph"/>
              <w:numPr>
                <w:ilvl w:val="0"/>
                <w:numId w:val="22"/>
              </w:numPr>
              <w:shd w:val="clear" w:color="auto" w:fill="FFFFFF"/>
              <w:spacing w:after="0"/>
              <w:ind w:left="375"/>
              <w:rPr>
                <w:rFonts w:eastAsia="Times New Roman" w:cs="Times New Roman"/>
                <w:color w:val="4A4A4A"/>
                <w:sz w:val="21"/>
                <w:szCs w:val="21"/>
                <w:lang w:eastAsia="en-GB"/>
              </w:rPr>
            </w:pPr>
            <w:r w:rsidRPr="00D60BF9">
              <w:rPr>
                <w:rFonts w:eastAsia="Times New Roman" w:cs="Times New Roman"/>
                <w:color w:val="4A4A4A"/>
                <w:sz w:val="21"/>
                <w:szCs w:val="21"/>
                <w:lang w:eastAsia="en-GB"/>
              </w:rPr>
              <w:t xml:space="preserve">Secretariat of the Basel, Rotterdam and Stockholm Conventions;  </w:t>
            </w:r>
          </w:p>
          <w:p w14:paraId="0E9C74F5" w14:textId="77777777" w:rsidR="001E4E9D" w:rsidRPr="00D60BF9" w:rsidRDefault="001E4E9D" w:rsidP="003E405E">
            <w:pPr>
              <w:pStyle w:val="ListParagraph"/>
              <w:numPr>
                <w:ilvl w:val="0"/>
                <w:numId w:val="22"/>
              </w:numPr>
              <w:shd w:val="clear" w:color="auto" w:fill="FFFFFF"/>
              <w:spacing w:after="0"/>
              <w:ind w:left="375"/>
              <w:rPr>
                <w:rFonts w:eastAsia="Times New Roman" w:cs="Times New Roman"/>
                <w:color w:val="4A4A4A"/>
                <w:sz w:val="21"/>
                <w:szCs w:val="21"/>
                <w:lang w:eastAsia="en-GB"/>
              </w:rPr>
            </w:pPr>
            <w:r w:rsidRPr="00D60BF9">
              <w:rPr>
                <w:rFonts w:eastAsia="Times New Roman" w:cs="Times New Roman"/>
                <w:color w:val="4A4A4A"/>
                <w:sz w:val="21"/>
                <w:szCs w:val="21"/>
                <w:lang w:eastAsia="en-GB"/>
              </w:rPr>
              <w:t>Ozone Secretariat;</w:t>
            </w:r>
          </w:p>
          <w:p w14:paraId="0A85CE62" w14:textId="2B762B16" w:rsidR="0035311B" w:rsidRPr="00AC62D1" w:rsidRDefault="001E4E9D" w:rsidP="003E405E">
            <w:pPr>
              <w:pStyle w:val="ListParagraph"/>
              <w:numPr>
                <w:ilvl w:val="0"/>
                <w:numId w:val="22"/>
              </w:numPr>
              <w:shd w:val="clear" w:color="auto" w:fill="FFFFFF"/>
              <w:spacing w:after="0"/>
              <w:ind w:left="375"/>
              <w:rPr>
                <w:rFonts w:cstheme="minorHAnsi"/>
                <w:sz w:val="21"/>
                <w:szCs w:val="21"/>
              </w:rPr>
            </w:pPr>
            <w:r w:rsidRPr="00D60BF9">
              <w:rPr>
                <w:rFonts w:eastAsia="Times New Roman" w:cs="Times New Roman"/>
                <w:color w:val="4A4A4A"/>
                <w:sz w:val="21"/>
                <w:szCs w:val="21"/>
                <w:lang w:eastAsia="en-GB"/>
              </w:rPr>
              <w:t>Secretariat of the Minamata Convention.</w:t>
            </w:r>
          </w:p>
        </w:tc>
      </w:tr>
      <w:tr w:rsidR="0035311B" w:rsidRPr="00AC62D1"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AC62D1" w:rsidRDefault="0035311B"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g</w:t>
            </w:r>
            <w:r w:rsidRPr="00AC62D1">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AC62D1" w:rsidRDefault="0035311B" w:rsidP="0051738B">
            <w:pPr>
              <w:spacing w:after="0" w:line="240" w:lineRule="auto"/>
              <w:rPr>
                <w:rFonts w:ascii="Calibri" w:eastAsia="Times New Roman" w:hAnsi="Calibri" w:cs="Calibri"/>
                <w:color w:val="000000"/>
              </w:rPr>
            </w:pPr>
          </w:p>
        </w:tc>
      </w:tr>
    </w:tbl>
    <w:p w14:paraId="1FCAF280" w14:textId="2184012C" w:rsidR="00F07040" w:rsidRPr="00AC62D1" w:rsidRDefault="00F07040"/>
    <w:tbl>
      <w:tblPr>
        <w:tblW w:w="4792" w:type="pct"/>
        <w:tblLayout w:type="fixed"/>
        <w:tblLook w:val="04A0" w:firstRow="1" w:lastRow="0" w:firstColumn="1" w:lastColumn="0" w:noHBand="0" w:noVBand="1"/>
      </w:tblPr>
      <w:tblGrid>
        <w:gridCol w:w="3120"/>
        <w:gridCol w:w="5851"/>
      </w:tblGrid>
      <w:tr w:rsidR="007F2D9F" w:rsidRPr="00AC62D1"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AC62D1" w:rsidRDefault="007F2D9F" w:rsidP="007F2D9F">
            <w:pPr>
              <w:pStyle w:val="Heading2"/>
              <w:rPr>
                <w:rFonts w:ascii="Times New Roman" w:hAnsi="Times New Roman"/>
                <w:sz w:val="32"/>
                <w:szCs w:val="32"/>
              </w:rPr>
            </w:pPr>
            <w:bookmarkStart w:id="42" w:name="_Toc36655612"/>
            <w:bookmarkStart w:id="43" w:name="_Toc36812575"/>
            <w:bookmarkStart w:id="44" w:name="_Toc36812688"/>
            <w:bookmarkStart w:id="45" w:name="_Toc36813075"/>
            <w:bookmarkStart w:id="46" w:name="_Toc37932747"/>
            <w:r w:rsidRPr="00AC62D1">
              <w:rPr>
                <w:sz w:val="32"/>
                <w:szCs w:val="32"/>
              </w:rPr>
              <w:t>4. Other methodological considerations</w:t>
            </w:r>
            <w:bookmarkEnd w:id="42"/>
            <w:bookmarkEnd w:id="43"/>
            <w:bookmarkEnd w:id="44"/>
            <w:bookmarkEnd w:id="45"/>
            <w:bookmarkEnd w:id="46"/>
          </w:p>
        </w:tc>
      </w:tr>
      <w:tr w:rsidR="007F2D9F" w:rsidRPr="00AC62D1"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AC62D1" w:rsidRDefault="007F2D9F"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AC62D1" w:rsidRDefault="007F2D9F"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7F2D9F" w:rsidRPr="00AC62D1"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AC62D1" w:rsidRDefault="007F2D9F" w:rsidP="00057BB3">
            <w:pPr>
              <w:spacing w:after="0" w:line="240" w:lineRule="auto"/>
              <w:rPr>
                <w:rFonts w:ascii="Calibri" w:eastAsia="Times New Roman" w:hAnsi="Calibri" w:cs="Calibri"/>
                <w:b/>
                <w:bCs/>
              </w:rPr>
            </w:pPr>
            <w:r w:rsidRPr="00AC62D1">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AC62D1" w:rsidRDefault="007F2D9F" w:rsidP="00057BB3">
            <w:pPr>
              <w:pStyle w:val="Default"/>
              <w:rPr>
                <w:rFonts w:asciiTheme="minorHAnsi" w:hAnsiTheme="minorHAnsi" w:cstheme="minorHAnsi"/>
                <w:sz w:val="21"/>
                <w:szCs w:val="21"/>
              </w:rPr>
            </w:pPr>
          </w:p>
        </w:tc>
      </w:tr>
      <w:tr w:rsidR="007F2D9F" w:rsidRPr="00AC62D1"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F98A09D" w14:textId="77777777" w:rsidR="00010F51" w:rsidRPr="00573631" w:rsidRDefault="00010F51" w:rsidP="00E953DB">
            <w:pPr>
              <w:pStyle w:val="MSubHeader"/>
            </w:pPr>
            <w:r w:rsidRPr="00573631">
              <w:t>Rationale:</w:t>
            </w:r>
          </w:p>
          <w:p w14:paraId="2D567B2E" w14:textId="77777777" w:rsidR="00010F51" w:rsidRPr="00394522" w:rsidRDefault="00010F51" w:rsidP="00E953DB">
            <w:pPr>
              <w:pStyle w:val="MText"/>
            </w:pPr>
            <w:r>
              <w:t>The proposed indicator is</w:t>
            </w:r>
            <w:r w:rsidRPr="00F41D1A">
              <w:t xml:space="preserve"> process-oriented, focusing on compl</w:t>
            </w:r>
            <w:r>
              <w:t>iance with the obligations that</w:t>
            </w:r>
            <w:r w:rsidRPr="00F41D1A">
              <w:t xml:space="preserve"> contribute to the overall target of </w:t>
            </w:r>
            <w:r w:rsidRPr="00394522">
              <w:t xml:space="preserve">achieving the environmentally sound management of chemicals and all wastes throughout their life cycle. </w:t>
            </w:r>
          </w:p>
          <w:p w14:paraId="69C06CE0" w14:textId="77777777" w:rsidR="00010F51" w:rsidRPr="00394522" w:rsidRDefault="00010F51" w:rsidP="00E953DB">
            <w:pPr>
              <w:pStyle w:val="MText"/>
            </w:pPr>
          </w:p>
          <w:p w14:paraId="2E3517AC" w14:textId="4B2689A0" w:rsidR="007F2D9F" w:rsidRPr="00010F51" w:rsidRDefault="00010F51" w:rsidP="00E953DB">
            <w:pPr>
              <w:pStyle w:val="MText"/>
            </w:pPr>
            <w:r w:rsidRPr="00394522">
              <w:t xml:space="preserve">It doesn’t measure the quantity of chemicals in media and doesn’t quantify adverse impacts on human health and the environment. The MEAs, however, were developed and adopted to address the most urgent challenges for human health and the environment and therefore, through the implementation of MEAs progress will be made to reduce release to air, water and soil and well as presence of hazardous chemicals in products. </w:t>
            </w:r>
          </w:p>
        </w:tc>
      </w:tr>
      <w:tr w:rsidR="007F2D9F" w:rsidRPr="00AC62D1"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B6D83CD" w14:textId="77777777" w:rsidR="00DE2679" w:rsidRPr="007F33BC" w:rsidRDefault="00DE2679" w:rsidP="00E953DB">
            <w:pPr>
              <w:pStyle w:val="MSubHeader"/>
            </w:pPr>
            <w:r>
              <w:t>Comments and limitations:</w:t>
            </w:r>
          </w:p>
          <w:p w14:paraId="2366123C" w14:textId="77777777" w:rsidR="00DE2679" w:rsidRDefault="00DE2679" w:rsidP="00E953DB">
            <w:pPr>
              <w:pStyle w:val="MText"/>
            </w:pPr>
            <w:r w:rsidRPr="00A318D3">
              <w:t>The transmission of information as required by the five Conventions</w:t>
            </w:r>
            <w:r>
              <w:rPr>
                <w:color w:val="1C75BC"/>
              </w:rPr>
              <w:t xml:space="preserve"> </w:t>
            </w:r>
            <w:r>
              <w:t>follows a different timing. This is the reason why the reporting to this indicator has been scheduled for 5-year cycles, which would allow capturing the compliance of Parties with the transmission of information of all the Conventions.</w:t>
            </w:r>
          </w:p>
          <w:p w14:paraId="1DD65B92" w14:textId="77777777" w:rsidR="00DE2679" w:rsidRDefault="00DE2679" w:rsidP="00E953DB">
            <w:pPr>
              <w:pStyle w:val="MText"/>
            </w:pPr>
          </w:p>
          <w:p w14:paraId="48EF8537" w14:textId="713AF477" w:rsidR="007F2D9F" w:rsidRPr="00DE2679" w:rsidRDefault="00DE2679" w:rsidP="00E953DB">
            <w:pPr>
              <w:pStyle w:val="MText"/>
            </w:pPr>
            <w:r>
              <w:t>Please also note that the timing for submission of reporting for the Minamata Convention has not yet been agreed on. It is not clear whether any reporting will be required prior to 2020, nor it is clear how many times reporting would be required prior to 2030. Thus, the Minamata Convention is included here, but the reporting is subject to further decisions on this.</w:t>
            </w:r>
          </w:p>
        </w:tc>
      </w:tr>
      <w:tr w:rsidR="007F2D9F" w:rsidRPr="00AC62D1"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0379786" w14:textId="77777777" w:rsidR="0044044E" w:rsidRPr="00573631" w:rsidRDefault="0044044E" w:rsidP="00E953DB">
            <w:pPr>
              <w:pStyle w:val="MHeader"/>
            </w:pPr>
            <w:r w:rsidRPr="00573631">
              <w:t>Methodology</w:t>
            </w:r>
          </w:p>
          <w:p w14:paraId="2D402EF4" w14:textId="50042AA0" w:rsidR="0044044E" w:rsidRDefault="0044044E" w:rsidP="00AA25DD">
            <w:pPr>
              <w:pStyle w:val="MSubHeader"/>
            </w:pPr>
            <w:r w:rsidRPr="00573631">
              <w:t xml:space="preserve">Computation </w:t>
            </w:r>
            <w:r w:rsidR="00AA25DD">
              <w:t>m</w:t>
            </w:r>
            <w:r w:rsidRPr="00573631">
              <w:t>ethod:</w:t>
            </w:r>
          </w:p>
          <w:p w14:paraId="1256073B" w14:textId="77777777" w:rsidR="0044044E" w:rsidRPr="00A318D3" w:rsidRDefault="0044044E" w:rsidP="00AA25DD">
            <w:pPr>
              <w:pStyle w:val="MText"/>
            </w:pPr>
            <w:r w:rsidRPr="00A318D3">
              <w:t xml:space="preserve">In the following methodology, reporting is to take place in 2017 for the period 2010-2014, in 2020 for the period 2015-2019, in 2025 for the period 2020-2024 and in 2030 for the period 2025-2029. Reporting parameters include the following:   </w:t>
            </w:r>
          </w:p>
          <w:p w14:paraId="09602BF1" w14:textId="77777777" w:rsidR="0044044E" w:rsidRDefault="0044044E" w:rsidP="00AA25DD">
            <w:pPr>
              <w:pStyle w:val="MText"/>
            </w:pPr>
          </w:p>
          <w:p w14:paraId="4982774B" w14:textId="77777777" w:rsidR="0044044E" w:rsidRPr="00C75095" w:rsidRDefault="0044044E" w:rsidP="00AA25DD">
            <w:pPr>
              <w:pStyle w:val="MText"/>
            </w:pPr>
            <w:r w:rsidRPr="00C75095">
              <w:t>The Country Score depends on the amount of i</w:t>
            </w:r>
            <w:r>
              <w:t>nformation that is sent to the C</w:t>
            </w:r>
            <w:r w:rsidRPr="00C75095">
              <w:t>onventions’ Secretariat, and is calculated as follows (and communicated by the Secretariats):</w:t>
            </w:r>
          </w:p>
          <w:p w14:paraId="2D2761AC" w14:textId="77777777" w:rsidR="0044044E" w:rsidRDefault="0044044E" w:rsidP="0044044E">
            <w:pPr>
              <w:shd w:val="clear" w:color="auto" w:fill="FFFFFF"/>
              <w:spacing w:after="0"/>
              <w:jc w:val="both"/>
              <w:rPr>
                <w:rFonts w:eastAsia="Times New Roman" w:cs="Times New Roman"/>
                <w:color w:val="4A4A4A"/>
                <w:sz w:val="21"/>
                <w:szCs w:val="21"/>
                <w:lang w:eastAsia="en-GB"/>
              </w:rPr>
            </w:pPr>
          </w:p>
          <w:p w14:paraId="5ADACCC3" w14:textId="77777777" w:rsidR="0044044E" w:rsidRPr="0026136F" w:rsidRDefault="0044044E" w:rsidP="00AA25DD">
            <w:pPr>
              <w:pStyle w:val="MSubSubHead"/>
            </w:pPr>
            <w:r w:rsidRPr="0026136F">
              <w:t>Basel Convention</w:t>
            </w:r>
            <w:r>
              <w:t>:</w:t>
            </w:r>
          </w:p>
          <w:p w14:paraId="16EE4768" w14:textId="77777777" w:rsidR="0044044E" w:rsidRPr="008C4056" w:rsidRDefault="0044044E" w:rsidP="00AA25DD">
            <w:pPr>
              <w:pStyle w:val="ListParagraph"/>
              <w:numPr>
                <w:ilvl w:val="0"/>
                <w:numId w:val="11"/>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Focal Point and one or more Competent Authorities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
          <w:p w14:paraId="4E363034" w14:textId="77777777" w:rsidR="0044044E" w:rsidRPr="008C4056" w:rsidRDefault="0044044E" w:rsidP="00AA25DD">
            <w:pPr>
              <w:pStyle w:val="ListParagraph"/>
              <w:numPr>
                <w:ilvl w:val="0"/>
                <w:numId w:val="11"/>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annual national </w:t>
            </w:r>
            <w:r>
              <w:rPr>
                <w:rFonts w:eastAsia="Times New Roman" w:cs="Times New Roman"/>
                <w:color w:val="4A4A4A"/>
                <w:sz w:val="21"/>
                <w:szCs w:val="21"/>
                <w:lang w:val="en-US" w:eastAsia="en-GB"/>
              </w:rPr>
              <w:t>reports during the reporting period (1 point per report)</w:t>
            </w:r>
            <w:r w:rsidRPr="008C4056">
              <w:rPr>
                <w:rFonts w:eastAsia="Times New Roman" w:cs="Times New Roman"/>
                <w:color w:val="4A4A4A"/>
                <w:sz w:val="21"/>
                <w:szCs w:val="21"/>
                <w:lang w:val="en-US" w:eastAsia="en-GB"/>
              </w:rPr>
              <w:t>.</w:t>
            </w:r>
          </w:p>
          <w:p w14:paraId="609BD38B" w14:textId="77777777" w:rsidR="00732ED3" w:rsidRPr="0026136F" w:rsidRDefault="00732ED3" w:rsidP="00AA25DD">
            <w:pPr>
              <w:pStyle w:val="MSubSubHead"/>
            </w:pPr>
            <w:r w:rsidRPr="0026136F">
              <w:t>Rotterdam Convention</w:t>
            </w:r>
            <w:r>
              <w:t>:</w:t>
            </w:r>
          </w:p>
          <w:p w14:paraId="550F6212" w14:textId="77777777" w:rsidR="00732ED3" w:rsidRPr="008C4056" w:rsidRDefault="00732ED3" w:rsidP="00AA25DD">
            <w:pPr>
              <w:pStyle w:val="ListParagraph"/>
              <w:numPr>
                <w:ilvl w:val="0"/>
                <w:numId w:val="12"/>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Designated National Authority(-</w:t>
            </w:r>
            <w:proofErr w:type="spellStart"/>
            <w:r w:rsidRPr="008C4056">
              <w:rPr>
                <w:rFonts w:eastAsia="Times New Roman" w:cs="Times New Roman"/>
                <w:color w:val="4A4A4A"/>
                <w:sz w:val="21"/>
                <w:szCs w:val="21"/>
                <w:lang w:val="en-US" w:eastAsia="en-GB"/>
              </w:rPr>
              <w:t>ies</w:t>
            </w:r>
            <w:proofErr w:type="spellEnd"/>
            <w:r w:rsidRPr="008C4056">
              <w:rPr>
                <w:rFonts w:eastAsia="Times New Roman" w:cs="Times New Roman"/>
                <w:color w:val="4A4A4A"/>
                <w:sz w:val="21"/>
                <w:szCs w:val="21"/>
                <w:lang w:val="en-US" w:eastAsia="en-GB"/>
              </w:rPr>
              <w:t>) and Official contact point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
          <w:p w14:paraId="4A323FEE" w14:textId="77777777" w:rsidR="00732ED3" w:rsidRPr="008C4056" w:rsidRDefault="00732ED3" w:rsidP="00AA25DD">
            <w:pPr>
              <w:pStyle w:val="ListParagraph"/>
              <w:numPr>
                <w:ilvl w:val="0"/>
                <w:numId w:val="12"/>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import responses </w:t>
            </w:r>
            <w:r>
              <w:rPr>
                <w:rFonts w:eastAsia="Times New Roman" w:cs="Times New Roman"/>
                <w:color w:val="4A4A4A"/>
                <w:sz w:val="21"/>
                <w:szCs w:val="21"/>
                <w:lang w:val="en-US" w:eastAsia="en-GB"/>
              </w:rPr>
              <w:t>during</w:t>
            </w:r>
            <w:r w:rsidRPr="008C4056">
              <w:rPr>
                <w:rFonts w:eastAsia="Times New Roman" w:cs="Times New Roman"/>
                <w:color w:val="4A4A4A"/>
                <w:sz w:val="21"/>
                <w:szCs w:val="21"/>
                <w:lang w:val="en-US" w:eastAsia="en-GB"/>
              </w:rPr>
              <w:t xml:space="preserve"> the r</w:t>
            </w:r>
            <w:r>
              <w:rPr>
                <w:rFonts w:eastAsia="Times New Roman" w:cs="Times New Roman"/>
                <w:color w:val="4A4A4A"/>
                <w:sz w:val="21"/>
                <w:szCs w:val="21"/>
                <w:lang w:val="en-US" w:eastAsia="en-GB"/>
              </w:rPr>
              <w:t>e</w:t>
            </w:r>
            <w:r w:rsidRPr="008C4056">
              <w:rPr>
                <w:rFonts w:eastAsia="Times New Roman" w:cs="Times New Roman"/>
                <w:color w:val="4A4A4A"/>
                <w:sz w:val="21"/>
                <w:szCs w:val="21"/>
                <w:lang w:val="en-US" w:eastAsia="en-GB"/>
              </w:rPr>
              <w:t xml:space="preserve">porting </w:t>
            </w:r>
            <w:r>
              <w:rPr>
                <w:rFonts w:eastAsia="Times New Roman" w:cs="Times New Roman"/>
                <w:color w:val="4A4A4A"/>
                <w:sz w:val="21"/>
                <w:szCs w:val="21"/>
                <w:lang w:val="en-US" w:eastAsia="en-GB"/>
              </w:rPr>
              <w:t>period</w:t>
            </w:r>
            <w:r w:rsidRPr="008C4056">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0,2 point per import response)</w:t>
            </w:r>
            <w:r w:rsidRPr="008C4056">
              <w:rPr>
                <w:rFonts w:eastAsia="Times New Roman" w:cs="Times New Roman"/>
                <w:color w:val="4A4A4A"/>
                <w:sz w:val="21"/>
                <w:szCs w:val="21"/>
                <w:lang w:val="en-US" w:eastAsia="en-GB"/>
              </w:rPr>
              <w:t>.</w:t>
            </w:r>
          </w:p>
          <w:p w14:paraId="08B458C1" w14:textId="77777777" w:rsidR="00732ED3" w:rsidRPr="0026136F" w:rsidRDefault="00732ED3" w:rsidP="00406367">
            <w:pPr>
              <w:pStyle w:val="MSubSubHead"/>
            </w:pPr>
            <w:r w:rsidRPr="0026136F">
              <w:t>Stockholm Convention</w:t>
            </w:r>
            <w:r>
              <w:t>:</w:t>
            </w:r>
          </w:p>
          <w:p w14:paraId="09BD98A4" w14:textId="77777777" w:rsidR="00732ED3" w:rsidRPr="008C4056" w:rsidRDefault="00732ED3" w:rsidP="00406367">
            <w:pPr>
              <w:pStyle w:val="ListParagraph"/>
              <w:numPr>
                <w:ilvl w:val="0"/>
                <w:numId w:val="13"/>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w:t>
            </w:r>
            <w:r w:rsidRPr="008C4056" w:rsidDel="00E66FD8">
              <w:rPr>
                <w:rFonts w:eastAsia="Times New Roman" w:cs="Times New Roman"/>
                <w:color w:val="4A4A4A"/>
                <w:sz w:val="21"/>
                <w:szCs w:val="21"/>
                <w:lang w:val="en-US" w:eastAsia="en-GB"/>
              </w:rPr>
              <w:t xml:space="preserve"> </w:t>
            </w:r>
            <w:r w:rsidRPr="008C4056">
              <w:rPr>
                <w:rFonts w:eastAsia="Times New Roman" w:cs="Times New Roman"/>
                <w:color w:val="4A4A4A"/>
                <w:sz w:val="21"/>
                <w:szCs w:val="21"/>
                <w:lang w:val="en-US" w:eastAsia="en-GB"/>
              </w:rPr>
              <w:t>of the Stockholm Convention official contact point and national focal point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points);</w:t>
            </w:r>
          </w:p>
          <w:p w14:paraId="49958BB7" w14:textId="77777777" w:rsidR="00732ED3" w:rsidRPr="008C4056" w:rsidRDefault="00732ED3" w:rsidP="00406367">
            <w:pPr>
              <w:pStyle w:val="ListParagraph"/>
              <w:numPr>
                <w:ilvl w:val="0"/>
                <w:numId w:val="13"/>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national implementation plan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points);</w:t>
            </w:r>
          </w:p>
          <w:p w14:paraId="091DD7E8" w14:textId="77777777" w:rsidR="00732ED3" w:rsidRPr="008C4056" w:rsidRDefault="00732ED3" w:rsidP="00406367">
            <w:pPr>
              <w:pStyle w:val="ListParagraph"/>
              <w:numPr>
                <w:ilvl w:val="0"/>
                <w:numId w:val="13"/>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revised national implementation plan</w:t>
            </w:r>
            <w:r>
              <w:rPr>
                <w:rFonts w:eastAsia="Times New Roman" w:cs="Times New Roman"/>
                <w:color w:val="4A4A4A"/>
                <w:sz w:val="21"/>
                <w:szCs w:val="21"/>
                <w:lang w:val="en-US" w:eastAsia="en-GB"/>
              </w:rPr>
              <w:t>(s)</w:t>
            </w:r>
            <w:r w:rsidRPr="008C4056">
              <w:rPr>
                <w:rFonts w:eastAsia="Times New Roman" w:cs="Times New Roman"/>
                <w:color w:val="4A4A4A"/>
                <w:sz w:val="21"/>
                <w:szCs w:val="21"/>
                <w:lang w:val="en-US" w:eastAsia="en-GB"/>
              </w:rPr>
              <w:t xml:space="preserve"> addressing </w:t>
            </w:r>
            <w:r>
              <w:rPr>
                <w:rFonts w:eastAsia="Times New Roman" w:cs="Times New Roman"/>
                <w:color w:val="4A4A4A"/>
                <w:sz w:val="21"/>
                <w:szCs w:val="21"/>
                <w:lang w:val="en-US" w:eastAsia="en-GB"/>
              </w:rPr>
              <w:t xml:space="preserve">the </w:t>
            </w:r>
            <w:r w:rsidRPr="008C4056">
              <w:rPr>
                <w:rFonts w:eastAsia="Times New Roman" w:cs="Times New Roman"/>
                <w:color w:val="4A4A4A"/>
                <w:sz w:val="21"/>
                <w:szCs w:val="21"/>
                <w:lang w:val="en-US" w:eastAsia="en-GB"/>
              </w:rPr>
              <w:t xml:space="preserve">amendments adopted </w:t>
            </w:r>
            <w:r w:rsidRPr="00A318D3">
              <w:rPr>
                <w:rFonts w:eastAsia="Times New Roman" w:cs="Times New Roman"/>
                <w:color w:val="4A4A4A"/>
                <w:sz w:val="21"/>
                <w:szCs w:val="21"/>
                <w:lang w:val="en-US" w:eastAsia="en-GB"/>
              </w:rPr>
              <w:t xml:space="preserve">by the Conference of the Parties within the reporting period </w:t>
            </w:r>
            <w:r w:rsidRPr="008C4056">
              <w:rPr>
                <w:rFonts w:eastAsia="Times New Roman" w:cs="Times New Roman"/>
                <w:color w:val="4A4A4A"/>
                <w:sz w:val="21"/>
                <w:szCs w:val="21"/>
                <w:lang w:val="en-US" w:eastAsia="en-GB"/>
              </w:rPr>
              <w:t>(</w:t>
            </w:r>
            <w:r w:rsidRPr="00A318D3">
              <w:rPr>
                <w:rFonts w:eastAsia="Times New Roman" w:cs="Times New Roman"/>
                <w:color w:val="4A4A4A"/>
                <w:sz w:val="21"/>
                <w:szCs w:val="21"/>
                <w:lang w:val="en-US" w:eastAsia="en-GB"/>
              </w:rPr>
              <w:t>1 point per revised and updated plan)</w:t>
            </w:r>
            <w:r w:rsidRPr="00B25B74">
              <w:rPr>
                <w:vertAlign w:val="superscript"/>
              </w:rPr>
              <w:footnoteReference w:id="2"/>
            </w:r>
            <w:r w:rsidRPr="008C4056">
              <w:rPr>
                <w:rFonts w:eastAsia="Times New Roman" w:cs="Times New Roman"/>
                <w:color w:val="4A4A4A"/>
                <w:sz w:val="21"/>
                <w:szCs w:val="21"/>
                <w:lang w:val="en-US" w:eastAsia="en-GB"/>
              </w:rPr>
              <w:t>;</w:t>
            </w:r>
          </w:p>
          <w:p w14:paraId="7AEBD4BC" w14:textId="77777777" w:rsidR="00732ED3" w:rsidRPr="0026136F" w:rsidRDefault="00732ED3" w:rsidP="00406367">
            <w:pPr>
              <w:pStyle w:val="MSubSubHead"/>
            </w:pPr>
            <w:r w:rsidRPr="0026136F">
              <w:t>Montreal Protocol</w:t>
            </w:r>
            <w:r>
              <w:t>:</w:t>
            </w:r>
          </w:p>
          <w:p w14:paraId="444D1B85" w14:textId="77777777" w:rsidR="00732ED3" w:rsidRPr="00C07817" w:rsidRDefault="00732ED3" w:rsidP="00406367">
            <w:pPr>
              <w:pStyle w:val="ListParagraph"/>
              <w:numPr>
                <w:ilvl w:val="0"/>
                <w:numId w:val="14"/>
              </w:numPr>
              <w:shd w:val="clear" w:color="auto" w:fill="FFFFFF"/>
              <w:spacing w:after="0"/>
              <w:ind w:left="370"/>
              <w:jc w:val="both"/>
              <w:rPr>
                <w:rFonts w:eastAsia="Times New Roman" w:cs="Times New Roman"/>
                <w:color w:val="4A4A4A"/>
                <w:sz w:val="21"/>
                <w:szCs w:val="21"/>
                <w:lang w:val="en-US" w:eastAsia="en-GB"/>
              </w:rPr>
            </w:pPr>
            <w:r w:rsidRPr="00C07817">
              <w:rPr>
                <w:rFonts w:eastAsia="Times New Roman" w:cs="Times New Roman"/>
                <w:color w:val="4A4A4A"/>
                <w:sz w:val="21"/>
                <w:szCs w:val="21"/>
                <w:lang w:val="en-US" w:eastAsia="en-GB"/>
              </w:rPr>
              <w:t>Compliance with reporting requirements for production and consumption of ozone-depleting substances under (Article 7 of) the Montreal Protocol (15 points);</w:t>
            </w:r>
          </w:p>
          <w:p w14:paraId="5D259475" w14:textId="77777777" w:rsidR="00732ED3" w:rsidRPr="008C4056" w:rsidRDefault="00732ED3" w:rsidP="00406367">
            <w:pPr>
              <w:pStyle w:val="ListParagraph"/>
              <w:numPr>
                <w:ilvl w:val="0"/>
                <w:numId w:val="14"/>
              </w:numPr>
              <w:shd w:val="clear" w:color="auto" w:fill="FFFFFF"/>
              <w:spacing w:after="0"/>
              <w:ind w:left="37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information on Licensing systems under (Article 4B of) the Montreal Protocol (5 points).</w:t>
            </w:r>
          </w:p>
          <w:p w14:paraId="45E1DF37" w14:textId="77777777" w:rsidR="00732ED3" w:rsidRPr="00B4137D" w:rsidRDefault="00732ED3" w:rsidP="00406367">
            <w:pPr>
              <w:pStyle w:val="MSubSubHead"/>
            </w:pPr>
            <w:r w:rsidRPr="00B4137D">
              <w:t>Minamata Convention</w:t>
            </w:r>
            <w:r w:rsidRPr="006975D7">
              <w:rPr>
                <w:rStyle w:val="FootnoteReference"/>
                <w:bCs/>
                <w:color w:val="404040" w:themeColor="text1" w:themeTint="BF"/>
                <w:lang w:val="en-US"/>
              </w:rPr>
              <w:footnoteReference w:id="3"/>
            </w:r>
            <w:r w:rsidRPr="00B4137D">
              <w:t>:</w:t>
            </w:r>
          </w:p>
          <w:p w14:paraId="053D2816" w14:textId="77777777" w:rsidR="00732ED3" w:rsidRPr="00B4137D" w:rsidRDefault="00732ED3" w:rsidP="00406367">
            <w:pPr>
              <w:pStyle w:val="ListParagraph"/>
              <w:numPr>
                <w:ilvl w:val="0"/>
                <w:numId w:val="15"/>
              </w:numPr>
              <w:shd w:val="clear" w:color="auto" w:fill="FFFFFF"/>
              <w:spacing w:after="0"/>
              <w:ind w:left="370"/>
              <w:jc w:val="both"/>
              <w:rPr>
                <w:rFonts w:eastAsia="Times New Roman" w:cs="Times New Roman"/>
                <w:color w:val="404040" w:themeColor="text1" w:themeTint="BF"/>
                <w:sz w:val="21"/>
                <w:szCs w:val="21"/>
                <w:lang w:val="en-US" w:eastAsia="en-GB"/>
              </w:rPr>
            </w:pPr>
            <w:r w:rsidRPr="00B4137D">
              <w:rPr>
                <w:rFonts w:eastAsia="Times New Roman" w:cs="Times New Roman"/>
                <w:color w:val="404040" w:themeColor="text1" w:themeTint="BF"/>
                <w:sz w:val="21"/>
                <w:szCs w:val="21"/>
                <w:lang w:val="en-US" w:eastAsia="en-GB"/>
              </w:rPr>
              <w:t>Designation of a national focal point (Article 17) (5 points);</w:t>
            </w:r>
          </w:p>
          <w:p w14:paraId="16378513" w14:textId="12CE0D07" w:rsidR="00732ED3" w:rsidRDefault="00732ED3" w:rsidP="00406367">
            <w:pPr>
              <w:pStyle w:val="ListParagraph"/>
              <w:numPr>
                <w:ilvl w:val="0"/>
                <w:numId w:val="15"/>
              </w:numPr>
              <w:shd w:val="clear" w:color="auto" w:fill="FFFFFF"/>
              <w:spacing w:after="0"/>
              <w:ind w:left="370"/>
              <w:jc w:val="both"/>
              <w:rPr>
                <w:rFonts w:eastAsia="Times New Roman" w:cs="Times New Roman"/>
                <w:color w:val="404040" w:themeColor="text1" w:themeTint="BF"/>
                <w:sz w:val="21"/>
                <w:szCs w:val="21"/>
                <w:lang w:val="en-US" w:eastAsia="en-GB"/>
              </w:rPr>
            </w:pPr>
            <w:r w:rsidRPr="00B4137D">
              <w:rPr>
                <w:rFonts w:eastAsia="Times New Roman" w:cs="Times New Roman"/>
                <w:color w:val="404040" w:themeColor="text1" w:themeTint="BF"/>
                <w:sz w:val="21"/>
                <w:szCs w:val="21"/>
                <w:lang w:val="en-US" w:eastAsia="en-GB"/>
              </w:rPr>
              <w:t>Submission of national report (Article 21) (15 points).</w:t>
            </w:r>
          </w:p>
          <w:p w14:paraId="38CF1F93" w14:textId="6FF70A4C" w:rsidR="0018122E" w:rsidRDefault="0018122E" w:rsidP="00021CC6">
            <w:pPr>
              <w:pStyle w:val="Default"/>
              <w:jc w:val="center"/>
              <w:rPr>
                <w:rFonts w:asciiTheme="minorHAnsi" w:hAnsiTheme="minorHAnsi" w:cstheme="minorHAnsi"/>
                <w:sz w:val="21"/>
                <w:szCs w:val="21"/>
              </w:rPr>
            </w:pPr>
            <w:r>
              <w:rPr>
                <w:noProof/>
              </w:rPr>
              <w:lastRenderedPageBreak/>
              <w:drawing>
                <wp:inline distT="0" distB="0" distL="0" distR="0" wp14:anchorId="381D651D" wp14:editId="120E54EE">
                  <wp:extent cx="3175000" cy="10223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00" cy="1022350"/>
                          </a:xfrm>
                          <a:prstGeom prst="rect">
                            <a:avLst/>
                          </a:prstGeom>
                          <a:noFill/>
                          <a:ln>
                            <a:noFill/>
                          </a:ln>
                        </pic:spPr>
                      </pic:pic>
                    </a:graphicData>
                  </a:graphic>
                </wp:inline>
              </w:drawing>
            </w:r>
          </w:p>
          <w:p w14:paraId="7352F181" w14:textId="5007D148" w:rsidR="00761303" w:rsidRDefault="00761303" w:rsidP="00057BB3">
            <w:pPr>
              <w:pStyle w:val="Default"/>
              <w:rPr>
                <w:rFonts w:asciiTheme="minorHAnsi" w:hAnsiTheme="minorHAnsi" w:cstheme="minorHAnsi"/>
                <w:sz w:val="21"/>
                <w:szCs w:val="21"/>
              </w:rPr>
            </w:pPr>
          </w:p>
          <w:p w14:paraId="56F494E4" w14:textId="0F483992" w:rsidR="00761303" w:rsidRDefault="00761303" w:rsidP="00057BB3">
            <w:pPr>
              <w:pStyle w:val="Default"/>
              <w:rPr>
                <w:rFonts w:asciiTheme="minorHAnsi" w:hAnsiTheme="minorHAnsi" w:cstheme="minorHAnsi"/>
                <w:sz w:val="21"/>
                <w:szCs w:val="21"/>
              </w:rPr>
            </w:pPr>
            <w:r>
              <w:rPr>
                <w:noProof/>
              </w:rPr>
              <w:drawing>
                <wp:inline distT="0" distB="0" distL="0" distR="0" wp14:anchorId="646114DB" wp14:editId="30BE4ACC">
                  <wp:extent cx="3578225" cy="43751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437515"/>
                          </a:xfrm>
                          <a:prstGeom prst="rect">
                            <a:avLst/>
                          </a:prstGeom>
                          <a:noFill/>
                          <a:ln>
                            <a:noFill/>
                          </a:ln>
                        </pic:spPr>
                      </pic:pic>
                    </a:graphicData>
                  </a:graphic>
                </wp:inline>
              </w:drawing>
            </w:r>
          </w:p>
          <w:p w14:paraId="5A53B8A7" w14:textId="53659174" w:rsidR="0018122E" w:rsidRPr="00761303" w:rsidRDefault="00761303" w:rsidP="00021CC6">
            <w:pPr>
              <w:pStyle w:val="MText"/>
            </w:pPr>
            <w:r>
              <w:t xml:space="preserve">The final indicator </w:t>
            </w:r>
            <w:r w:rsidRPr="00D24251">
              <w:t xml:space="preserve">will be a number </w:t>
            </w:r>
            <w:r>
              <w:t>expressed as percent</w:t>
            </w:r>
            <w:r w:rsidRPr="00D24251">
              <w:t>, where 1</w:t>
            </w:r>
            <w:r>
              <w:t>00%</w:t>
            </w:r>
            <w:r w:rsidRPr="00D24251">
              <w:t xml:space="preserve"> is the maximum degree of compliance with the reporting obligations of the MEAs to w</w:t>
            </w:r>
            <w:r>
              <w:t>hich a Country is a Party, and 0%</w:t>
            </w:r>
            <w:r w:rsidRPr="00D24251">
              <w:t xml:space="preserve"> the least degree of compliance with those obligations.</w:t>
            </w:r>
          </w:p>
        </w:tc>
      </w:tr>
      <w:tr w:rsidR="007F2D9F" w:rsidRPr="00AC62D1"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AC62D1" w:rsidRDefault="007F2D9F" w:rsidP="00057BB3">
            <w:pPr>
              <w:spacing w:after="0" w:line="240" w:lineRule="auto"/>
              <w:rPr>
                <w:rFonts w:ascii="Calibri" w:eastAsia="Times New Roman" w:hAnsi="Calibri" w:cs="Calibri"/>
                <w:color w:val="000000"/>
              </w:rPr>
            </w:pPr>
          </w:p>
        </w:tc>
      </w:tr>
      <w:tr w:rsidR="007F2D9F" w:rsidRPr="00AC62D1"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AC62D1" w:rsidRDefault="007F2D9F" w:rsidP="00057BB3">
            <w:pPr>
              <w:spacing w:after="0" w:line="240" w:lineRule="auto"/>
              <w:rPr>
                <w:rFonts w:ascii="Calibri" w:eastAsia="Times New Roman" w:hAnsi="Calibri" w:cs="Calibri"/>
                <w:color w:val="000000"/>
              </w:rPr>
            </w:pPr>
          </w:p>
        </w:tc>
      </w:tr>
      <w:tr w:rsidR="007F2D9F" w:rsidRPr="00AC62D1"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4.f. Treatment of missing values (</w:t>
            </w:r>
            <w:proofErr w:type="spellStart"/>
            <w:r w:rsidRPr="00AC62D1">
              <w:rPr>
                <w:rFonts w:ascii="Calibri" w:eastAsia="Times New Roman" w:hAnsi="Calibri" w:cs="Calibri"/>
              </w:rPr>
              <w:t>i</w:t>
            </w:r>
            <w:proofErr w:type="spellEnd"/>
            <w:r w:rsidRPr="00AC62D1">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872DEE5" w14:textId="77777777" w:rsidR="006358A6" w:rsidRPr="00573631" w:rsidRDefault="006358A6" w:rsidP="00EA1C17">
            <w:pPr>
              <w:pStyle w:val="MSubHeader"/>
            </w:pPr>
            <w:r w:rsidRPr="00573631">
              <w:t>Treatment of missing values:</w:t>
            </w:r>
          </w:p>
          <w:p w14:paraId="09DDA773" w14:textId="77777777" w:rsidR="006358A6" w:rsidRPr="00573631" w:rsidRDefault="006358A6" w:rsidP="006358A6">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176D995B" w14:textId="790BF7D9" w:rsidR="006358A6" w:rsidRDefault="006358A6" w:rsidP="00EA1C17">
            <w:pPr>
              <w:pStyle w:val="MText"/>
            </w:pPr>
            <w:r>
              <w:t xml:space="preserve">Missing values are not imputed. </w:t>
            </w:r>
          </w:p>
          <w:p w14:paraId="5B303265" w14:textId="77777777" w:rsidR="00EA1C17" w:rsidRPr="00573631" w:rsidRDefault="00EA1C17" w:rsidP="00EA1C17">
            <w:pPr>
              <w:pStyle w:val="MText"/>
            </w:pPr>
          </w:p>
          <w:p w14:paraId="62A102D6" w14:textId="77777777" w:rsidR="006358A6" w:rsidRPr="00573631" w:rsidRDefault="006358A6" w:rsidP="006358A6">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3D5B76E6" w:rsidR="007F2D9F" w:rsidRPr="006358A6" w:rsidRDefault="006358A6" w:rsidP="00EA1C17">
            <w:pPr>
              <w:pStyle w:val="MText"/>
            </w:pPr>
            <w:r>
              <w:t>Missing values are not imputed.</w:t>
            </w:r>
          </w:p>
        </w:tc>
      </w:tr>
      <w:tr w:rsidR="007F2D9F" w:rsidRPr="00AC62D1"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7D9BC16" w14:textId="77777777" w:rsidR="00D5600C" w:rsidRPr="00573631" w:rsidRDefault="00D5600C" w:rsidP="00EA1C17">
            <w:pPr>
              <w:pStyle w:val="MSubHeader"/>
            </w:pPr>
            <w:r w:rsidRPr="00573631">
              <w:t>Regional aggregates:</w:t>
            </w:r>
          </w:p>
          <w:p w14:paraId="57118024" w14:textId="77777777" w:rsidR="00D5600C" w:rsidRDefault="00D5600C" w:rsidP="00EA1C17">
            <w:pPr>
              <w:pStyle w:val="MText"/>
            </w:pPr>
            <w:r>
              <w:t xml:space="preserve">For the aggregation methods, please see: </w:t>
            </w:r>
          </w:p>
          <w:p w14:paraId="27492CB0" w14:textId="382F08C7" w:rsidR="007F2D9F" w:rsidRPr="00D5600C" w:rsidRDefault="00D5600C" w:rsidP="00EA1C17">
            <w:pPr>
              <w:pStyle w:val="MText"/>
            </w:pPr>
            <w:hyperlink r:id="rId11" w:history="1">
              <w:r w:rsidRPr="00201731">
                <w:rPr>
                  <w:rStyle w:val="Hyperlink"/>
                </w:rPr>
                <w:t>http://pre-uneplive.unep.org/media/docs/graphs/aggregation_methods.pdf</w:t>
              </w:r>
            </w:hyperlink>
          </w:p>
        </w:tc>
      </w:tr>
      <w:tr w:rsidR="007F2D9F" w:rsidRPr="00AC62D1"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AC62D1" w:rsidRDefault="007F2D9F" w:rsidP="00057BB3">
            <w:pPr>
              <w:pStyle w:val="Default"/>
              <w:rPr>
                <w:rFonts w:asciiTheme="minorHAnsi" w:hAnsiTheme="minorHAnsi" w:cstheme="minorHAnsi"/>
                <w:sz w:val="21"/>
                <w:szCs w:val="21"/>
              </w:rPr>
            </w:pPr>
          </w:p>
        </w:tc>
      </w:tr>
      <w:tr w:rsidR="007F2D9F" w:rsidRPr="00AC62D1"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AC62D1" w:rsidRDefault="007F2D9F" w:rsidP="00057BB3">
            <w:pPr>
              <w:pStyle w:val="Default"/>
              <w:rPr>
                <w:rFonts w:asciiTheme="minorHAnsi" w:hAnsiTheme="minorHAnsi" w:cstheme="minorHAnsi"/>
                <w:sz w:val="21"/>
                <w:szCs w:val="21"/>
              </w:rPr>
            </w:pPr>
          </w:p>
        </w:tc>
      </w:tr>
      <w:tr w:rsidR="007F2D9F" w:rsidRPr="00AC62D1"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AC62D1" w:rsidRDefault="007F2D9F" w:rsidP="00057BB3">
            <w:pPr>
              <w:spacing w:after="0" w:line="240" w:lineRule="auto"/>
              <w:rPr>
                <w:rFonts w:ascii="Calibri" w:eastAsia="Times New Roman" w:hAnsi="Calibri" w:cs="Calibri"/>
                <w:color w:val="000000"/>
              </w:rPr>
            </w:pPr>
          </w:p>
        </w:tc>
      </w:tr>
      <w:tr w:rsidR="007F2D9F" w:rsidRPr="00AC62D1"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AC62D1" w:rsidRDefault="007F2D9F" w:rsidP="00057BB3">
            <w:pPr>
              <w:spacing w:after="0" w:line="240" w:lineRule="auto"/>
              <w:rPr>
                <w:rFonts w:ascii="Calibri" w:eastAsia="Times New Roman" w:hAnsi="Calibri" w:cs="Calibri"/>
                <w:color w:val="000000"/>
              </w:rPr>
            </w:pPr>
          </w:p>
        </w:tc>
      </w:tr>
    </w:tbl>
    <w:p w14:paraId="4DC54E1F" w14:textId="2552D3C1" w:rsidR="007F2D9F" w:rsidRPr="00AC62D1" w:rsidRDefault="007F2D9F"/>
    <w:tbl>
      <w:tblPr>
        <w:tblW w:w="4833" w:type="pct"/>
        <w:tblLayout w:type="fixed"/>
        <w:tblLook w:val="04A0" w:firstRow="1" w:lastRow="0" w:firstColumn="1" w:lastColumn="0" w:noHBand="0" w:noVBand="1"/>
      </w:tblPr>
      <w:tblGrid>
        <w:gridCol w:w="3020"/>
        <w:gridCol w:w="6027"/>
      </w:tblGrid>
      <w:tr w:rsidR="00776312" w:rsidRPr="00AC62D1"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AC62D1" w:rsidRDefault="00776312" w:rsidP="00776312">
            <w:pPr>
              <w:pStyle w:val="Heading2"/>
              <w:rPr>
                <w:rFonts w:ascii="Times New Roman" w:hAnsi="Times New Roman"/>
                <w:sz w:val="32"/>
                <w:szCs w:val="32"/>
              </w:rPr>
            </w:pPr>
            <w:bookmarkStart w:id="47" w:name="_Toc36655613"/>
            <w:bookmarkStart w:id="48" w:name="_Toc36812576"/>
            <w:bookmarkStart w:id="49" w:name="_Toc36812689"/>
            <w:bookmarkStart w:id="50" w:name="_Toc36813076"/>
            <w:bookmarkStart w:id="51" w:name="_Toc37932748"/>
            <w:r w:rsidRPr="00AC62D1">
              <w:rPr>
                <w:sz w:val="32"/>
                <w:szCs w:val="32"/>
              </w:rPr>
              <w:t>5. Data availability and disaggregation</w:t>
            </w:r>
            <w:bookmarkEnd w:id="47"/>
            <w:bookmarkEnd w:id="48"/>
            <w:bookmarkEnd w:id="49"/>
            <w:bookmarkEnd w:id="50"/>
            <w:bookmarkEnd w:id="51"/>
          </w:p>
        </w:tc>
      </w:tr>
      <w:tr w:rsidR="00776312" w:rsidRPr="00AC62D1"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AC62D1" w:rsidRDefault="00776312"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AC62D1" w:rsidRDefault="00776312" w:rsidP="00057BB3">
            <w:pPr>
              <w:spacing w:after="0" w:line="240" w:lineRule="auto"/>
              <w:ind w:right="-3475"/>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776312" w:rsidRPr="00AC62D1"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AC62D1" w:rsidRDefault="00776312" w:rsidP="00057BB3">
            <w:pPr>
              <w:spacing w:after="0" w:line="240" w:lineRule="auto"/>
              <w:rPr>
                <w:rFonts w:ascii="Calibri" w:eastAsia="Times New Roman" w:hAnsi="Calibri" w:cs="Calibri"/>
                <w:color w:val="000000"/>
              </w:rPr>
            </w:pPr>
            <w:r w:rsidRPr="00AC62D1">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FF13342" w14:textId="3D48C968" w:rsidR="006C6153" w:rsidRPr="00573631" w:rsidRDefault="006C6153" w:rsidP="00854367">
            <w:pPr>
              <w:pStyle w:val="MHeader"/>
            </w:pPr>
            <w:r w:rsidRPr="00573631">
              <w:t xml:space="preserve">Data </w:t>
            </w:r>
            <w:r w:rsidR="0000470D">
              <w:t>a</w:t>
            </w:r>
            <w:r w:rsidRPr="00573631">
              <w:t>vailability</w:t>
            </w:r>
          </w:p>
          <w:p w14:paraId="014953DE" w14:textId="77777777" w:rsidR="006C6153" w:rsidRPr="00573631" w:rsidRDefault="006C6153" w:rsidP="00854367">
            <w:pPr>
              <w:pStyle w:val="MSubHeader"/>
            </w:pPr>
            <w:r w:rsidRPr="00573631">
              <w:t>Description:</w:t>
            </w:r>
          </w:p>
          <w:p w14:paraId="752320EC" w14:textId="77777777" w:rsidR="006C6153" w:rsidRPr="00D60BF9" w:rsidRDefault="006C6153" w:rsidP="00854367">
            <w:pPr>
              <w:pStyle w:val="ListParagraph"/>
              <w:numPr>
                <w:ilvl w:val="0"/>
                <w:numId w:val="18"/>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Basel Conventions: 185 Parties;</w:t>
            </w:r>
          </w:p>
          <w:p w14:paraId="5FB2F430" w14:textId="77777777" w:rsidR="006C6153" w:rsidRPr="00D60BF9" w:rsidRDefault="006C6153" w:rsidP="00854367">
            <w:pPr>
              <w:pStyle w:val="ListParagraph"/>
              <w:numPr>
                <w:ilvl w:val="0"/>
                <w:numId w:val="18"/>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Rotterdam Convention: 180 Parties;</w:t>
            </w:r>
          </w:p>
          <w:p w14:paraId="6F4EC933" w14:textId="77777777" w:rsidR="006C6153" w:rsidRDefault="006C6153" w:rsidP="00854367">
            <w:pPr>
              <w:pStyle w:val="ListParagraph"/>
              <w:numPr>
                <w:ilvl w:val="0"/>
                <w:numId w:val="18"/>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Stockholm Convention: 156 Parties;</w:t>
            </w:r>
          </w:p>
          <w:p w14:paraId="3C899BB8" w14:textId="77777777" w:rsidR="006C6153" w:rsidRPr="00A318D3" w:rsidRDefault="006C6153" w:rsidP="00854367">
            <w:pPr>
              <w:pStyle w:val="ListParagraph"/>
              <w:numPr>
                <w:ilvl w:val="0"/>
                <w:numId w:val="18"/>
              </w:numPr>
              <w:shd w:val="clear" w:color="auto" w:fill="FFFFFF"/>
              <w:spacing w:after="0"/>
              <w:ind w:left="38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Focal points for Montreal Protocol: 197 Parties;</w:t>
            </w:r>
          </w:p>
          <w:p w14:paraId="0627B4CB" w14:textId="77777777" w:rsidR="006C6153" w:rsidRPr="00D60BF9" w:rsidRDefault="006C6153" w:rsidP="00854367">
            <w:pPr>
              <w:pStyle w:val="ListParagraph"/>
              <w:numPr>
                <w:ilvl w:val="0"/>
                <w:numId w:val="18"/>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Minamata Convention: </w:t>
            </w:r>
            <w:r w:rsidRPr="00D60BF9">
              <w:rPr>
                <w:rFonts w:eastAsia="Times New Roman" w:cs="Times New Roman"/>
                <w:color w:val="4A4A4A"/>
                <w:sz w:val="21"/>
                <w:szCs w:val="21"/>
                <w:lang w:eastAsia="en-GB"/>
              </w:rPr>
              <w:t>currently 35 Parties</w:t>
            </w:r>
            <w:r>
              <w:rPr>
                <w:rFonts w:eastAsia="Times New Roman" w:cs="Times New Roman"/>
                <w:color w:val="4A4A4A"/>
                <w:sz w:val="21"/>
                <w:szCs w:val="21"/>
                <w:lang w:eastAsia="en-GB"/>
              </w:rPr>
              <w:t>.</w:t>
            </w:r>
          </w:p>
          <w:p w14:paraId="3C4F8625" w14:textId="77777777" w:rsidR="006C6153" w:rsidRPr="00573631" w:rsidRDefault="006C6153" w:rsidP="006C6153">
            <w:pPr>
              <w:shd w:val="clear" w:color="auto" w:fill="FFFFFF"/>
              <w:spacing w:after="0"/>
              <w:rPr>
                <w:rFonts w:eastAsia="Times New Roman" w:cs="Times New Roman"/>
                <w:color w:val="4A4A4A"/>
                <w:sz w:val="21"/>
                <w:szCs w:val="21"/>
                <w:lang w:eastAsia="en-GB"/>
              </w:rPr>
            </w:pPr>
          </w:p>
          <w:p w14:paraId="51DA0E56" w14:textId="77777777" w:rsidR="006C6153" w:rsidRPr="00573631" w:rsidRDefault="006C6153" w:rsidP="00854367">
            <w:pPr>
              <w:pStyle w:val="MSubHeader"/>
            </w:pPr>
            <w:r w:rsidRPr="00573631">
              <w:t>Time series:</w:t>
            </w:r>
          </w:p>
          <w:p w14:paraId="3564CB5D" w14:textId="77777777" w:rsidR="006C6153" w:rsidRDefault="006C6153" w:rsidP="00854367">
            <w:pPr>
              <w:pStyle w:val="MText"/>
            </w:pPr>
            <w:r>
              <w:t xml:space="preserve">The reporting on this indicator will follow a 5-year cycle. </w:t>
            </w:r>
          </w:p>
          <w:p w14:paraId="76DA8B9E" w14:textId="77777777" w:rsidR="006C6153" w:rsidRDefault="006C6153" w:rsidP="00854367">
            <w:pPr>
              <w:pStyle w:val="ListParagraph"/>
              <w:keepNext/>
              <w:keepLines/>
              <w:numPr>
                <w:ilvl w:val="0"/>
                <w:numId w:val="17"/>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First baseline reporting cycle in 2017: data collected from 2010 to 2014;</w:t>
            </w:r>
          </w:p>
          <w:p w14:paraId="392B2EA0" w14:textId="77777777" w:rsidR="006C6153" w:rsidRDefault="006C6153" w:rsidP="00854367">
            <w:pPr>
              <w:pStyle w:val="ListParagraph"/>
              <w:keepNext/>
              <w:keepLines/>
              <w:numPr>
                <w:ilvl w:val="0"/>
                <w:numId w:val="17"/>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Second reporting cycle in 2020: data collected from 2015 to 2019;</w:t>
            </w:r>
          </w:p>
          <w:p w14:paraId="48A87E46" w14:textId="77777777" w:rsidR="006C6153" w:rsidRDefault="006C6153" w:rsidP="00854367">
            <w:pPr>
              <w:pStyle w:val="ListParagraph"/>
              <w:keepNext/>
              <w:keepLines/>
              <w:numPr>
                <w:ilvl w:val="0"/>
                <w:numId w:val="17"/>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Third reporting cycle in 2025: data collected from 2020 to 2024;</w:t>
            </w:r>
          </w:p>
          <w:p w14:paraId="03012E95" w14:textId="77777777" w:rsidR="006C6153" w:rsidRPr="00D60BF9" w:rsidRDefault="006C6153" w:rsidP="00854367">
            <w:pPr>
              <w:pStyle w:val="ListParagraph"/>
              <w:keepNext/>
              <w:keepLines/>
              <w:numPr>
                <w:ilvl w:val="0"/>
                <w:numId w:val="17"/>
              </w:numPr>
              <w:shd w:val="clear" w:color="auto" w:fill="FFFFFF"/>
              <w:spacing w:after="0"/>
              <w:ind w:left="380"/>
              <w:jc w:val="both"/>
              <w:rPr>
                <w:rFonts w:eastAsia="Times New Roman" w:cs="Times New Roman"/>
                <w:color w:val="4A4A4A"/>
                <w:sz w:val="21"/>
                <w:szCs w:val="21"/>
                <w:lang w:eastAsia="en-GB"/>
              </w:rPr>
            </w:pPr>
            <w:r>
              <w:rPr>
                <w:rFonts w:eastAsia="Times New Roman" w:cs="Times New Roman"/>
                <w:color w:val="4A4A4A"/>
                <w:sz w:val="21"/>
                <w:szCs w:val="21"/>
                <w:lang w:eastAsia="en-GB"/>
              </w:rPr>
              <w:t>Fourth reporting cycle in 2030: data collected from 2025 to 2029.</w:t>
            </w:r>
          </w:p>
          <w:p w14:paraId="5B981CF3" w14:textId="77777777" w:rsidR="006C6153" w:rsidRDefault="006C6153" w:rsidP="00761303">
            <w:pPr>
              <w:shd w:val="clear" w:color="auto" w:fill="FFFFFF"/>
              <w:spacing w:after="0"/>
              <w:rPr>
                <w:rFonts w:eastAsia="Times New Roman" w:cs="Times New Roman"/>
                <w:b/>
                <w:bCs/>
                <w:color w:val="4A4A4A"/>
                <w:sz w:val="21"/>
                <w:szCs w:val="21"/>
                <w:lang w:eastAsia="en-GB"/>
              </w:rPr>
            </w:pPr>
          </w:p>
          <w:p w14:paraId="4FB4B17F" w14:textId="5B04A0C2" w:rsidR="00761303" w:rsidRPr="00573631" w:rsidRDefault="00761303" w:rsidP="00854367">
            <w:pPr>
              <w:pStyle w:val="MSubHeader"/>
            </w:pPr>
            <w:r w:rsidRPr="00573631">
              <w:t>Disaggregation:</w:t>
            </w:r>
          </w:p>
          <w:p w14:paraId="39185D77" w14:textId="03D3A3B0" w:rsidR="00776312" w:rsidRPr="00761303" w:rsidRDefault="00761303" w:rsidP="00854367">
            <w:pPr>
              <w:pStyle w:val="MText"/>
            </w:pPr>
            <w:r>
              <w:t xml:space="preserve">The indicator is available at country level. It is disaggregated by Convention, in addition to providing the average transmission rate of the five Conventions. </w:t>
            </w:r>
          </w:p>
        </w:tc>
      </w:tr>
    </w:tbl>
    <w:p w14:paraId="75925A71" w14:textId="6FACB0DE" w:rsidR="007F2D9F" w:rsidRPr="00AC62D1" w:rsidRDefault="007F2D9F"/>
    <w:tbl>
      <w:tblPr>
        <w:tblW w:w="4833" w:type="pct"/>
        <w:tblLayout w:type="fixed"/>
        <w:tblLook w:val="04A0" w:firstRow="1" w:lastRow="0" w:firstColumn="1" w:lastColumn="0" w:noHBand="0" w:noVBand="1"/>
      </w:tblPr>
      <w:tblGrid>
        <w:gridCol w:w="3121"/>
        <w:gridCol w:w="5926"/>
      </w:tblGrid>
      <w:tr w:rsidR="00DC4AE7" w:rsidRPr="00AC62D1"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AC62D1" w:rsidRDefault="00D17114" w:rsidP="00416A6D">
            <w:pPr>
              <w:pStyle w:val="Heading2"/>
              <w:rPr>
                <w:sz w:val="32"/>
                <w:szCs w:val="32"/>
              </w:rPr>
            </w:pPr>
            <w:bookmarkStart w:id="52" w:name="_Toc36655614"/>
            <w:bookmarkStart w:id="53" w:name="_Toc36812577"/>
            <w:bookmarkStart w:id="54" w:name="_Toc36812690"/>
            <w:bookmarkStart w:id="55" w:name="_Toc37932749"/>
            <w:bookmarkStart w:id="56" w:name="_Hlk36654534"/>
            <w:r w:rsidRPr="00AC62D1">
              <w:rPr>
                <w:sz w:val="32"/>
                <w:szCs w:val="32"/>
              </w:rPr>
              <w:t>6</w:t>
            </w:r>
            <w:r w:rsidR="00DC4AE7" w:rsidRPr="00AC62D1">
              <w:rPr>
                <w:sz w:val="32"/>
                <w:szCs w:val="32"/>
              </w:rPr>
              <w:t>. Comparability/</w:t>
            </w:r>
            <w:r w:rsidRPr="00AC62D1">
              <w:rPr>
                <w:sz w:val="32"/>
                <w:szCs w:val="32"/>
              </w:rPr>
              <w:t>d</w:t>
            </w:r>
            <w:r w:rsidR="00DC4AE7" w:rsidRPr="00AC62D1">
              <w:rPr>
                <w:sz w:val="32"/>
                <w:szCs w:val="32"/>
              </w:rPr>
              <w:t xml:space="preserve">eviation from </w:t>
            </w:r>
            <w:r w:rsidRPr="00AC62D1">
              <w:rPr>
                <w:sz w:val="32"/>
                <w:szCs w:val="32"/>
              </w:rPr>
              <w:t>i</w:t>
            </w:r>
            <w:r w:rsidR="00DC4AE7" w:rsidRPr="00AC62D1">
              <w:rPr>
                <w:sz w:val="32"/>
                <w:szCs w:val="32"/>
              </w:rPr>
              <w:t xml:space="preserve">nternational </w:t>
            </w:r>
            <w:r w:rsidRPr="00AC62D1">
              <w:rPr>
                <w:sz w:val="32"/>
                <w:szCs w:val="32"/>
              </w:rPr>
              <w:t>s</w:t>
            </w:r>
            <w:r w:rsidR="00DC4AE7" w:rsidRPr="00AC62D1">
              <w:rPr>
                <w:sz w:val="32"/>
                <w:szCs w:val="32"/>
              </w:rPr>
              <w:t>tandards</w:t>
            </w:r>
            <w:bookmarkEnd w:id="52"/>
            <w:bookmarkEnd w:id="53"/>
            <w:bookmarkEnd w:id="54"/>
            <w:bookmarkEnd w:id="55"/>
          </w:p>
        </w:tc>
      </w:tr>
      <w:tr w:rsidR="004F4616" w:rsidRPr="00AC62D1"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AC62D1" w:rsidRDefault="00C47725" w:rsidP="004D68B6">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w:t>
            </w:r>
            <w:r w:rsidR="00522827" w:rsidRPr="00AC62D1">
              <w:rPr>
                <w:rFonts w:ascii="Calibri" w:eastAsia="Times New Roman" w:hAnsi="Calibri" w:cs="Calibri"/>
                <w:color w:val="000000"/>
              </w:rPr>
              <w:t xml:space="preserve"> n</w:t>
            </w:r>
            <w:r w:rsidR="004F4616" w:rsidRPr="00AC62D1">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AC62D1" w:rsidRDefault="00A92C73" w:rsidP="004D68B6">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4F4616" w:rsidRPr="00AC62D1"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AC62D1" w:rsidRDefault="004F4616" w:rsidP="004D68B6">
            <w:pPr>
              <w:spacing w:after="0" w:line="240" w:lineRule="auto"/>
              <w:rPr>
                <w:rFonts w:ascii="Calibri" w:eastAsia="Times New Roman" w:hAnsi="Calibri" w:cs="Calibri"/>
                <w:color w:val="000000"/>
              </w:rPr>
            </w:pPr>
            <w:r w:rsidRPr="00AC62D1">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D02910C" w14:textId="77777777" w:rsidR="00E13749" w:rsidRPr="00573631" w:rsidRDefault="00E13749" w:rsidP="00854367">
            <w:pPr>
              <w:pStyle w:val="MSubHeader"/>
            </w:pPr>
            <w:r w:rsidRPr="00573631">
              <w:t>Sources of discrepancies:</w:t>
            </w:r>
          </w:p>
          <w:p w14:paraId="13CF0B2D" w14:textId="25887F85" w:rsidR="004F4616" w:rsidRPr="00AC62D1" w:rsidRDefault="004F4616" w:rsidP="008A7300">
            <w:pPr>
              <w:spacing w:after="0" w:line="240" w:lineRule="auto"/>
              <w:rPr>
                <w:rFonts w:eastAsia="Times New Roman" w:cs="Times New Roman"/>
                <w:color w:val="4A4A4A"/>
                <w:sz w:val="21"/>
                <w:szCs w:val="21"/>
                <w:lang w:eastAsia="en-GB"/>
              </w:rPr>
            </w:pPr>
          </w:p>
        </w:tc>
      </w:tr>
      <w:bookmarkEnd w:id="56"/>
    </w:tbl>
    <w:p w14:paraId="36833D3E" w14:textId="24F410C5" w:rsidR="004D68B6" w:rsidRPr="00AC62D1" w:rsidRDefault="004D68B6"/>
    <w:tbl>
      <w:tblPr>
        <w:tblW w:w="4833" w:type="pct"/>
        <w:tblLayout w:type="fixed"/>
        <w:tblLook w:val="04A0" w:firstRow="1" w:lastRow="0" w:firstColumn="1" w:lastColumn="0" w:noHBand="0" w:noVBand="1"/>
      </w:tblPr>
      <w:tblGrid>
        <w:gridCol w:w="3119"/>
        <w:gridCol w:w="5928"/>
      </w:tblGrid>
      <w:tr w:rsidR="00D17114" w:rsidRPr="00AC62D1"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AC62D1" w:rsidRDefault="00D17114" w:rsidP="002806B7">
            <w:pPr>
              <w:pStyle w:val="Heading2"/>
              <w:rPr>
                <w:rFonts w:ascii="Times New Roman" w:hAnsi="Times New Roman"/>
                <w:sz w:val="32"/>
                <w:szCs w:val="32"/>
              </w:rPr>
            </w:pPr>
            <w:bookmarkStart w:id="57" w:name="_Toc36655615"/>
            <w:bookmarkStart w:id="58" w:name="_Toc36812578"/>
            <w:bookmarkStart w:id="59" w:name="_Toc36812691"/>
            <w:bookmarkStart w:id="60" w:name="_Toc37932750"/>
            <w:r w:rsidRPr="00AC62D1">
              <w:rPr>
                <w:sz w:val="32"/>
                <w:szCs w:val="32"/>
              </w:rPr>
              <w:t>7. References and documentation</w:t>
            </w:r>
            <w:bookmarkEnd w:id="57"/>
            <w:bookmarkEnd w:id="58"/>
            <w:bookmarkEnd w:id="59"/>
            <w:bookmarkEnd w:id="60"/>
          </w:p>
        </w:tc>
      </w:tr>
      <w:tr w:rsidR="007B2E39" w:rsidRPr="00AC62D1"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AC62D1" w:rsidRDefault="00522827" w:rsidP="004D68B6">
            <w:pPr>
              <w:spacing w:after="0" w:line="240" w:lineRule="auto"/>
              <w:rPr>
                <w:rFonts w:ascii="Calibri" w:eastAsia="Times New Roman" w:hAnsi="Calibri" w:cs="Calibri"/>
                <w:color w:val="000000"/>
              </w:rPr>
            </w:pPr>
            <w:r w:rsidRPr="00AC62D1">
              <w:rPr>
                <w:rFonts w:ascii="Calibri" w:eastAsia="Times New Roman" w:hAnsi="Calibri" w:cs="Calibri"/>
                <w:color w:val="000000"/>
              </w:rPr>
              <w:t>Detailed concept n</w:t>
            </w:r>
            <w:r w:rsidR="007B2E39" w:rsidRPr="00AC62D1">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AC62D1" w:rsidRDefault="00A92C73" w:rsidP="004D68B6">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AC62D1">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E0D81BA" w14:textId="77777777" w:rsidR="00C85F0C" w:rsidRPr="00573631" w:rsidRDefault="00C85F0C" w:rsidP="00854367">
            <w:pPr>
              <w:pStyle w:val="MHeader"/>
            </w:pPr>
            <w:r w:rsidRPr="00573631">
              <w:t>References</w:t>
            </w:r>
          </w:p>
          <w:p w14:paraId="746E893A" w14:textId="77777777" w:rsidR="00C85F0C" w:rsidRPr="00573631" w:rsidRDefault="00C85F0C" w:rsidP="00854367">
            <w:pPr>
              <w:pStyle w:val="MSubHeader"/>
            </w:pPr>
            <w:r w:rsidRPr="00573631">
              <w:t>URL:</w:t>
            </w:r>
          </w:p>
          <w:p w14:paraId="4F937021" w14:textId="77777777" w:rsidR="00C85F0C" w:rsidRPr="00573631" w:rsidRDefault="00C85F0C" w:rsidP="00C85F0C">
            <w:pPr>
              <w:shd w:val="clear" w:color="auto" w:fill="FFFFFF"/>
              <w:spacing w:after="0"/>
              <w:rPr>
                <w:rFonts w:eastAsia="Times New Roman" w:cs="Times New Roman"/>
                <w:color w:val="4A4A4A"/>
                <w:sz w:val="21"/>
                <w:szCs w:val="21"/>
                <w:lang w:eastAsia="en-GB"/>
              </w:rPr>
            </w:pPr>
          </w:p>
          <w:p w14:paraId="75668AC2" w14:textId="45B79537" w:rsidR="007B2E39" w:rsidRPr="00C85F0C" w:rsidRDefault="00C85F0C" w:rsidP="00854367">
            <w:pPr>
              <w:pStyle w:val="MSubHeader"/>
            </w:pPr>
            <w:r w:rsidRPr="00573631">
              <w:t>References:</w:t>
            </w: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3FA1667E" w14:textId="77777777" w:rsidR="00E8695F" w:rsidRPr="008C4056" w:rsidRDefault="00E8695F" w:rsidP="00E8695F">
      <w:pPr>
        <w:pStyle w:val="FootnoteText"/>
        <w:jc w:val="both"/>
        <w:rPr>
          <w:sz w:val="18"/>
          <w:szCs w:val="18"/>
        </w:rPr>
      </w:pPr>
      <w:r w:rsidRPr="00AA3C37">
        <w:rPr>
          <w:rFonts w:eastAsia="Times New Roman" w:cs="Times New Roman"/>
          <w:color w:val="4A4A4A"/>
          <w:sz w:val="18"/>
          <w:szCs w:val="18"/>
          <w:vertAlign w:val="superscript"/>
          <w:lang w:val="en-US" w:eastAsia="en-GB"/>
        </w:rPr>
        <w:footnoteRef/>
      </w:r>
      <w:r w:rsidRPr="00AA3C37">
        <w:rPr>
          <w:rFonts w:eastAsia="Times New Roman" w:cs="Times New Roman"/>
          <w:color w:val="4A4A4A"/>
          <w:sz w:val="18"/>
          <w:szCs w:val="18"/>
          <w:vertAlign w:val="superscript"/>
          <w:lang w:val="en-US" w:eastAsia="en-GB"/>
        </w:rPr>
        <w:t xml:space="preserve"> </w:t>
      </w:r>
      <w:r w:rsidRPr="008C4056">
        <w:rPr>
          <w:rFonts w:eastAsia="Times New Roman" w:cs="Times New Roman"/>
          <w:color w:val="4A4A4A"/>
          <w:sz w:val="18"/>
          <w:szCs w:val="18"/>
          <w:lang w:val="en-US" w:eastAsia="en-GB"/>
        </w:rPr>
        <w:t xml:space="preserve"> The parameters presented below are based on the obligations of the Parties to transmit information to the Secretariat, whatever its national circumstances.  Other information that only needs to be communicated to the Secretariat based on national circumstances, such  as a possible national definitions of hazardous wastes, possible article 11 agreements under the Basel Convention, or a possible exemptions under the Stockholm Convention would not be included, either because the Secretariat is not in a position to assess whether the obligation to transmit information has materialized itself, or because Parties have the right not to make use of a right.</w:t>
      </w:r>
    </w:p>
  </w:footnote>
  <w:footnote w:id="2">
    <w:p w14:paraId="58F08C63" w14:textId="77777777" w:rsidR="00732ED3" w:rsidRDefault="00732ED3" w:rsidP="00732ED3">
      <w:pPr>
        <w:pStyle w:val="FootnoteText"/>
        <w:jc w:val="both"/>
      </w:pPr>
      <w:r w:rsidRPr="00A318D3">
        <w:rPr>
          <w:rFonts w:eastAsia="Times New Roman" w:cs="Times New Roman"/>
          <w:color w:val="595959" w:themeColor="text1" w:themeTint="A6"/>
          <w:sz w:val="18"/>
          <w:szCs w:val="18"/>
          <w:vertAlign w:val="superscript"/>
          <w:lang w:eastAsia="en-GB"/>
        </w:rPr>
        <w:footnoteRef/>
      </w:r>
      <w:r w:rsidRPr="00A318D3">
        <w:rPr>
          <w:rFonts w:eastAsia="Times New Roman" w:cs="Times New Roman"/>
          <w:color w:val="595959" w:themeColor="text1" w:themeTint="A6"/>
          <w:sz w:val="18"/>
          <w:szCs w:val="18"/>
          <w:u w:val="single"/>
          <w:lang w:eastAsia="en-GB"/>
        </w:rPr>
        <w:t xml:space="preserve"> </w:t>
      </w:r>
      <w:r w:rsidRPr="006975D7">
        <w:rPr>
          <w:rFonts w:eastAsia="Times New Roman" w:cs="Times New Roman"/>
          <w:color w:val="595959" w:themeColor="text1" w:themeTint="A6"/>
          <w:sz w:val="18"/>
          <w:szCs w:val="18"/>
          <w:lang w:eastAsia="en-GB"/>
        </w:rPr>
        <w:t>Applicable to Parties bound by the amendments to the Stockholm Convention.  Parties that are not bound by the amendments will by default receive one point for each such amendment.</w:t>
      </w:r>
      <w:r>
        <w:rPr>
          <w:sz w:val="18"/>
        </w:rPr>
        <w:t xml:space="preserve"> </w:t>
      </w:r>
    </w:p>
  </w:footnote>
  <w:footnote w:id="3">
    <w:p w14:paraId="6AF8DC67" w14:textId="77777777" w:rsidR="00732ED3" w:rsidRPr="00AD45CC" w:rsidRDefault="00732ED3" w:rsidP="00732ED3">
      <w:pPr>
        <w:pStyle w:val="FootnoteText"/>
        <w:jc w:val="both"/>
        <w:rPr>
          <w:sz w:val="18"/>
          <w:szCs w:val="18"/>
          <w:lang w:val="en-US"/>
        </w:rPr>
      </w:pPr>
      <w:r w:rsidRPr="002579F6">
        <w:rPr>
          <w:rFonts w:eastAsia="Times New Roman" w:cs="Times New Roman"/>
          <w:color w:val="595959" w:themeColor="text1" w:themeTint="A6"/>
          <w:sz w:val="18"/>
          <w:szCs w:val="18"/>
          <w:vertAlign w:val="superscript"/>
          <w:lang w:eastAsia="en-GB"/>
        </w:rPr>
        <w:footnoteRef/>
      </w:r>
      <w:r w:rsidRPr="002579F6">
        <w:rPr>
          <w:rFonts w:eastAsia="Times New Roman" w:cs="Times New Roman"/>
          <w:color w:val="595959" w:themeColor="text1" w:themeTint="A6"/>
          <w:sz w:val="18"/>
          <w:szCs w:val="18"/>
          <w:lang w:eastAsia="en-GB"/>
        </w:rPr>
        <w:t xml:space="preserve"> </w:t>
      </w:r>
      <w:r w:rsidRPr="006975D7">
        <w:rPr>
          <w:rFonts w:eastAsia="Times New Roman" w:cs="Times New Roman"/>
          <w:color w:val="595959" w:themeColor="text1" w:themeTint="A6"/>
          <w:sz w:val="18"/>
          <w:szCs w:val="18"/>
          <w:lang w:eastAsia="en-GB"/>
        </w:rPr>
        <w:t>Please note that at the moment data is not available for the Minamata Convention. The timing of submission of reporting is not yet decided.</w:t>
      </w:r>
      <w:r w:rsidRPr="002579F6">
        <w:rPr>
          <w:color w:val="595959" w:themeColor="text1" w:themeTint="A6"/>
          <w:sz w:val="18"/>
          <w:szCs w:val="18"/>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7981"/>
    <w:multiLevelType w:val="hybridMultilevel"/>
    <w:tmpl w:val="27E4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7565B"/>
    <w:multiLevelType w:val="hybridMultilevel"/>
    <w:tmpl w:val="5276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50769"/>
    <w:multiLevelType w:val="hybridMultilevel"/>
    <w:tmpl w:val="C4322E3C"/>
    <w:lvl w:ilvl="0" w:tplc="28E8B6A6">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82AC6"/>
    <w:multiLevelType w:val="hybridMultilevel"/>
    <w:tmpl w:val="62EC6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3236B"/>
    <w:multiLevelType w:val="hybridMultilevel"/>
    <w:tmpl w:val="E6D4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56EA5"/>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C28AA"/>
    <w:multiLevelType w:val="hybridMultilevel"/>
    <w:tmpl w:val="748A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D5044"/>
    <w:multiLevelType w:val="hybridMultilevel"/>
    <w:tmpl w:val="31D4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D7AA3"/>
    <w:multiLevelType w:val="hybridMultilevel"/>
    <w:tmpl w:val="3CA4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D421A"/>
    <w:multiLevelType w:val="hybridMultilevel"/>
    <w:tmpl w:val="36E2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8365B"/>
    <w:multiLevelType w:val="hybridMultilevel"/>
    <w:tmpl w:val="04C8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84E77"/>
    <w:multiLevelType w:val="hybridMultilevel"/>
    <w:tmpl w:val="A34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31915"/>
    <w:multiLevelType w:val="hybridMultilevel"/>
    <w:tmpl w:val="EDB2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6C7E6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B39CC"/>
    <w:multiLevelType w:val="hybridMultilevel"/>
    <w:tmpl w:val="F492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6"/>
  </w:num>
  <w:num w:numId="4">
    <w:abstractNumId w:val="7"/>
  </w:num>
  <w:num w:numId="5">
    <w:abstractNumId w:val="18"/>
  </w:num>
  <w:num w:numId="6">
    <w:abstractNumId w:val="14"/>
  </w:num>
  <w:num w:numId="7">
    <w:abstractNumId w:val="1"/>
  </w:num>
  <w:num w:numId="8">
    <w:abstractNumId w:val="19"/>
  </w:num>
  <w:num w:numId="9">
    <w:abstractNumId w:val="0"/>
  </w:num>
  <w:num w:numId="10">
    <w:abstractNumId w:val="4"/>
  </w:num>
  <w:num w:numId="11">
    <w:abstractNumId w:val="11"/>
  </w:num>
  <w:num w:numId="12">
    <w:abstractNumId w:val="21"/>
  </w:num>
  <w:num w:numId="13">
    <w:abstractNumId w:val="9"/>
  </w:num>
  <w:num w:numId="14">
    <w:abstractNumId w:val="12"/>
  </w:num>
  <w:num w:numId="15">
    <w:abstractNumId w:val="17"/>
  </w:num>
  <w:num w:numId="16">
    <w:abstractNumId w:val="2"/>
  </w:num>
  <w:num w:numId="17">
    <w:abstractNumId w:val="20"/>
  </w:num>
  <w:num w:numId="18">
    <w:abstractNumId w:val="8"/>
  </w:num>
  <w:num w:numId="19">
    <w:abstractNumId w:val="13"/>
  </w:num>
  <w:num w:numId="20">
    <w:abstractNumId w:val="15"/>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470D"/>
    <w:rsid w:val="00010F51"/>
    <w:rsid w:val="000149A9"/>
    <w:rsid w:val="0001762F"/>
    <w:rsid w:val="00021CC6"/>
    <w:rsid w:val="000368A0"/>
    <w:rsid w:val="00042B85"/>
    <w:rsid w:val="000434EA"/>
    <w:rsid w:val="000639BB"/>
    <w:rsid w:val="000716CF"/>
    <w:rsid w:val="00072A02"/>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122E"/>
    <w:rsid w:val="00183788"/>
    <w:rsid w:val="0018734D"/>
    <w:rsid w:val="001A0E35"/>
    <w:rsid w:val="001A6F28"/>
    <w:rsid w:val="001C1BC2"/>
    <w:rsid w:val="001C486C"/>
    <w:rsid w:val="001E4E9D"/>
    <w:rsid w:val="001F0C55"/>
    <w:rsid w:val="001F31C6"/>
    <w:rsid w:val="00202B2D"/>
    <w:rsid w:val="0020618B"/>
    <w:rsid w:val="00216ABC"/>
    <w:rsid w:val="0022035F"/>
    <w:rsid w:val="002313D6"/>
    <w:rsid w:val="00235F8D"/>
    <w:rsid w:val="002421DF"/>
    <w:rsid w:val="002525CC"/>
    <w:rsid w:val="00266557"/>
    <w:rsid w:val="002806B7"/>
    <w:rsid w:val="0029558C"/>
    <w:rsid w:val="002A631A"/>
    <w:rsid w:val="002A6E7E"/>
    <w:rsid w:val="002C550A"/>
    <w:rsid w:val="002C590D"/>
    <w:rsid w:val="002C7F7E"/>
    <w:rsid w:val="002E449E"/>
    <w:rsid w:val="002E6DA3"/>
    <w:rsid w:val="00316CFE"/>
    <w:rsid w:val="00325D2B"/>
    <w:rsid w:val="00344199"/>
    <w:rsid w:val="00352386"/>
    <w:rsid w:val="0035311B"/>
    <w:rsid w:val="00355460"/>
    <w:rsid w:val="00372D21"/>
    <w:rsid w:val="00380958"/>
    <w:rsid w:val="0039535F"/>
    <w:rsid w:val="003A3746"/>
    <w:rsid w:val="003B3C76"/>
    <w:rsid w:val="003E405E"/>
    <w:rsid w:val="003E7389"/>
    <w:rsid w:val="003E7F33"/>
    <w:rsid w:val="00406367"/>
    <w:rsid w:val="00406983"/>
    <w:rsid w:val="00413337"/>
    <w:rsid w:val="00416A6D"/>
    <w:rsid w:val="00417B9F"/>
    <w:rsid w:val="00430958"/>
    <w:rsid w:val="00431B2F"/>
    <w:rsid w:val="00433D18"/>
    <w:rsid w:val="0044044E"/>
    <w:rsid w:val="00462DB8"/>
    <w:rsid w:val="00463306"/>
    <w:rsid w:val="00470BED"/>
    <w:rsid w:val="00490C58"/>
    <w:rsid w:val="004962C5"/>
    <w:rsid w:val="004A31AD"/>
    <w:rsid w:val="004B0C7C"/>
    <w:rsid w:val="004C06A8"/>
    <w:rsid w:val="004C665C"/>
    <w:rsid w:val="004D4C8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86588"/>
    <w:rsid w:val="005B657A"/>
    <w:rsid w:val="005C091C"/>
    <w:rsid w:val="005C511F"/>
    <w:rsid w:val="005C570B"/>
    <w:rsid w:val="005C76A1"/>
    <w:rsid w:val="005F7B42"/>
    <w:rsid w:val="00604A6A"/>
    <w:rsid w:val="00611159"/>
    <w:rsid w:val="00633477"/>
    <w:rsid w:val="006358A6"/>
    <w:rsid w:val="00643134"/>
    <w:rsid w:val="006459EE"/>
    <w:rsid w:val="006560A4"/>
    <w:rsid w:val="0068379D"/>
    <w:rsid w:val="00693674"/>
    <w:rsid w:val="006975D7"/>
    <w:rsid w:val="006B0512"/>
    <w:rsid w:val="006B0FA2"/>
    <w:rsid w:val="006B3527"/>
    <w:rsid w:val="006C6153"/>
    <w:rsid w:val="006C6768"/>
    <w:rsid w:val="006F2038"/>
    <w:rsid w:val="006F50E8"/>
    <w:rsid w:val="007100BD"/>
    <w:rsid w:val="00732ED3"/>
    <w:rsid w:val="00736C4F"/>
    <w:rsid w:val="00761303"/>
    <w:rsid w:val="00776312"/>
    <w:rsid w:val="007A078A"/>
    <w:rsid w:val="007A2617"/>
    <w:rsid w:val="007A28BA"/>
    <w:rsid w:val="007B2E39"/>
    <w:rsid w:val="007C2571"/>
    <w:rsid w:val="007C63C4"/>
    <w:rsid w:val="007E4EE0"/>
    <w:rsid w:val="007F2D9F"/>
    <w:rsid w:val="007F5448"/>
    <w:rsid w:val="007F6520"/>
    <w:rsid w:val="0085436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53C4F"/>
    <w:rsid w:val="00A67357"/>
    <w:rsid w:val="00A91915"/>
    <w:rsid w:val="00A92C73"/>
    <w:rsid w:val="00AA25DD"/>
    <w:rsid w:val="00AA38A9"/>
    <w:rsid w:val="00AB65AE"/>
    <w:rsid w:val="00AC62D1"/>
    <w:rsid w:val="00AD26C4"/>
    <w:rsid w:val="00AE7A74"/>
    <w:rsid w:val="00AF2FE1"/>
    <w:rsid w:val="00B03B28"/>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721B8"/>
    <w:rsid w:val="00C85F0C"/>
    <w:rsid w:val="00C94E79"/>
    <w:rsid w:val="00CA6252"/>
    <w:rsid w:val="00CC5969"/>
    <w:rsid w:val="00CD4533"/>
    <w:rsid w:val="00CF4869"/>
    <w:rsid w:val="00CF504E"/>
    <w:rsid w:val="00D12D35"/>
    <w:rsid w:val="00D15AD5"/>
    <w:rsid w:val="00D165CA"/>
    <w:rsid w:val="00D17114"/>
    <w:rsid w:val="00D20479"/>
    <w:rsid w:val="00D51841"/>
    <w:rsid w:val="00D5600C"/>
    <w:rsid w:val="00D815D9"/>
    <w:rsid w:val="00D855E8"/>
    <w:rsid w:val="00DC4AE7"/>
    <w:rsid w:val="00DE10A6"/>
    <w:rsid w:val="00DE2679"/>
    <w:rsid w:val="00DF78A7"/>
    <w:rsid w:val="00E07CA1"/>
    <w:rsid w:val="00E13749"/>
    <w:rsid w:val="00E44F28"/>
    <w:rsid w:val="00E51B2C"/>
    <w:rsid w:val="00E613BC"/>
    <w:rsid w:val="00E63DC3"/>
    <w:rsid w:val="00E66CDC"/>
    <w:rsid w:val="00E67E00"/>
    <w:rsid w:val="00E74F47"/>
    <w:rsid w:val="00E842C7"/>
    <w:rsid w:val="00E8695F"/>
    <w:rsid w:val="00E953DB"/>
    <w:rsid w:val="00E953F3"/>
    <w:rsid w:val="00EA1C17"/>
    <w:rsid w:val="00EA6E73"/>
    <w:rsid w:val="00EC064B"/>
    <w:rsid w:val="00EC6024"/>
    <w:rsid w:val="00ED2AE7"/>
    <w:rsid w:val="00F00FDD"/>
    <w:rsid w:val="00F02B1E"/>
    <w:rsid w:val="00F0345F"/>
    <w:rsid w:val="00F07040"/>
    <w:rsid w:val="00F2310E"/>
    <w:rsid w:val="00F75853"/>
    <w:rsid w:val="00F8144F"/>
    <w:rsid w:val="00F862A7"/>
    <w:rsid w:val="00F90988"/>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customStyle="1" w:styleId="NormalNonumber">
    <w:name w:val="Normal_No_number"/>
    <w:basedOn w:val="Normal"/>
    <w:rsid w:val="0044044E"/>
    <w:pPr>
      <w:tabs>
        <w:tab w:val="left" w:pos="1247"/>
        <w:tab w:val="left" w:pos="1814"/>
        <w:tab w:val="left" w:pos="2381"/>
        <w:tab w:val="left" w:pos="2948"/>
        <w:tab w:val="left" w:pos="3515"/>
        <w:tab w:val="left" w:pos="4082"/>
      </w:tabs>
      <w:spacing w:after="120" w:line="240" w:lineRule="auto"/>
      <w:ind w:left="1247"/>
    </w:pPr>
    <w:rPr>
      <w:rFonts w:ascii="Times New Roman" w:eastAsia="Times New Roman" w:hAnsi="Times New Roman" w:cs="Times New Roman"/>
      <w:sz w:val="20"/>
      <w:szCs w:val="20"/>
      <w:lang w:val="fr-CA"/>
    </w:rPr>
  </w:style>
  <w:style w:type="paragraph" w:customStyle="1" w:styleId="MSubSubHead">
    <w:name w:val="M.SubSubHead"/>
    <w:basedOn w:val="MText"/>
    <w:qFormat/>
    <w:rsid w:val="00586588"/>
    <w:pPr>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m.pops.int/Portals/0/Repository/conf/UNEP-POPS-CONF-4-AppendixII.5206ab9e-ca67-42a7-afee-9d90720553c8.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e-uneplive.unep.org/media/docs/graphs/aggregation_methods.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A05D-26AE-4B4A-8F02-3E3E3A4D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38</cp:revision>
  <cp:lastPrinted>2020-04-16T14:23:00Z</cp:lastPrinted>
  <dcterms:created xsi:type="dcterms:W3CDTF">2020-04-27T18:03:00Z</dcterms:created>
  <dcterms:modified xsi:type="dcterms:W3CDTF">2020-04-27T19:18:00Z</dcterms:modified>
</cp:coreProperties>
</file>