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E17B1A" w14:textId="4CAA4ACE" w:rsidR="00355460" w:rsidRPr="00837EC7" w:rsidRDefault="00355460" w:rsidP="00316CFE">
      <w:pPr>
        <w:pStyle w:val="MHeader"/>
        <w:outlineLvl w:val="0"/>
      </w:pPr>
      <w:bookmarkStart w:id="0" w:name="_Toc37932741"/>
      <w:r w:rsidRPr="00837EC7">
        <w:t>Metadata Attachment</w:t>
      </w:r>
      <w:bookmarkEnd w:id="0"/>
    </w:p>
    <w:p w14:paraId="083C8FDB" w14:textId="77777777" w:rsidR="00355460" w:rsidRPr="00837EC7" w:rsidRDefault="00355460" w:rsidP="002806B7">
      <w:pPr>
        <w:spacing w:after="0"/>
        <w:rPr>
          <w:sz w:val="26"/>
          <w:szCs w:val="26"/>
        </w:rPr>
      </w:pPr>
      <w:r w:rsidRPr="00837EC7">
        <w:rPr>
          <w:sz w:val="26"/>
          <w:szCs w:val="26"/>
        </w:rPr>
        <w:t>Reporting type</w:t>
      </w:r>
    </w:p>
    <w:sdt>
      <w:sdtPr>
        <w:alias w:val="Reporting Type"/>
        <w:tag w:val="Reporting Type"/>
        <w:id w:val="-136573180"/>
        <w:placeholder>
          <w:docPart w:val="59417864E48A4385BAA7145B59086F31"/>
        </w:placeholder>
        <w:showingPlcHdr/>
        <w:dropDownList>
          <w:listItem w:displayText="Global" w:value="G"/>
          <w:listItem w:displayText="National" w:value="N"/>
        </w:dropDownList>
      </w:sdtPr>
      <w:sdtEndPr/>
      <w:sdtContent>
        <w:p w14:paraId="16677E55" w14:textId="77777777" w:rsidR="00355460" w:rsidRPr="00837EC7" w:rsidRDefault="00355460" w:rsidP="00355460">
          <w:r w:rsidRPr="00837EC7">
            <w:rPr>
              <w:rStyle w:val="PlaceholderText"/>
            </w:rPr>
            <w:t>Choose an item.</w:t>
          </w:r>
        </w:p>
      </w:sdtContent>
    </w:sdt>
    <w:p w14:paraId="1B663815" w14:textId="77777777" w:rsidR="00355460" w:rsidRPr="00837EC7" w:rsidRDefault="00355460" w:rsidP="002806B7">
      <w:pPr>
        <w:spacing w:after="0"/>
        <w:rPr>
          <w:sz w:val="26"/>
          <w:szCs w:val="26"/>
        </w:rPr>
      </w:pPr>
      <w:r w:rsidRPr="00837EC7">
        <w:rPr>
          <w:sz w:val="26"/>
          <w:szCs w:val="26"/>
        </w:rPr>
        <w:t>SDG series</w:t>
      </w:r>
    </w:p>
    <w:sdt>
      <w:sdtPr>
        <w:alias w:val="SDG Series"/>
        <w:tag w:val="ddSeries"/>
        <w:id w:val="590363093"/>
        <w:placeholder>
          <w:docPart w:val="53AE4642672B40F488B6B9BA5FC5257E"/>
        </w:placeholder>
        <w:showingPlcHdr/>
        <w:dropDownList>
          <w:listItem w:displayText="1.1.1  Proportion of population below international poverty line" w:value="1.1.1  Proportion of population below international poverty line"/>
          <w:listItem w:displayText="1.1.1  Employed population below international poverty line" w:value="1.1.1  Employed population below international poverty line"/>
          <w:listItem w:displayText="1.2.1  Proportion of population living below the national poverty line" w:value="1.2.1  Proportion of population living below the national poverty line"/>
          <w:listItem w:displayText="1.2.2  Proportion of population living in poverty in all its dimensions according to national definitions" w:value="1.2.2  Proportion of population living in poverty in all its dimensions according to national definitions"/>
          <w:listItem w:displayText="1.3.1  Proportion of population covered by at least one social protection benefit" w:value="1.3.1  Proportion of population covered by at least one social protection benefit"/>
          <w:listItem w:displayText="1.3.1  Proportion of children/households receiving child/family cash benefit" w:value="1.3.1  Proportion of children/households receiving child/family cash benefit"/>
          <w:listItem w:displayText="1.3.1  Proportion of population with severe disabilities receiving disability cash benefit" w:value="1.3.1  Proportion of population with severe disabilities receiving disability cash benefit"/>
          <w:listItem w:displayText="1.3.1  Proportion of population covered by labour market programs" w:value="1.3.1  Proportion of population covered by labour market programs"/>
          <w:listItem w:displayText="1.3.1  Proportion of mothers with newborns receiving maternity cash benefit" w:value="1.3.1  Proportion of mothers with newborns receiving maternity cash benefit"/>
          <w:listItem w:displayText="1.3.1  Proportion of population above statutory pensionable age receiving a pension" w:value="1.3.1  Proportion of population above statutory pensionable age receiving a pension"/>
          <w:listItem w:displayText="1.3.1  Proportion of poor population receiving social assistance cash benefit" w:value="1.3.1  Proportion of poor population receiving social assistance cash benefit"/>
          <w:listItem w:displayText="1.3.1  Proportion of population covered by social assistance programs" w:value="1.3.1  Proportion of population covered by social assistance programs"/>
          <w:listItem w:displayText="1.3.1  Proportion of population covered by social insurance programs" w:value="1.3.1  Proportion of population covered by social insurance programs"/>
          <w:listItem w:displayText="1.3.1  Proportion of unemployed persons receiving unemployment cash benefit" w:value="1.3.1  Proportion of unemployed persons receiving unemployment cash benefit"/>
          <w:listItem w:displayText="1.3.1  Proportion of vulnerable population receiving social assistance cash benefit" w:value="1.3.1  Proportion of vulnerable population receiving social assistance cash benefit"/>
          <w:listItem w:displayText="1.3.1  Proportion of employed population covered in the event of work injury" w:value="1.3.1  Proportion of employed population covered in the event of work injury"/>
          <w:listItem w:displayText="1.4.1  Proportion of population living in households with access to basic services" w:value="1.4.1  Proportion of population living in households with access to basic services"/>
          <w:listItem w:displayText="1.4.2  Proportion of total adult population with secure tenure rights to land,  with legally recognized documentation" w:value="1.4.2  Proportion of total adult population with secure tenure rights to land,  with legally recognized documentation"/>
          <w:listItem w:displayText="1.4.2  Proportion of total adult population with secure tenure rights to land who perceive their rights to land as secure" w:value="1.4.2  Proportion of total adult population with secure tenure rights to land who perceive their rights to land as secure"/>
          <w:listItem w:displayText="1.5.1, 11.5.1, 13.1.1 Number of missing persons due to disaster" w:value="1.5.1, 11.5.1, 13.1.1 Number of missing persons due to disaster"/>
          <w:listItem w:displayText="1.5.1, 11.5.1, 13.1.1 Number of people affected by disaster" w:value="1.5.1, 11.5.1, 13.1.1 Number of people affected by disaster"/>
          <w:listItem w:displayText="1.5.1, 11.5.1, 13.1.1 Number of deaths due to disaster" w:value="1.5.1, 11.5.1, 13.1.1 Number of deaths due to disaster"/>
          <w:listItem w:displayText="1.5.1, 11.5.1, 13.1.1 Number of deaths and missing persons attributed to disasters per 100,000 population" w:value="1.5.1, 11.5.1, 13.1.1 Number of deaths and missing persons attributed to disasters per 100,000 population"/>
          <w:listItem w:displayText="1.5.1, 11.5.1, 13.1.1 Number of deaths and missing persons attributed to disasters" w:value="1.5.1, 11.5.1, 13.1.1 Number of deaths and missing persons attributed to disasters"/>
          <w:listItem w:displayText="1.5.1, 11.5.1, 13.1.1 Number of directly affected persons attributed to disasters per 100,000 population" w:value="1.5.1, 11.5.1, 13.1.1 Number of directly affected persons attributed to disasters per 100,000 population"/>
          <w:listItem w:displayText="1.5.1, 11.5.1, 13.1.1 Number of injured or ill people attributed to disasters" w:value="1.5.1, 11.5.1, 13.1.1 Number of injured or ill people attributed to disasters"/>
          <w:listItem w:displayText="1.5.1, 11.5.1, 13.1.1 Number of people whose damaged dwellings were attributed to disasters" w:value="1.5.1, 11.5.1, 13.1.1 Number of people whose damaged dwellings were attributed to disasters"/>
          <w:listItem w:displayText="1.5.1, 11.5.1, 13.1.1 Number damaged dwellings attributed to disasters" w:value="1.5.1, 11.5.1, 13.1.1 Number damaged dwellings attributed to disasters"/>
          <w:listItem w:displayText="1.5.1, 11.5.1, 13.1.1 Number of people whose destroyed dwellings were attributed to disasters" w:value="1.5.1, 11.5.1, 13.1.1 Number of people whose destroyed dwellings were attributed to disasters"/>
          <w:listItem w:displayText="1.5.1, 11.5.1, 13.1.1 Number of destroyed dwellings attributed to disasters" w:value="1.5.1, 11.5.1, 13.1.1 Number of destroyed dwellings attributed to disasters"/>
          <w:listItem w:displayText="1.5.1, 11.5.1, 13.1.1 Number of people whose livelihoods were disrupted or destroyed, attributed to disasters" w:value="1.5.1, 11.5.1, 13.1.1 Number of people whose livelihoods were disrupted or destroyed, attributed to disasters"/>
          <w:listItem w:displayText="1.5.1, 11.5.1, 13.1.1 Number destroyed dwellings attributed to disasters, by hazard type" w:value="1.5.1, 11.5.1, 13.1.1 Number destroyed dwellings attributed to disasters, by hazard type"/>
          <w:listItem w:displayText="1.5.2  Direct economic loss attributed to disasters" w:value="1.5.2  Direct economic loss attributed to disasters"/>
          <w:listItem w:displayText="1.5.2, 11.5.2 Direct economic loss attributed to disasters relative to GDP" w:value="1.5.2, 11.5.2 Direct economic loss attributed to disasters relative to GDP"/>
          <w:listItem w:displayText="1.5.2, 11.5.2 Direct agriculture loss attributed to disasters" w:value="1.5.2, 11.5.2 Direct agriculture loss attributed to disasters"/>
          <w:listItem w:displayText="1.5.2, 11.5.2 Direct economic loss in the housing sector attributed to disasters, by hazard type (millions of current United States dollars)" w:value="1.5.2, 11.5.2 Direct economic loss in the housing sector attributed to disasters, by hazard type (millions of current United States dollars)"/>
          <w:listItem w:displayText="1.5.2, 11.5.2 Direct economic loss resulting from damaged or destroyed critical infrastructure attributed to disasters" w:value="1.5.2, 11.5.2 Direct economic loss resulting from damaged or destroyed critical infrastructure attributed to disasters"/>
          <w:listItem w:displayText="1.5.2, 11.5.2 Direct economic loss to cultural heritage damaged or destroyed attributed to disasters" w:value="1.5.2, 11.5.2 Direct economic loss to cultural heritage damaged or destroyed attributed to disasters"/>
          <w:listItem w:displayText="1.5.2, 11.5.2 Direct economic loss to other damaged or destroyed productive assets attributed to disasters" w:value="1.5.2, 11.5.2 Direct economic loss to other damaged or destroyed productive assets attributed to disasters"/>
          <w:listItem w:displayText="1.5.3  Countries with legislative and/or regulatory provisions been made for managing disaster risk (1 = YES; 0 = NO)" w:value="1.5.3  Countries with legislative and/or regulatory provisions been made for managing disaster risk (1 = YES; 0 = NO)"/>
          <w:listItem w:displayText="1.5.3, 11.b.1, 13.1.2 Score of adoption and implementation of national DRR strategies in line with the Sendai Framework" w:value="1.5.3, 11.b.1, 13.1.2 Score of adoption and implementation of national DRR strategies in line with the Sendai Framework"/>
          <w:listItem w:displayText="1.5.4, 11.b.2, 13.1.3 Proportion of local governments that adopt and implement local disaster risk reduction strategies in line with national disaster risk reduction strategies" w:value="1.5.4, 11.b.2, 13.1.3 Proportion of local governments that adopt and implement local disaster risk reduction strategies in line with national disaster risk reduction strategies"/>
          <w:listItem w:displayText="1.5.4, 11.b.2, 13.1.3 Number of local governments that adopt and implement local DRR strategies in line with national strategies" w:value="1.5.4, 11.b.2, 13.1.3 Number of local governments that adopt and implement local DRR strategies in line with national strategies"/>
          <w:listItem w:displayText="1.5.4, 11.b.2, 13.1.3 Number of local governments" w:value="1.5.4, 11.b.2, 13.1.3 Number of local governments"/>
          <w:listItem w:displayText="1.a.1  Proportion of domestically generated resources allocated by the government directly to poverty reduction programmes" w:value="1.a.1  Proportion of domestically generated resources allocated by the government directly to poverty reduction programmes"/>
          <w:listItem w:displayText="1.a.2 Proportion of total government spending on health" w:value="1.a.2 Proportion of total government spending on health"/>
          <w:listItem w:displayText="1.a.2 Proportion of total government spending on social protection" w:value="1.a.2 Proportion of total government spending on social protection"/>
          <w:listItem w:displayText="1.a.2 Proportion of total government spending on essential services, education" w:value="1.a.2 Proportion of total government spending on essential services, education"/>
          <w:listItem w:displayText="1.a.3  Sum of total grants and non-debt-creating inflows directly allocated to poverty reduction programmes as a proportion of GDP" w:value="1.a.3  Sum of total grants and non-debt-creating inflows directly allocated to poverty reduction programmes as a proportion of GDP"/>
          <w:listItem w:displayText="1.b.1  Proportion of government recurrent and capital spending to sectors that disproportionately benefit women, the poor and vulnerable groups" w:value="1.b.1  Proportion of government recurrent and capital spending to sectors that disproportionately benefit women, the poor and vulnerable groups"/>
          <w:listItem w:displayText="2.1.1  Prevalence of undernourishment" w:value="2.1.1  Prevalence of undernourishment"/>
          <w:listItem w:displayText="2.1.1 Number of undernourish people" w:value="2.1.1 Number of undernourish people"/>
          <w:listItem w:displayText="2.1.2  Prevalence of moderate or severe food insecurity in the population" w:value="2.1.2  Prevalence of moderate or severe food insecurity in the population"/>
          <w:listItem w:displayText="2.1.2  Population in moderate or severe food insecurity (number)" w:value="2.1.2  Population in moderate or severe food insecurity (number)"/>
          <w:listItem w:displayText="2.1.2  Population living in households where at least one adult experienced moderate or severe food insecurity (number)" w:value="2.1.2  Population living in households where at least one adult experienced moderate or severe food insecurity (number)"/>
          <w:listItem w:displayText="2.1.2  Prevalence of severe food insecurity in the population" w:value="2.1.2  Prevalence of severe food insecurity in the population"/>
          <w:listItem w:displayText="2.1.2  Population in severe food insecurity (number)" w:value="2.1.2  Population in severe food insecurity (number)"/>
          <w:listItem w:displayText="2.1.2  Population living in households where at least one adult experienced severe food insecurity (number)" w:value="2.1.2  Population living in households where at least one adult experienced severe food insecurity (number)"/>
          <w:listItem w:displayText="2.2.1  Proportion of children moderately or severely stunted" w:value="2.2.1  Proportion of children moderately or severely stunted"/>
          <w:listItem w:displayText="2.2.1  Children moderately or severely stunted (number)" w:value="2.2.1  Children moderately or severely stunted (number)"/>
          <w:listItem w:displayText="2.2.2  Proportion of children moderately or severely wasted" w:value="2.2.2  Proportion of children moderately or severely wasted"/>
          <w:listItem w:displayText="2.2.2  Children moderately or severely wasted (number)" w:value="2.2.2  Children moderately or severely wasted (number)"/>
          <w:listItem w:displayText="2.2.2  Proportion of children moderately or severely overweight" w:value="2.2.2  Proportion of children moderately or severely overweight"/>
          <w:listItem w:displayText="2.2.2  Children moderately or severely overweight (number)" w:value="2.2.2  Children moderately or severely overweight (number)"/>
          <w:listItem w:displayText="2.3.1 Productivity of small-scale food producers" w:value="2.3.1 Productivity of small-scale food producers"/>
          <w:listItem w:displayText="2.3.2 Average income of small-scale food producers" w:value="2.3.2 Average income of small-scale food producers"/>
          <w:listItem w:displayText="2.4.1 Proportion of agricultural area under productive and sustainable agriculture" w:value="2.4.1 Proportion of agricultural area under productive and sustainable agriculture"/>
          <w:listItem w:displayText="2.5.1  Number of local breeds kept in the country" w:value="2.5.1  Number of local breeds kept in the country"/>
          <w:listItem w:displayText="2.5.1  Proportion of local breeds for which sufficient genetic resources are stored for reconstitution" w:value="2.5.1  Proportion of local breeds for which sufficient genetic resources are stored for reconstitution"/>
          <w:listItem w:displayText="2.5.1  Number of local breeds for which sufficient genetic resources are stored for reconstitution" w:value="2.5.1  Number of local breeds for which sufficient genetic resources are stored for reconstitution"/>
          <w:listItem w:displayText="2.5.1  Proportion of local breeds with genetic material stored" w:value="2.5.1  Proportion of local breeds with genetic material stored"/>
          <w:listItem w:displayText="2.5.1  Number of local breeds with genetic material stored" w:value="2.5.1  Number of local breeds with genetic material stored"/>
          <w:listItem w:displayText="2.5.1  Operational in vitro gene bank for animal genetic resources" w:value="2.5.1  Operational in vitro gene bank for animal genetic resources"/>
          <w:listItem w:displayText="2.5.1  Plant breeds for which sufficient genetic resources are stored (number)" w:value="2.5.1  Plant breeds for which sufficient genetic resources are stored (number)"/>
          <w:listItem w:displayText="2.5.2  Proportion of local breeds classified as being at risk as a percentage of local breeds with known level of extinction risk" w:value="2.5.2  Proportion of local breeds classified as being at risk as a percentage of local breeds with known level of extinction risk"/>
          <w:listItem w:displayText="2.a.1  Agriculture orientation index for government expenditures" w:value="2.a.1  Agriculture orientation index for government expenditures"/>
          <w:listItem w:displayText="2.a.1 Agriculture share of Government Expenditure" w:value="2.a.1 Agriculture share of Government Expenditure"/>
          <w:listItem w:displayText="2.a.1 Agriculture value added share of GDP" w:value="2.a.1 Agriculture value added share of GDP"/>
          <w:listItem w:displayText="2.a.2  Total official flows (disbursements) for agriculture, by recipient countries" w:value="2.a.2  Total official flows (disbursements) for agriculture, by recipient countries"/>
          <w:listItem w:displayText="2.b.1  Agricultural export subsidies" w:value="2.b.1  Agricultural export subsidies"/>
          <w:listItem w:displayText="2.c.1 Indicator of Food Price Anomalies (IFPA)" w:value="2.c.1 Indicator of Food Price Anomalies (IFPA)"/>
          <w:listItem w:displayText="2.c.1 Consumer Food Price Index" w:value="2.c.1 Consumer Food Price Index"/>
          <w:listItem w:displayText="3.1.1  Maternal mortality ratio" w:value="3.1.1  Maternal mortality ratio"/>
          <w:listItem w:displayText="3.1.2  Proportion of births attended by skilled health personnel" w:value="3.1.2  Proportion of births attended by skilled health personnel"/>
          <w:listItem w:displayText="3.2.1  Infant mortality rate" w:value="3.2.1  Infant mortality rate"/>
          <w:listItem w:displayText="3.2.1  Infant deaths (number)" w:value="3.2.1  Infant deaths (number)"/>
          <w:listItem w:displayText="3.2.1  Under-five mortality rate" w:value="3.2.1  Under-five mortality rate"/>
          <w:listItem w:displayText="3.2.1  Under-five deaths (number)" w:value="3.2.1  Under-five deaths (number)"/>
          <w:listItem w:displayText="3.2.2  Neonatal mortality rate" w:value="3.2.2  Neonatal mortality rate"/>
          <w:listItem w:displayText="3.2.2  Neonatal deaths (number)" w:value="3.2.2  Neonatal deaths (number)"/>
          <w:listItem w:displayText="3.3.1  Number of new HIV infections per 1,000 uninfected population" w:value="3.3.1  Number of new HIV infections per 1,000 uninfected population"/>
          <w:listItem w:displayText="3.3.2  Tuberculosis incidence" w:value="3.3.2  Tuberculosis incidence"/>
          <w:listItem w:displayText="3.3.3  Malaria incidence per 1,000 population at risk" w:value="3.3.3  Malaria incidence per 1,000 population at risk"/>
          <w:listItem w:displayText="3.3.4 Prevalence of hepatitis B surface antigen (HBsAg)" w:value="3.3.4 Prevalence of hepatitis B surface antigen (HBsAg)"/>
          <w:listItem w:displayText="3.3.5  Number of people requiring interventions against neglected tropical diseases" w:value="3.3.5  Number of people requiring interventions against neglected tropical diseases"/>
          <w:listItem w:displayText="3.4.1  Deaths attributed non-communicable diseases (number)" w:value="3.4.1  Deaths attributed non-communicable diseases (number)"/>
          <w:listItem w:displayText="3.4.1 Mortality rate attributed to cardiovascular disease, cancer, diabetes or chronic respiratory disease" w:value="3.4.1 Mortality rate attributed to cardiovascular disease, cancer, diabetes or chronic respiratory disease"/>
          <w:listItem w:displayText="3.4.2  Suicide mortality rate" w:value="3.4.2  Suicide mortality rate"/>
          <w:listItem w:displayText="3.4.2  Number of deaths attributed to suicide" w:value="3.4.2  Number of deaths attributed to suicide"/>
          <w:listItem w:displayText="3.5.2  Alcohol consumption per capita (aged 15 years and older) within a calendar year" w:value="3.5.2  Alcohol consumption per capita (aged 15 years and older) within a calendar year"/>
          <w:listItem w:displayText="3.6.1  Death rate due to road traffic injuries" w:value="3.6.1  Death rate due to road traffic injuries"/>
          <w:listItem w:displayText="3.6.1  Number of deaths rate due to road traffic injuries" w:value="3.6.1  Number of deaths rate due to road traffic injuries"/>
          <w:listItem w:displayText="3.7.1  Proportion of women married or in a union of reproductive age (aged 15-49 years) who have their need for family planning satisfied with modern methods" w:value="3.7.1  Proportion of women married or in a union of reproductive age (aged 15-49 years) who have their need for family planning satisfied with modern methods"/>
          <w:listItem w:displayText="3.7.2  Adolescent birth rate (per 1,000 women aged 15-19 years)" w:value="3.7.2  Adolescent birth rate (per 1,000 women aged 15-19 years)"/>
          <w:listItem w:displayText="3.8.1 Universal health coverage (UHC) service coverage index" w:value="3.8.1 Universal health coverage (UHC) service coverage index"/>
          <w:listItem w:displayText="3.8.2 Proportion of population with large household expenditures on health (greater than 25%) as a share of total household expenditure or income" w:value="3.8.2 Proportion of population with large household expenditures on health (greater than 25%) as a share of total household expenditure or income"/>
          <w:listItem w:displayText="3.8.2 Proportion of population with large household expenditures on health (greater than 10%) as a share of total household expenditure or income" w:value="3.8.2 Proportion of population with large household expenditures on health (greater than 10%) as a share of total household expenditure or income"/>
          <w:listItem w:displayText="3.9.1  Age-standardized mortality rate attributed to ambient air pollution" w:value="3.9.1  Age-standardized mortality rate attributed to ambient air pollution"/>
          <w:listItem w:displayText="3.9.1  Crude death rate attributed to ambient air pollution" w:value="3.9.1  Crude death rate attributed to ambient air pollution"/>
          <w:listItem w:displayText="3.9.1  Age-standardized mortality rate attributed to household air pollution" w:value="3.9.1  Age-standardized mortality rate attributed to household air pollution"/>
          <w:listItem w:displayText="3.9.1  Crude death rate attributed to household air pollution" w:value="3.9.1  Crude death rate attributed to household air pollution"/>
          <w:listItem w:displayText="3.9.1  Crude death rate attributed to household and ambient air pollution" w:value="3.9.1  Crude death rate attributed to household and ambient air pollution"/>
          <w:listItem w:displayText="3.9.1  Age-standardized mortality rate attributed to household and ambient air pollution" w:value="3.9.1  Age-standardized mortality rate attributed to household and ambient air pollution"/>
          <w:listItem w:displayText="3.9.2  Mortality rate attributed to unsafe water, unsafe sanitation and lack of hygiene" w:value="3.9.2  Mortality rate attributed to unsafe water, unsafe sanitation and lack of hygiene"/>
          <w:listItem w:displayText="3.9.3  Mortality rate attributed to unintentional poisonings" w:value="3.9.3  Mortality rate attributed to unintentional poisonings"/>
          <w:listItem w:displayText="3.a.1  Age-standardized prevalence of current tobacco use among persons aged 15 years and older" w:value="3.a.1  Age-standardized prevalence of current tobacco use among persons aged 15 years and older"/>
          <w:listItem w:displayText="3.b.1 Proportion of the target population with access to 3 doses of diphtheria-tetanus-pertussis (DTP3)" w:value="3.b.1 Proportion of the target population with access to 3 doses of diphtheria-tetanus-pertussis (DTP3)"/>
          <w:listItem w:displayText="3.b.1 Proportion of the target population with access to measles-containing-vaccine second-dose (MCV2)" w:value="3.b.1 Proportion of the target population with access to measles-containing-vaccine second-dose (MCV2)"/>
          <w:listItem w:displayText="3.b.1 Proportion of the target population with access to pneumococcal conjugate 3rd dose (PCV3)" w:value="3.b.1 Proportion of the target population with access to pneumococcal conjugate 3rd dose (PCV3)"/>
          <w:listItem w:displayText="3.b.1  Proportion of the target population covered by all vaccines included in their national programme" w:value="3.b.1  Proportion of the target population covered by all vaccines included in their national programme"/>
          <w:listItem w:displayText="3.b.2  Total official development assistance to medical research and basic heath sectors, gross disbursement, by recipient countries" w:value="3.b.2  Total official development assistance to medical research and basic heath sectors, gross disbursement, by recipient countries"/>
          <w:listItem w:displayText="3.b.2  Total official development assistance to medical research and basic heath sectors, net disbursement, by recipient countries" w:value="3.b.2  Total official development assistance to medical research and basic heath sectors, net disbursement, by recipient countries"/>
          <w:listItem w:displayText="3.c.1  Health workder density" w:value="3.c.1  Health workder density"/>
          <w:listItem w:displayText="3.d.1  Average of 13 International Health Regulations (IHR) core capacities" w:value="3.d.1  Average of 13 International Health Regulations (IHR) core capacities"/>
          <w:listItem w:displayText="3.d.1 International Health Regulations (IHR) capacity, by type of IHR capacity" w:value="3.d.1 International Health Regulations (IHR) capacity, by type of IHR capacity"/>
          <w:listItem w:displayText="4.1.1  Proportion of children and young people achieving a minimum proficiency level in reading and mathematics" w:value="4.1.1  Proportion of children and young people achieving a minimum proficiency level in reading and mathematics"/>
          <w:listItem w:displayText="4.2.1  Proportion of children aged 36-59 months who are developmentally on track in at least three of the following domains: literacy-numeracy, physical development, social-emotional development, and learning" w:value="4.2.1  Proportion of children aged 36-59 months who are developmentally on track in at least three of the following domains: literacy-numeracy, physical development, social-emotional development, and learning"/>
          <w:listItem w:displayText="4.2.2  Participation rate in organized learning (one year before the official primary entry age)" w:value="4.2.2  Participation rate in organized learning (one year before the official primary entry age)"/>
          <w:listItem w:displayText="4.3.1  Participation rate in formal and non-formal education and training" w:value="4.3.1  Participation rate in formal and non-formal education and training"/>
          <w:listItem w:displayText="4.4.1 Proportion of youth and adults with information and communications technology (ICT) skills" w:value="4.4.1 Proportion of youth and adults with information and communications technology (ICT) skills"/>
          <w:listItem w:displayText="4.5.1 Gender parity index for participation rate in formal and non-formal education and training" w:value="4.5.1 Gender parity index for participation rate in formal and non-formal education and training"/>
          <w:listItem w:displayText="4.5.1 Gender parity index for youth/adults with information and communications technology (ICT) skills" w:value="4.5.1 Gender parity index for youth/adults with information and communications technology (ICT) skills"/>
          <w:listItem w:displayText="4.5.1 Native parity index for achievement" w:value="4.5.1 Native parity index for achievement"/>
          <w:listItem w:displayText="4.5.1 Language test parity index for achievement" w:value="4.5.1 Language test parity index for achievement"/>
          <w:listItem w:displayText="4.5.1 Immigration status parity index for achieving at least a fixed level of proficiency in functional skills, by numeracy/literacy skills" w:value="4.5.1 Immigration status parity index for achieving at least a fixed level of proficiency in functional skills, by numeracy/literacy skills"/>
          <w:listItem w:displayText="4.5.1  Gender parity index for achievement" w:value="4.5.1  Gender parity index for achievement"/>
          <w:listItem w:displayText="4.5.1  Low to high socio-economic parity status index for achievement" w:value="4.5.1  Low to high socio-economic parity status index for achievement"/>
          <w:listItem w:displayText="4.5.1  Rural to urban parity index for achievement" w:value="4.5.1  Rural to urban parity index for achievement"/>
          <w:listItem w:displayText="4.5.1  Gender parity index of trained teachers" w:value="4.5.1  Gender parity index of trained teachers"/>
          <w:listItem w:displayText="4.5.1  Gender parity index for participation rate in organized learning (one year before the official primary entry age)" w:value="4.5.1  Gender parity index for participation rate in organized learning (one year before the official primary entry age)"/>
          <w:listItem w:displayText="4.6.1 Proportion of population achieving at least a fixed level of proficiency in functional skills" w:value="4.6.1 Proportion of population achieving at least a fixed level of proficiency in functional skills"/>
          <w:listItem w:displayText="4.a.1  Proportion of schools with access to electricity" w:value="4.a.1  Proportion of schools with access to electricity"/>
          <w:listItem w:displayText="4.a.1  Proportion of schools with access to computers for pedagogical purposes" w:value="4.a.1  Proportion of schools with access to computers for pedagogical purposes"/>
          <w:listItem w:displayText="4.a.1  Proportion of schools with access to basic drinking water" w:value="4.a.1  Proportion of schools with access to basic drinking water"/>
          <w:listItem w:displayText="4.a.1  Proportion of schools with basic handwashing facilities" w:value="4.a.1  Proportion of schools with basic handwashing facilities"/>
          <w:listItem w:displayText="4.a.1  Proportion of schools with access to the internet for pedagogical purposes" w:value="4.a.1  Proportion of schools with access to the internet for pedagogical purposes"/>
          <w:listItem w:displayText="4.a.1  Proportion of schools with access to access to single-sex basic sanitation" w:value="4.a.1  Proportion of schools with access to access to single-sex basic sanitation"/>
          <w:listItem w:displayText="4.a.1 Proportion of schools with access to adapted infrastructure and materials for students with disabilities" w:value="4.a.1 Proportion of schools with access to adapted infrastructure and materials for students with disabilities"/>
          <w:listItem w:displayText="4.b.1  Total official flows for scholarships, by recipient countries" w:value="4.b.1  Total official flows for scholarships, by recipient countries"/>
          <w:listItem w:displayText="4.c.1 Proportion of teachers who have received at least the minimum organized teacher training (e.g. pedagogical training) pre-service or in-service required for teaching at the relevant level in a given country" w:value="4.c.1 Proportion of teachers who have received at least the minimum organized teacher training (e.g. pedagogical training) pre-service or in-service required for teaching at the relevant level in a given country"/>
          <w:listItem w:displayText="5.1.1 Legal frameworks that promote, enforce and monitor gender equality (percentage of achievement, 0 - 100) -- Area 1: overarching legal frameworks and public life." w:value="5.1.1 Legal frameworks that promote, enforce and monitor gender equality (percentage of achievement, 0 - 100) -- Area 1: overarching legal frameworks and public life."/>
          <w:listItem w:displayText="5.1.1 Legal frameworks that promote, enforce and monitor gender equality (percentage of achievement, 0 - 100) -- Area 2: violence against women." w:value="5.1.1 Legal frameworks that promote, enforce and monitor gender equality (percentage of achievement, 0 - 100) -- Area 2: violence against women."/>
          <w:listItem w:displayText="5.1.1 Legal frameworks that promote, enforce and monitor gender equality (percentage of achievement, 0 - 100) -- Area 3: employment and economic benefits." w:value="5.1.1 Legal frameworks that promote, enforce and monitor gender equality (percentage of achievement, 0 - 100) -- Area 3: employment and economic benefits."/>
          <w:listItem w:displayText="5.1.1 Legal frameworks that promote, enforce and monitor gender equality (percentage of achievement, 0 - 100) -- Area 4: marriage and family." w:value="5.1.1 Legal frameworks that promote, enforce and monitor gender equality (percentage of achievement, 0 - 100) -- Area 4: marriage and family."/>
          <w:listItem w:displayText="5.2.1  Proportion of ever-partnered women and girls subjected to physical and sexual violence by a current or former intimate partner in the previous 12 months" w:value="5.2.1  Proportion of ever-partnered women and girls subjected to physical and sexual violence by a current or former intimate partner in the previous 12 months"/>
          <w:listItem w:displayText="5.2.1  Proportion of ever-partnered women and girls subjected to physical violence by a current or former intimate partner in the previous 12 months" w:value="5.2.1  Proportion of ever-partnered women and girls subjected to physical violence by a current or former intimate partner in the previous 12 months"/>
          <w:listItem w:displayText="5.2.1  Proportion of ever-partnered women and girls subjected to sexual violence by a current or former intimate partner in the previous 12 months" w:value="5.2.1  Proportion of ever-partnered women and girls subjected to sexual violence by a current or former intimate partner in the previous 12 months"/>
          <w:listItem w:displayText="5.2.1  Proportion of ever-partnered women and girls subjected to psychological violence by a current or former intimate partner in the previous 12 months" w:value="5.2.1  Proportion of ever-partnered women and girls subjected to psychological violence by a current or former intimate partner in the previous 12 months"/>
          <w:listItem w:displayText="5.2.2  Proportion of women and girls aged 15 years and older subjected to sexual violence by persons other than an intimate partner in the previous 12 months" w:value="5.2.2  Proportion of women and girls aged 15 years and older subjected to sexual violence by persons other than an intimate partner in the previous 12 months"/>
          <w:listItem w:displayText="5.3.1  Proportion of women aged 20-24 years who were married or in a union before age 15" w:value="5.3.1  Proportion of women aged 20-24 years who were married or in a union before age 15"/>
          <w:listItem w:displayText="5.3.1  Proportion of women aged 20-24 years who were married or in a union before age 18" w:value="5.3.1  Proportion of women aged 20-24 years who were married or in a union before age 18"/>
          <w:listItem w:displayText="5.3.2  Proportion of girls and women aged 15-49 years who have undergone female genital mutilation/cutting" w:value="5.3.2  Proportion of girls and women aged 15-49 years who have undergone female genital mutilation/cutting"/>
          <w:listItem w:displayText="5.4.1  Proportion of time spent on unpaid domestic chores and care work" w:value="5.4.1  Proportion of time spent on unpaid domestic chores and care work"/>
          <w:listItem w:displayText="5.4.1  Proportion of time spent on unpaid care work" w:value="5.4.1  Proportion of time spent on unpaid care work"/>
          <w:listItem w:displayText="5.4.1  Proportion of time spent on unpaid domestic chores" w:value="5.4.1  Proportion of time spent on unpaid domestic chores"/>
          <w:listItem w:displayText="5.5.1 Proportion of elected seats held by women in deliberative bodies of local government" w:value="5.5.1 Proportion of elected seats held by women in deliberative bodies of local government"/>
          <w:listItem w:displayText="5.5.1  Proportion of seats held by women in national parliaments (% of total number of seats)" w:value="5.5.1  Proportion of seats held by women in national parliaments (% of total number of seats)"/>
          <w:listItem w:displayText="5.5.1  Number of seats held by women in national parliaments" w:value="5.5.1  Number of seats held by women in national parliaments"/>
          <w:listItem w:displayText="5.5.1  Number of seats in national parliaments" w:value="5.5.1  Number of seats in national parliaments"/>
          <w:listItem w:displayText="5.5.1  Proportion of seats held by women in local governments (% of total number of seats)" w:value="5.5.1  Proportion of seats held by women in local governments (% of total number of seats)"/>
          <w:listItem w:displayText="5.5.2  Proportion of women in managerial positions" w:value="5.5.2  Proportion of women in managerial positions"/>
          <w:listItem w:displayText="5.5.2  Proportion of women in senior and middle management positions" w:value="5.5.2  Proportion of women in senior and middle management positions"/>
          <w:listItem w:displayText="5.6.1  Proportion of women who make their own informed decisions regarding sexual relations, contraceptive use and reproductive health care (% of women aged 15-49 years)" w:value="5.6.1  Proportion of women who make their own informed decisions regarding sexual relations, contraceptive use and reproductive health care (% of women aged 15-49 years)"/>
          <w:listItem w:displayText="5.6.1 Proportion of women who make their own informed decisions regarding sexual relations (% of women aged 15-49 years)" w:value="5.6.1 Proportion of women who make their own informed decisions regarding sexual relations (% of women aged 15-49 years)"/>
          <w:listItem w:displayText="5.6.1 Proportion of women who make their own informed decisions regarding contraceptive use (% of women aged 15-49 years)" w:value="5.6.1 Proportion of women who make their own informed decisions regarding contraceptive use (% of women aged 15-49 years)"/>
          <w:listItem w:displayText="5.6.1 Proportion of women who make their own informed decisions regarding reproductive health care (% of women aged 15-49 years)" w:value="5.6.1 Proportion of women who make their own informed decisions regarding reproductive health care (% of women aged 15-49 years)"/>
          <w:listItem w:displayText="5.6.2  Number of countries with laws and regulations that guarantee full and equal access to women and men aged 15 years and older to sexual and reproductive health care, information and education" w:value="5.6.2  Number of countries with laws and regulations that guarantee full and equal access to women and men aged 15 years and older to sexual and reproductive health care, information and education"/>
          <w:listItem w:displayText="5.a.1  Proportion of total agricultural population with ownership or secure rights over agricultural land" w:value="5.a.1  Proportion of total agricultural population with ownership or secure rights over agricultural land"/>
          <w:listItem w:displayText="5.a.2  Proportion of countries where the legal framework (including customary law) guarantees women's equal rights to land ownership and/or control" w:value="5.a.2  Proportion of countries where the legal framework (including customary law) guarantees women's equal rights to land ownership and/or control"/>
          <w:listItem w:displayText="5.b.1  Proportion of individuals who own a mobile telephone" w:value="5.b.1  Proportion of individuals who own a mobile telephone"/>
          <w:listItem w:displayText="5.c.1  Proportion of countries with systems to track and make public allocations for gender equality and women's empowerment" w:value="5.c.1  Proportion of countries with systems to track and make public allocations for gender equality and women's empowerment"/>
          <w:listItem w:displayText="6.1.1  Proportion of population using safely managed drinking water services" w:value="6.1.1  Proportion of population using safely managed drinking water services"/>
          <w:listItem w:displayText="6.2.1  Proportion of population practicing open defecation" w:value="6.2.1  Proportion of population practicing open defecation"/>
          <w:listItem w:displayText="6.2.1  Proportion of population with basic handwashing facilities on premises" w:value="6.2.1  Proportion of population with basic handwashing facilities on premises"/>
          <w:listItem w:displayText="6.2.1  Proportion of population using safely managed sanitation services" w:value="6.2.1  Proportion of population using safely managed sanitation services"/>
          <w:listItem w:displayText="6.3.1 Proportion of safely treated domestic wastewater flows" w:value="6.3.1 Proportion of safely treated domestic wastewater flows"/>
          <w:listItem w:displayText="6.3.2 Proportion of open water bodies with good ambient water quality" w:value="6.3.2 Proportion of open water bodies with good ambient water quality"/>
          <w:listItem w:displayText="6.3.2 Proportion of river water bodies with good ambient water quality" w:value="6.3.2 Proportion of river water bodies with good ambient water quality"/>
          <w:listItem w:displayText="6.3.2 Proportion of groundwater bodies with good ambient water quality" w:value="6.3.2 Proportion of groundwater bodies with good ambient water quality"/>
          <w:listItem w:displayText="6.3.2 Proportion of bodies of water with good ambient water quality" w:value="6.3.2 Proportion of bodies of water with good ambient water quality"/>
          <w:listItem w:displayText="6.4.1 Water Use Efficiency (United States dollars per cubic meter)" w:value="6.4.1 Water Use Efficiency (United States dollars per cubic meter)"/>
          <w:listItem w:displayText="6.4.2  Level of water stress: freshwater withdrawal as a proportion of available freshwater resources" w:value="6.4.2  Level of water stress: freshwater withdrawal as a proportion of available freshwater resources"/>
          <w:listItem w:displayText="6.5.1 Degree of integrated water resources management implementation" w:value="6.5.1 Degree of integrated water resources management implementation"/>
          <w:listItem w:displayText="6.5.1 Proportion of countries by IWRM implementation category" w:value="6.5.1 Proportion of countries by IWRM implementation category"/>
          <w:listItem w:displayText="6.5.2 Proportion of transboundary basins (river and lake basins and aquifers) with an operational arrangement for water cooperation" w:value="6.5.2 Proportion of transboundary basins (river and lake basins and aquifers) with an operational arrangement for water cooperation"/>
          <w:listItem w:displayText="6.5.2 Proportion of transboundary aquifers with an operational arrangement for water cooperation" w:value="6.5.2 Proportion of transboundary aquifers with an operational arrangement for water cooperation"/>
          <w:listItem w:displayText="6.5.2 Proportion of transboundary river and lake basins with an operational arrangement for water cooperation" w:value="6.5.2 Proportion of transboundary river and lake basins with an operational arrangement for water cooperation"/>
          <w:listItem w:displayText="6.6.1 Water body extent (permanent) (% of total land area)" w:value="6.6.1 Water body extent (permanent) (% of total land area)"/>
          <w:listItem w:displayText="6.6.1 Water body extent (permanent) (square kilometres)" w:value="6.6.1 Water body extent (permanent) (square kilometres)"/>
          <w:listItem w:displayText="6.6.1 Water body extent (permanent and maybe permanent) (% of total land area)" w:value="6.6.1 Water body extent (permanent and maybe permanent) (% of total land area)"/>
          <w:listItem w:displayText="6.6.1 Water body extent (permanent and maybe permanent) (square kilometres)" w:value="6.6.1 Water body extent (permanent and maybe permanent) (square kilometres)"/>
          <w:listItem w:displayText="6.6.1 Nationally derived total extent (square kilometres)" w:value="6.6.1 Nationally derived total extent (square kilometres)"/>
          <w:listItem w:displayText="6.6.1 Nationally derived extent of open water bodies (square kilometres)" w:value="6.6.1 Nationally derived extent of open water bodies (square kilometres)"/>
          <w:listItem w:displayText="6.6.1 Nationally derived quality of groundwater (%)" w:value="6.6.1 Nationally derived quality of groundwater (%)"/>
          <w:listItem w:displayText="6.6.1 Nationally derived quality of open water bodies  (%)" w:value="6.6.1 Nationally derived quality of open water bodies  (%)"/>
          <w:listItem w:displayText="6.6.1 Nationally derived quality of river  (%)" w:value="6.6.1 Nationally derived quality of river  (%)"/>
          <w:listItem w:displayText="6.6.1 Nationally derived proportion of water bodies with good quality (%)" w:value="6.6.1 Nationally derived proportion of water bodies with good quality (%)"/>
          <w:listItem w:displayText="6.6.1 Nationally derived quantity of groundwater (millions of cubic metres per annum)" w:value="6.6.1 Nationally derived quantity of groundwater (millions of cubic metres per annum)"/>
          <w:listItem w:displayText="6.6.1 Nationally derived quantity of open water bodies (million of cubic metres per annum)" w:value="6.6.1 Nationally derived quantity of open water bodies (million of cubic metres per annum)"/>
          <w:listItem w:displayText="6.6.1 Nationally derived quantity of rivers (million of cubic metres per annum)" w:value="6.6.1 Nationally derived quantity of rivers (million of cubic metres per annum)"/>
          <w:listItem w:displayText="6.6.1 Nationally derived total quantity (millions of cubic metres per annum)" w:value="6.6.1 Nationally derived total quantity (millions of cubic metres per annum)"/>
          <w:listItem w:displayText="6.6.1 Nationally derived extend of rivers (square kilometres)" w:value="6.6.1 Nationally derived extend of rivers (square kilometres)"/>
          <w:listItem w:displayText="6.6.1 Nationally derived extent of wetlands (square kilometres)" w:value="6.6.1 Nationally derived extent of wetlands (square kilometres)"/>
          <w:listItem w:displayText="6.a.1  Total official development assistance (gross disbursement) for water supply and sanitation, by recipient countries" w:value="6.a.1  Total official development assistance (gross disbursement) for water supply and sanitation, by recipient countries"/>
          <w:listItem w:displayText="6.b.1 Proportion of local administrative units with established and operational policies and procedures for participation of local communities in water and sanitation management" w:value="6.b.1 Proportion of local administrative units with established and operational policies and procedures for participation of local communities in water and sanitation management"/>
          <w:listItem w:displayText="6.b.1 Proportion of countries with clearly defined procedures in law or policy for participation by service users/communities in planning program in water resources planning and management" w:value="6.b.1 Proportion of countries with clearly defined procedures in law or policy for participation by service users/communities in planning program in water resources planning and management"/>
          <w:listItem w:displayText="6.b.1 Proportion of countries with high level of users/communities participating in planning programs in rural drinking-water supply" w:value="6.b.1 Proportion of countries with high level of users/communities participating in planning programs in rural drinking-water supply"/>
          <w:listItem w:displayText="6.b.1 Proportion of countries with clearly defined procedures in law or policy for participation by service users/communities in planning program in rural drinking-water supply" w:value="6.b.1 Proportion of countries with clearly defined procedures in law or policy for participation by service users/communities in planning program in rural drinking-water supply"/>
          <w:listItem w:displayText="6.b.1 Proportion of countries with high level of users/communities participating in planning programs in water resources planning and management" w:value="6.b.1 Proportion of countries with high level of users/communities participating in planning programs in water resources planning and management"/>
          <w:listItem w:displayText="6.b.1 Countries with users/communities participating in planning programs in rural drinking-water supply, by level of participation (3 = High; 2 = Moderate; 1 = Low; 0 = NA)" w:value="6.b.1 Countries with users/communities participating in planning programs in rural drinking-water supply, by level of participation (3 = High; 2 = Moderate; 1 = Low; 0 = NA)"/>
          <w:listItem w:displayText="6.b.1 Countries with procedures in law or policy for participation by service users/communities in planning program in rural drinking-water supply, by level of definition in procedures (10 = Clearly defined; 5 = Not clearly defined ; 0 = NA)" w:value="6.b.1 Countries with procedures in law or policy for participation by service users/communities in planning program in rural drinking-water supply, by level of definition in procedures (10 = Clearly defined; 5 = Not clearly defined ; 0 = NA)"/>
          <w:listItem w:displayText="6.b.1 Countries with users/communities participating in planning programs in water resources planning and management, by level of participation (3 = High; 2 = Moderate; 1 = Low; 0 = NA)" w:value="6.b.1 Countries with users/communities participating in planning programs in water resources planning and management, by level of participation (3 = High; 2 = Moderate; 1 = Low; 0 = NA)"/>
          <w:listItem w:displayText="6.b.1 Countries with procedures in law or policy for participation by service users/communities in planning program in water resources planning and management, by level of definition in procedures (10 = Clearly defined; 5 = Not clearly defined ; 0 = NA)" w:value="6.b.1 Countries with procedures in law or policy for participation by service users/communities in planning program in water resources planning and management, by level of definition in procedures (10 = Clearly defined; 5 = Not clearly defined ; 0 = NA)"/>
          <w:listItem w:displayText="7.1.1  Proportion of population with access to electricity" w:value="7.1.1  Proportion of population with access to electricity"/>
          <w:listItem w:displayText="7.1.2  Proportion of population with primary reliance on clean fuels and technology" w:value="7.1.2  Proportion of population with primary reliance on clean fuels and technology"/>
          <w:listItem w:displayText="7.1.2  Proportion of population with primary reliance on clean fuels and technology for cooking" w:value="7.1.2  Proportion of population with primary reliance on clean fuels and technology for cooking"/>
          <w:listItem w:displayText="7.1.2  Proportion of population with primary reliance on clean fuels and technology for lighting" w:value="7.1.2  Proportion of population with primary reliance on clean fuels and technology for lighting"/>
          <w:listItem w:displayText="7.2.1  Renewable energy share in the total final energy consumption" w:value="7.2.1  Renewable energy share in the total final energy consumption"/>
          <w:listItem w:displayText="7.3.1  Energy intensity level of primary energy (megajoules per constant purchasing power parity GDP)" w:value="7.3.1  Energy intensity level of primary energy (megajoules per constant purchasing power parity GDP)"/>
          <w:listItem w:displayText="7.a.1  International financial flows to developing countries in support of clean energy research and development and renewable energy production, including in hybrid systems" w:value="7.a.1  International financial flows to developing countries in support of clean energy research and development and renewable energy production, including in hybrid systems"/>
          <w:listItem w:displayText="8.1.1  Annual growth rate of real GDP per capita" w:value="8.1.1  Annual growth rate of real GDP per capita"/>
          <w:listItem w:displayText="8.2.1  Annual growth rate of real GDP per employed person" w:value="8.2.1  Annual growth rate of real GDP per employed person"/>
          <w:listItem w:displayText="8.3.1  Proportion of informal employment in non-agriculture employment" w:value="8.3.1  Proportion of informal employment in non-agriculture employment"/>
          <w:listItem w:displayText="8.4.1, 12.2.1 Material footprint per capita" w:value="8.4.1, 12.2.1 Material footprint per capita"/>
          <w:listItem w:displayText="8.4.1, 12.2.1 Material footprint per unit of GDP" w:value="8.4.1, 12.2.1 Material footprint per unit of GDP"/>
          <w:listItem w:displayText="8.4.1, 12.2.1 Material footprint" w:value="8.4.1, 12.2.1 Material footprint"/>
          <w:listItem w:displayText="8.4.2  Domestic material consumption per capita, by type of raw material" w:value="8.4.2  Domestic material consumption per capita, by type of raw material"/>
          <w:listItem w:displayText="8.4.2  Domestic material consumption per unit of GDP" w:value="8.4.2  Domestic material consumption per unit of GDP"/>
          <w:listItem w:displayText="8.4.2  Domestic material consumption" w:value="8.4.2  Domestic material consumption"/>
          <w:listItem w:displayText="8.5.1  Average hourly earnings" w:value="8.5.1  Average hourly earnings"/>
          <w:listItem w:displayText="8.5.2  Unemployment rate" w:value="8.5.2  Unemployment rate"/>
          <w:listItem w:displayText="8.5.2  Unemployment rate, by disability" w:value="8.5.2  Unemployment rate, by disability"/>
          <w:listItem w:displayText="8.6.1  Proportion of youth not in education, employment or training" w:value="8.6.1  Proportion of youth not in education, employment or training"/>
          <w:listItem w:displayText="8.7.1 Proportion of children engaged in economic activity and household chores" w:value="8.7.1 Proportion of children engaged in economic activity and household chores"/>
          <w:listItem w:displayText="8.7.1 Number of children engaged in economic activity and household chores" w:value="8.7.1 Number of children engaged in economic activity and household chores"/>
          <w:listItem w:displayText="8.7.1 Proportion of children engaged in economic activity" w:value="8.7.1 Proportion of children engaged in economic activity"/>
          <w:listItem w:displayText="8.7.1 Number of children engaged in economic activity" w:value="8.7.1 Number of children engaged in economic activity"/>
          <w:listItem w:displayText="8.8.1  Fatal occupational injuries among employees (rate)" w:value="8.8.1  Fatal occupational injuries among employees (rate)"/>
          <w:listItem w:displayText="8.8.1  Non-fatal occupational injuries among employees (rate)" w:value="8.8.1  Non-fatal occupational injuries among employees (rate)"/>
          <w:listItem w:displayText="8.9.1  Tourism direct GDP as a proportion of total GDP" w:value="8.9.1  Tourism direct GDP as a proportion of total GDP"/>
          <w:listItem w:displayText="8.9.2  Proportion of jobs in sustainable tourism industries out of total tourism jobs" w:value="8.9.2  Proportion of jobs in sustainable tourism industries out of total tourism jobs"/>
          <w:listItem w:displayText="8.10.1  Number of automated teller machines (ATMs) per 100,000 adults" w:value="8.10.1  Number of automated teller machines (ATMs) per 100,000 adults"/>
          <w:listItem w:displayText="8.10.1  Number of commercial bank branches per 100,000 adults" w:value="8.10.1  Number of commercial bank branches per 100,000 adults"/>
          <w:listItem w:displayText="8.10.2  Proportion of adults (15 years and older) with an account at a financial institution or mobile-money-service provider (% of adults aged 15 years and older)" w:value="8.10.2  Proportion of adults (15 years and older) with an account at a financial institution or mobile-money-service provider (% of adults aged 15 years and older)"/>
          <w:listItem w:displayText="8.a.1  Total official flows (commitments) for Aid for Trade, by donor countries" w:value="8.a.1  Total official flows (commitments) for Aid for Trade, by donor countries"/>
          <w:listItem w:displayText="8.a.1  Total official flows (commitments) for Aid for Trade, by recipient countries" w:value="8.a.1  Total official flows (commitments) for Aid for Trade, by recipient countries"/>
          <w:listItem w:displayText="8.a.1  Total official flows (disbursement) for Aid for Trade, by donor countries" w:value="8.a.1  Total official flows (disbursement) for Aid for Trade, by donor countries"/>
          <w:listItem w:displayText="8.a.1  Total official flows (disbursement) for Aid for Trade, by recipient countries" w:value="8.a.1  Total official flows (disbursement) for Aid for Trade, by recipient countries"/>
          <w:listItem w:displayText="8.b.1  Existence of a developed and operationalized national strategy for youth employment, as a distinct strategy or as part of a national employment strategy" w:value="8.b.1  Existence of a developed and operationalized national strategy for youth employment, as a distinct strategy or as part of a national employment strategy"/>
          <w:listItem w:displayText="9.1.1  Proportion of the rural population who live within 2 km of an all-season road" w:value="9.1.1  Proportion of the rural population who live within 2 km of an all-season road"/>
          <w:listItem w:displayText="9.1.2 Mail volume (tonne kilometres)" w:value="9.1.2 Mail volume (tonne kilometres)"/>
          <w:listItem w:displayText="9.1.2 Freight volume (tonne kilometres)" w:value="9.1.2 Freight volume (tonne kilometres)"/>
          <w:listItem w:displayText="9.1.2 Passenger volume (passenger kilometres)" w:value="9.1.2 Passenger volume (passenger kilometres)"/>
          <w:listItem w:displayText="9.2.1  Manufacturing value added as a proportion of GDP" w:value="9.2.1  Manufacturing value added as a proportion of GDP"/>
          <w:listItem w:displayText="9.2.1  Manufacturing value added per capita" w:value="9.2.1  Manufacturing value added per capita"/>
          <w:listItem w:displayText="9.2.2  Manufacturing employment as a proportion of total employment" w:value="9.2.2  Manufacturing employment as a proportion of total employment"/>
          <w:listItem w:displayText="9.3.1 Proportion of small-scale industries in total industry value added" w:value="9.3.1 Proportion of small-scale industries in total industry value added"/>
          <w:listItem w:displayText="9.3.2 Proportion of small-scale industries with a loan or line of credit" w:value="9.3.2 Proportion of small-scale industries with a loan or line of credit"/>
          <w:listItem w:displayText="9.4.1  Carbon dioxide emissions from fuel combustion" w:value="9.4.1  Carbon dioxide emissions from fuel combustion"/>
          <w:listItem w:displayText="9.4.1  Carbon dioxide emissions per unit of GDP" w:value="9.4.1  Carbon dioxide emissions per unit of GDP"/>
          <w:listItem w:displayText="9.4.1  Carbon dioxide emissions per unit of manufacturing value added" w:value="9.4.1  Carbon dioxide emissions per unit of manufacturing value added"/>
          <w:listItem w:displayText="9.5.1  Research and development expenditure as a proportion of GDP" w:value="9.5.1  Research and development expenditure as a proportion of GDP"/>
          <w:listItem w:displayText="9.5.2  Researchers (in full-time equivalent) per million inhabitants" w:value="9.5.2  Researchers (in full-time equivalent) per million inhabitants"/>
          <w:listItem w:displayText="9.a.1  Total official flows for infrastructure, by recipient countries" w:value="9.a.1  Total official flows for infrastructure, by recipient countries"/>
          <w:listItem w:displayText="9.b.1  Proportion of medium and high-tech industry value added in total value added" w:value="9.b.1  Proportion of medium and high-tech industry value added in total value added"/>
          <w:listItem w:displayText="9.c.1  Proportion of population covered by at least a 2G mobile network" w:value="9.c.1  Proportion of population covered by at least a 2G mobile network"/>
          <w:listItem w:displayText="9.c.1  Proportion of population covered by at least a 3G mobile network" w:value="9.c.1  Proportion of population covered by at least a 3G mobile network"/>
          <w:listItem w:displayText="9.c.1  Proportion of population covered by at least a 4G mobile network" w:value="9.c.1  Proportion of population covered by at least a 4G mobile network"/>
          <w:listItem w:displayText="10.1.1  Growth rates of household expenditure or income per capita" w:value="10.1.1  Growth rates of household expenditure or income per capita"/>
          <w:listItem w:displayText="10.2.1  Proportion of people living below 50 percent of median income" w:value="10.2.1  Proportion of people living below 50 percent of median income"/>
          <w:listItem w:displayText="16.b.1  Proportion of population reporting having personally felt discriminated against or harassed in the previous 12 months on the basis of a ground of discrimination prohibited under international human rights law" w:value="16.b.1  Proportion of population reporting having personally felt discriminated against or harassed in the previous 12 months on the basis of a ground of discrimination prohibited under international human rights law"/>
          <w:listItem w:displayText="10.4.1  Labour share of GDP, comprising wages and social protection transfers" w:value="10.4.1  Labour share of GDP, comprising wages and social protection transfers"/>
          <w:listItem w:displayText="10.5.1 Non-performing loans to total gross loans (%)" w:value="10.5.1 Non-performing loans to total gross loans (%)"/>
          <w:listItem w:displayText="10.5.1 Return on assets (%)" w:value="10.5.1 Return on assets (%)"/>
          <w:listItem w:displayText="10.5.1 Regulatory capital to assets (%)" w:value="10.5.1 Regulatory capital to assets (%)"/>
          <w:listItem w:displayText="10.5.1 Non-performing loans net of provisions to capital (%)" w:value="10.5.1 Non-performing loans net of provisions to capital (%)"/>
          <w:listItem w:displayText="10.5.1 Regulatory Tier 1 capital to risk-weighted assets (%)" w:value="10.5.1 Regulatory Tier 1 capital to risk-weighted assets (%)"/>
          <w:listItem w:displayText="10.5.1 Liquid assets to short term liabilities (%)" w:value="10.5.1 Liquid assets to short term liabilities (%)"/>
          <w:listItem w:displayText="10.5.1 Net open position in foreign exchange to capital (%)" w:value="10.5.1 Net open position in foreign exchange to capital (%)"/>
          <w:listItem w:displayText="10.6.1, 16.8.1 Proportion of members of developing countries in international organizations, by organization" w:value="10.6.1, 16.8.1 Proportion of members of developing countries in international organizations, by organization"/>
          <w:listItem w:displayText="10.6.1, 16.8.1 Proportion of voting rights of developing countries in international organizations, by organization" w:value="10.6.1, 16.8.1 Proportion of voting rights of developing countries in international organizations, by organization"/>
          <w:listItem w:displayText="10.7.1  Recruitment cost borne by employee as a proportion of yearly income earned in country of destination" w:value="10.7.1  Recruitment cost borne by employee as a proportion of yearly income earned in country of destination"/>
          <w:listItem w:displayText="10.7.2  Number of countries that have implemented well-managed migration policies" w:value="10.7.2  Number of countries that have implemented well-managed migration policies"/>
          <w:listItem w:displayText="10.a.1  Proportion of tariff lines applied to imports with zero-tariff" w:value="10.a.1  Proportion of tariff lines applied to imports with zero-tariff"/>
          <w:listItem w:displayText="10.b.1  Total assistance for development, by donor countries" w:value="10.b.1  Total assistance for development, by donor countries"/>
          <w:listItem w:displayText="10.b.1  Total assistance for development, by recipient countries" w:value="10.b.1  Total assistance for development, by recipient countries"/>
          <w:listItem w:displayText="10.b.1 Total resource flows for development, by recipient and donor countries" w:value="10.b.1 Total resource flows for development, by recipient and donor countries"/>
          <w:listItem w:displayText="10.c.1  Remittance costs as a proportion of the amount remitted" w:value="10.c.1  Remittance costs as a proportion of the amount remitted"/>
          <w:listItem w:displayText="11.1.1  Proportion of urban population living in slums" w:value="11.1.1  Proportion of urban population living in slums"/>
          <w:listItem w:displayText="11.1.1  Urban population living in slums (number)" w:value="11.1.1  Urban population living in slums (number)"/>
          <w:listItem w:displayText="11.2.1  Proportion of population that has convenient access to public transport" w:value="11.2.1  Proportion of population that has convenient access to public transport"/>
          <w:listItem w:displayText="11.3.1  Ratio of land consumption rate to population growth rate" w:value="11.3.1  Ratio of land consumption rate to population growth rate"/>
          <w:listItem w:displayText="11.3.2  Proportion of cities with a direct participation structure of civil society in urban planning and management that operate regularly and democratically" w:value="11.3.2  Proportion of cities with a direct participation structure of civil society in urban planning and management that operate regularly and democratically"/>
          <w:listItem w:displayText="11.5.2 Number of damaged critical infrastructure attributed to disasters" w:value="11.5.2 Number of damaged critical infrastructure attributed to disasters"/>
          <w:listItem w:displayText="11.5.2 Number of destroyed or damaged health facilities attributed to disasters" w:value="11.5.2 Number of destroyed or damaged health facilities attributed to disasters"/>
          <w:listItem w:displayText="11.5.2 Number of destroyed or damaged educational facilities attributed to disasters" w:value="11.5.2 Number of destroyed or damaged educational facilities attributed to disasters"/>
          <w:listItem w:displayText="11.5.2 Number of other destroyed or damaged critical infrastructure units and facilities attributed to disasters" w:value="11.5.2 Number of other destroyed or damaged critical infrastructure units and facilities attributed to disasters"/>
          <w:listItem w:displayText="11.5.2 Number of disruptions to basic services attributed to disasters" w:value="11.5.2 Number of disruptions to basic services attributed to disasters"/>
          <w:listItem w:displayText="11.5.2 Number of disruptions to educational services attributed to disasters" w:value="11.5.2 Number of disruptions to educational services attributed to disasters"/>
          <w:listItem w:displayText="11.5.2 Number of disruptions to health services attributed to disasters" w:value="11.5.2 Number of disruptions to health services attributed to disasters"/>
          <w:listItem w:displayText="11.5.2 Number of disruptions to other basic services attributed to disasters" w:value="11.5.2 Number of disruptions to other basic services attributed to disasters"/>
          <w:listItem w:displayText="11.6.1  Proportion of population served by municipal waste collection" w:value="11.6.1  Proportion of population served by municipal waste collection"/>
          <w:listItem w:displayText="11.6.1 Municipal Solid Waste collection coverage, by cities (%)" w:value="11.6.1 Municipal Solid Waste collection coverage, by cities (%)"/>
          <w:listItem w:displayText="11.6.2  Annual mean levels of fine particulate matter in cities, urban population" w:value="11.6.2  Annual mean levels of fine particulate matter in cities, urban population"/>
          <w:listItem w:displayText="11.7.1  Average share of the built-up area of cities that is open space for public use for all" w:value="11.7.1  Average share of the built-up area of cities that is open space for public use for all"/>
          <w:listItem w:displayText="11.7.2  Proportion of persons victim of physical or sexual harassment, in the previous 12 months" w:value="11.7.2  Proportion of persons victim of physical or sexual harassment, in the previous 12 months"/>
          <w:listItem w:displayText="11.a.1  Proportion of population living in cities that implement urban and regional development plans integrating population projections and resource needs" w:value="11.a.1  Proportion of population living in cities that implement urban and regional development plans integrating population projections and resource needs"/>
          <w:listItem w:displayText="11.c.1  Proportion of financial support to the least developed countries that is allocated to the construction and retrofitting of sustainable, resilient and resource-efficient buildings utilizing local materials" w:value="11.c.1  Proportion of financial support to the least developed countries that is allocated to the construction and retrofitting of sustainable, resilient and resource-efficient buildings utilizing local materials"/>
          <w:listItem w:displayText="12.1.1 Countries with sustainable consumption and production (SCP) national action plans or SCP mainstreamed as a priority or target into national policies (1 = YES; 0 = NO)" w:value="12.1.1 Countries with sustainable consumption and production (SCP) national action plans or SCP mainstreamed as a priority or target into national policies (1 = YES; 0 = NO)"/>
          <w:listItem w:displayText="12.1.1 Countries with coordination mechanism for sustainable consumption and production (1 = YES; 0 = NO)" w:value="12.1.1 Countries with coordination mechanism for sustainable consumption and production (1 = YES; 0 = NO)"/>
          <w:listItem w:displayText="12.1.1 Countries with macro policy for sustainable consumption and production (1 = YES; 0 = NO)" w:value="12.1.1 Countries with macro policy for sustainable consumption and production (1 = YES; 0 = NO)"/>
          <w:listItem w:displayText="12.1.1 Countries with policy instrument for sustainable consumption and production (1 = YES; 0 = NO)" w:value="12.1.1 Countries with policy instrument for sustainable consumption and production (1 = YES; 0 = NO)"/>
          <w:listItem w:displayText="12.3.1  Global food loss index" w:value="12.3.1  Global food loss index"/>
          <w:listItem w:displayText="12.4.1  Compliance with the Basel Convention on hazardous waste and other chemicals" w:value="12.4.1  Compliance with the Basel Convention on hazardous waste and other chemicals"/>
          <w:listItem w:displayText="12.4.1  Compliance with the Montreal Protocol on hazardous waste and other chemicals" w:value="12.4.1  Compliance with the Montreal Protocol on hazardous waste and other chemicals"/>
          <w:listItem w:displayText="12.4.1  Compliance with the Rotterdam Convention on hazardous waste and other chemicals" w:value="12.4.1  Compliance with the Rotterdam Convention on hazardous waste and other chemicals"/>
          <w:listItem w:displayText="12.4.1  Compliance with the Stockholm Convention on hazardous waste and other chemicals" w:value="12.4.1  Compliance with the Stockholm Convention on hazardous waste and other chemicals"/>
          <w:listItem w:displayText="12.4.2  Hazardous waste generated per capita" w:value="12.4.2  Hazardous waste generated per capita"/>
          <w:listItem w:displayText="12.4.2  Proportion of hazardous waste treated" w:value="12.4.2  Proportion of hazardous waste treated"/>
          <w:listItem w:displayText="12.6.1  Number of companies publishing sustainability reports" w:value="12.6.1  Number of companies publishing sustainability reports"/>
          <w:listItem w:displayText="12.7.1  Number of countries implementing sustainable public procurement policies and action plans" w:value="12.7.1  Number of countries implementing sustainable public procurement policies and action plans"/>
          <w:listItem w:displayText="12.a.1  Amount of support to developing countries on research and development for sustainable consumption and production and environmentally sound technologies" w:value="12.a.1  Amount of support to developing countries on research and development for sustainable consumption and production and environmentally sound technologies"/>
          <w:listItem w:displayText="12.c.1 Fossil-fuel pre-tax subsidies (consumption and production)" w:value="12.c.1 Fossil-fuel pre-tax subsidies (consumption and production)"/>
          <w:listItem w:displayText="12.c.1 Fossil-fuel pre-tax subsidies (consumption and production) per capita" w:value="12.c.1 Fossil-fuel pre-tax subsidies (consumption and production) per capita"/>
          <w:listItem w:displayText="12.c.1 Fossil-fuel pre-tax subsidies (consumption and production) as a proportion of total GDP" w:value="12.c.1 Fossil-fuel pre-tax subsidies (consumption and production) as a proportion of total GDP"/>
          <w:listItem w:displayText="13.a.1  Mobilized amount of United States dollars per year between 2020 and 2025 accountable towards the $100 billion commitment" w:value="13.a.1  Mobilized amount of United States dollars per year between 2020 and 2025 accountable towards the $100 billion commitment"/>
          <w:listItem w:displayText="14.2.1  Proportion of national exclusive economic zones managed using ecosystem-based approaches" w:value="14.2.1  Proportion of national exclusive economic zones managed using ecosystem-based approaches"/>
          <w:listItem w:displayText="14.4.1  Proportion of fish stocks that are fully exploited" w:value="14.4.1  Proportion of fish stocks that are fully exploited"/>
          <w:listItem w:displayText="14.4.1  Proportion of fish stocks that are not fully exploited" w:value="14.4.1  Proportion of fish stocks that are not fully exploited"/>
          <w:listItem w:displayText="14.4.1  Proportion of fish stocks that are overexploited" w:value="14.4.1  Proportion of fish stocks that are overexploited"/>
          <w:listItem w:displayText="14.4.1  Proportion of fish stocks within biologically sustainable levels (not overexploited)" w:value="14.4.1  Proportion of fish stocks within biologically sustainable levels (not overexploited)"/>
          <w:listItem w:displayText="14.5.1  Coverage of protected areas in relation to marine areas (Exclusive Economic Zones)" w:value="14.5.1  Coverage of protected areas in relation to marine areas (Exclusive Economic Zones)"/>
          <w:listItem w:displayText="14.5.1  Protected marine area (Exclusive Economic Zones) (square kilometres)" w:value="14.5.1  Protected marine area (Exclusive Economic Zones) (square kilometres)"/>
          <w:listItem w:displayText="14.5.1  Marine area (Economic Exclusion Zones)" w:value="14.5.1  Marine area (Economic Exclusion Zones)"/>
          <w:listItem w:displayText="14.5.1 Average proportion of Marine Key Biodiversity Areas (KBAs) covered by protected areas" w:value="14.5.1 Average proportion of Marine Key Biodiversity Areas (KBAs) covered by protected areas"/>
          <w:listItem w:displayText="14.6.1 Progress by countries in the degree of implementation of international instruments aiming to combat illegal, unreported and unregulated fishing (level of implementation: 1 lowest to 5 highest)" w:value="14.6.1 Progress by countries in the degree of implementation of international instruments aiming to combat illegal, unreported and unregulated fishing (level of implementation: 1 lowest to 5 highest)"/>
          <w:listItem w:displayText="14.7.1  Sustainable fisheries as a proportion of GDP" w:value="14.7.1  Sustainable fisheries as a proportion of GDP"/>
          <w:listItem w:displayText="14.a.1 National ocean science expenditure as a share of total research and development funding" w:value="14.a.1 National ocean science expenditure as a share of total research and development funding"/>
          <w:listItem w:displayText="14.b.1 Degree of application of a legal/regulatory/policy/institutional framework which recognizes and protects access rights for small-scale fisheries (level of implementation: 1 lowest to 5 highest)" w:value="14.b.1 Degree of application of a legal/regulatory/policy/institutional framework which recognizes and protects access rights for small-scale fisheries (level of implementation: 1 lowest to 5 highest)"/>
          <w:listItem w:displayText="15.1.1  Forest area as a proportion of total land area" w:value="15.1.1  Forest area as a proportion of total land area"/>
          <w:listItem w:displayText="15.1.1  Forest area (hectares)" w:value="15.1.1  Forest area (hectares)"/>
          <w:listItem w:displayText="15.1.1  Land area (hectares)" w:value="15.1.1  Land area (hectares)"/>
          <w:listItem w:displayText="15.1.2  Average proportion of Freshwater Key Biodiversity Areas (KBAs) covered by protected areas" w:value="15.1.2  Average proportion of Freshwater Key Biodiversity Areas (KBAs) covered by protected areas"/>
          <w:listItem w:displayText="15.1.2  Average proportion of Terrestrial Key Biodiversity Areas (KBAs) covered by protected areas" w:value="15.1.2  Average proportion of Terrestrial Key Biodiversity Areas (KBAs) covered by protected areas"/>
          <w:listItem w:displayText="15.2.1  Above-ground biomass in forest (tonnes)" w:value="15.2.1  Above-ground biomass in forest (tonnes)"/>
          <w:listItem w:displayText="15.2.1  Above-ground biomass in forest per hectare (tonnes per hectare)" w:value="15.2.1  Above-ground biomass in forest per hectare (tonnes per hectare)"/>
          <w:listItem w:displayText="15.2.1  Forest area certified under an independently verified certification scheme (hectares)" w:value="15.2.1  Forest area certified under an independently verified certification scheme (hectares)"/>
          <w:listItem w:displayText="15.2.1  Forest area net change rate (%)" w:value="15.2.1  Forest area net change rate (%)"/>
          <w:listItem w:displayText="15.2.1  Proportion of forest area with a long-term management plan" w:value="15.2.1  Proportion of forest area with a long-term management plan"/>
          <w:listItem w:displayText="15.2.1  Proportion of forest area within legally established protected areas" w:value="15.2.1  Proportion of forest area within legally established protected areas"/>
          <w:listItem w:displayText="15.2.1  Forest area within legally established protected areas" w:value="15.2.1  Forest area within legally established protected areas"/>
          <w:listItem w:displayText="15.3.1  Proportion of land that is degraded over total land area" w:value="15.3.1  Proportion of land that is degraded over total land area"/>
          <w:listItem w:displayText="15.4.1  Average proportion of Mountain Key Biodiversity Areas (KBAs) covered by protected areas" w:value="15.4.1  Average proportion of Mountain Key Biodiversity Areas (KBAs) covered by protected areas"/>
          <w:listItem w:displayText="15.4.2  Mountain green cover area (square kilometres)" w:value="15.4.2  Mountain green cover area (square kilometres)"/>
          <w:listItem w:displayText="15.4.2  Mountain Green Cover Index" w:value="15.4.2  Mountain Green Cover Index"/>
          <w:listItem w:displayText="15.4.2  Mountain area (square kilometres)" w:value="15.4.2  Mountain area (square kilometres)"/>
          <w:listItem w:displayText="15.5.1  Red List Index" w:value="15.5.1  Red List Index"/>
          <w:listItem w:displayText="15.6.1  Countries that have legislative, administrative and policy framework or measures reported to the Access and Benefit-Sharing Clearing-House (1 = YES; 0 = NO)" w:value="15.6.1  Countries that have legislative, administrative and policy framework or measures reported to the Access and Benefit-Sharing Clearing-House (1 = YES; 0 = NO)"/>
          <w:listItem w:displayText="15.6.1  Countries that are parties to the Nagoya Protocol (1 = YES; 0 = NO)" w:value="15.6.1  Countries that are parties to the Nagoya Protocol (1 = YES; 0 = NO)"/>
          <w:listItem w:displayText="15.6.1  Countries that have legislative, administrative and policy framework or measures reported through the Online Reporting System on Compliance  of the International Treaty on Plant Genetic Resources for Food and Agriculture (PGRFA) (1 = YES; 0 = NO)" w:value="15.6.1  Countries that have legislative, administrative and policy framework or measures reported through the Online Reporting System on Compliance  of the International Treaty on Plant Genetic Resources for Food and Agriculture (PGRFA) (1 = YES; 0 = NO)"/>
          <w:listItem w:displayText="15.6.1  Countries that are contracting Parties to the International Treaty on Plant Genetic Resources for Food and Agriculture (PGRFA) (1 = YES; 0 = NO)" w:value="15.6.1  Countries that are contracting Parties to the International Treaty on Plant Genetic Resources for Food and Agriculture (PGRFA) (1 = YES; 0 = NO)"/>
          <w:listItem w:displayText="15.6.1  Total reported number of Standard Material Transfer Agreements (SMTAs) transferring plant genetic resources for food and agriculture to the country" w:value="15.6.1  Total reported number of Standard Material Transfer Agreements (SMTAs) transferring plant genetic resources for food and agriculture to the country"/>
          <w:listItem w:displayText="15.7.1  Proportion of traded wildlife that was poached or illicitly trafficked" w:value="15.7.1  Proportion of traded wildlife that was poached or illicitly trafficked"/>
          <w:listItem w:displayText="15.a.1  Total official development assistance for biodiversity, by donor countries" w:value="15.a.1  Total official development assistance for biodiversity, by donor countries"/>
          <w:listItem w:displayText="15.a.1  Total official development assistance for biodiversity, by recipient countries" w:value="15.a.1  Total official development assistance for biodiversity, by recipient countries"/>
          <w:listItem w:displayText="16.1.1  Number of victims of intentional homicide per 100,000 population" w:value="16.1.1  Number of victims of intentional homicide per 100,000 population"/>
          <w:listItem w:displayText="16.1.1  Number of victims of intentional homicide" w:value="16.1.1  Number of victims of intentional homicide"/>
          <w:listItem w:displayText="16.1.2  Conflict-related deaths per 100,000 population" w:value="16.1.2  Conflict-related deaths per 100,000 population"/>
          <w:listItem w:displayText="16.1.3 Proportion of population subjected to physical violence in the previous 12 months" w:value="16.1.3 Proportion of population subjected to physical violence in the previous 12 months"/>
          <w:listItem w:displayText="16.1.3 Proportion of population subjected to robbery in the previous 12 months" w:value="16.1.3 Proportion of population subjected to robbery in the previous 12 months"/>
          <w:listItem w:displayText="16.1.3 Proportion of population subjected to sexual violence in the previous 12 months" w:value="16.1.3 Proportion of population subjected to sexual violence in the previous 12 months"/>
          <w:listItem w:displayText="16.1.4  Proportion of population that feel safe walking alone around the area they live in" w:value="16.1.4  Proportion of population that feel safe walking alone around the area they live in"/>
          <w:listItem w:displayText="16.2.1  Proportion of children aged 1-14 years who experienced physical punishment and/or psychological aggression by caregivers in last month" w:value="16.2.1  Proportion of children aged 1-14 years who experienced physical punishment and/or psychological aggression by caregivers in last month"/>
          <w:listItem w:displayText="16.2.2 Age and sex distribution of detected victims of trafficking in persons (%)" w:value="16.2.2 Age and sex distribution of detected victims of trafficking in persons (%)"/>
          <w:listItem w:displayText="16.2.2 Detected victims of human trafficking for forced labour, servitude and slavery (number)" w:value="16.2.2 Detected victims of human trafficking for forced labour, servitude and slavery (number)"/>
          <w:listItem w:displayText="16.2.2 Detected victims of human trafficking for other purposes (number)" w:value="16.2.2 Detected victims of human trafficking for other purposes (number)"/>
          <w:listItem w:displayText="16.2.2 Detected victims of human trafficking for removal of organ (number)" w:value="16.2.2 Detected victims of human trafficking for removal of organ (number)"/>
          <w:listItem w:displayText="16.2.2 Detected victims of human trafficking for sexual exploitaton (number)" w:value="16.2.2 Detected victims of human trafficking for sexual exploitaton (number)"/>
          <w:listItem w:displayText="16.2.2 Detected victims of human trafficking (number)" w:value="16.2.2 Detected victims of human trafficking (number)"/>
          <w:listItem w:displayText="16.2.3  Proportion of population aged 18-29 years who experienced sexual violence by age 18" w:value="16.2.3  Proportion of population aged 18-29 years who experienced sexual violence by age 18"/>
          <w:listItem w:displayText="16.3.1 Police reporting rate for physical assault, by sex (%)" w:value="16.3.1 Police reporting rate for physical assault, by sex (%)"/>
          <w:listItem w:displayText="16.3.1 Police reporting rate for sexual assault, by sex (%)" w:value="16.3.1 Police reporting rate for sexual assault, by sex (%)"/>
          <w:listItem w:displayText="16.3.1 Police reporting rate for robbery, by sex (%)" w:value="16.3.1 Police reporting rate for robbery, by sex (%)"/>
          <w:listItem w:displayText="16.3.2  Unsentenced detainees as a proportion of overall prison population" w:value="16.3.2  Unsentenced detainees as a proportion of overall prison population"/>
          <w:listItem w:displayText="16.3.2  Unsentenced detainees (number)" w:value="16.3.2  Unsentenced detainees (number)"/>
          <w:listItem w:displayText="16.4.1  Total value of inward illicit financial flows" w:value="16.4.1  Total value of inward illicit financial flows"/>
          <w:listItem w:displayText="16.4.1  Total value of outward illicit financial flows" w:value="16.4.1  Total value of outward illicit financial flows"/>
          <w:listItem w:displayText="16.4.2  Proportion of seized, found or surrendered arms whose illicit origin or context has been traced or established by a competent authority in line with international instruments" w:value="16.4.2  Proportion of seized, found or surrendered arms whose illicit origin or context has been traced or established by a competent authority in line with international instruments"/>
          <w:listItem w:displayText="16.5.1  Prevalence rate of bribery" w:value="16.5.1  Prevalence rate of bribery"/>
          <w:listItem w:displayText="16.5.2  Bribery incidence (% of firms experiencing at least one bribe payment request)" w:value="16.5.2  Bribery incidence (% of firms experiencing at least one bribe payment request)"/>
          <w:listItem w:displayText="16.6.1 Primary government expenditures as a proportion of original approved budget" w:value="16.6.1 Primary government expenditures as a proportion of original approved budget"/>
          <w:listItem w:displayText="16.6.2  Proportion of population satisfied with their last experience of public services" w:value="16.6.2  Proportion of population satisfied with their last experience of public services"/>
          <w:listItem w:displayText="16.7.2  Proportion of population who believe decision-making is inclusive and responsive" w:value="16.7.2  Proportion of population who believe decision-making is inclusive and responsive"/>
          <w:listItem w:displayText="16.9.1  Proportion of children under 5 years of age whose births have been registered with a civil authority" w:value="16.9.1  Proportion of children under 5 years of age whose births have been registered with a civil authority"/>
          <w:listItem w:displayText="16.10.1  Number of cases of killings of human rights defenders, journalists and trade unionists" w:value="16.10.1  Number of cases of killings of human rights defenders, journalists and trade unionists"/>
          <w:listItem w:displayText="16.10.2  Countries that adopt and implement constitutional, statutory and/or policy guarantees for public access to information" w:value="16.10.2  Countries that adopt and implement constitutional, statutory and/or policy guarantees for public access to information"/>
          <w:listItem w:displayText="16.a.1  Proportion of countries with independent National Human Rights Institutions in compliance with the Paris Principles (%)" w:value="16.a.1  Proportion of countries with independent National Human Rights Institutions in compliance with the Paris Principles (%)"/>
          <w:listItem w:displayText="16.a.1  Countries with National Human Rights Institutions in compliance with the Paris Principles, A status (1 = YES; 0 = NO)" w:value="16.a.1  Countries with National Human Rights Institutions in compliance with the Paris Principles, A status (1 = YES; 0 = NO)"/>
          <w:listItem w:displayText="16.a.1  Proportion of countries that applied for accreditation as independent National Human Rights Institutions in compliance with the Paris Principles" w:value="16.a.1  Proportion of countries that applied for accreditation as independent National Human Rights Institutions in compliance with the Paris Principles"/>
          <w:listItem w:displayText="16.a.1  Countries with National Human Rights Institutions not fully compliant with the Paris Principles, B status (1 = YES; 0 = NO)" w:value="16.a.1  Countries with National Human Rights Institutions not fully compliant with the Paris Principles, B status (1 = YES; 0 = NO)"/>
          <w:listItem w:displayText="16.a.1  Countries with no application for accreditation with the Paris Principles, D status  (1 = YES; 0 = NO)" w:value="16.a.1  Countries with no application for accreditation with the Paris Principles, D status  (1 = YES; 0 = NO)"/>
          <w:listItem w:displayText="16.a.1  Countries with National Human Rights Institutions and no status with the Paris Principles, C status (1 = YES; 0 = NO)" w:value="16.a.1  Countries with National Human Rights Institutions and no status with the Paris Principles, C status (1 = YES; 0 = NO)"/>
          <w:listItem w:displayText="17.1.1  Total government revenue as a proportion of GDP" w:value="17.1.1  Total government revenue as a proportion of GDP"/>
          <w:listItem w:displayText="17.1.1  Total government revenue, in local currency" w:value="17.1.1  Total government revenue, in local currency"/>
          <w:listItem w:displayText="17.1.2  Proportion of domestic budget funded by domestic taxes" w:value="17.1.2  Proportion of domestic budget funded by domestic taxes"/>
          <w:listItem w:displayText="17.2.1  Net official development assistance (ODA) to LDCs as a percentage of OECD-DAC donors' GNI, by donor countries" w:value="17.2.1  Net official development assistance (ODA) to LDCs as a percentage of OECD-DAC donors' GNI, by donor countries"/>
          <w:listItem w:displayText="17.2.1  Net official development assistance (ODA) to LDCs from OECD-DAC countries, by donor countries" w:value="17.2.1  Net official development assistance (ODA) to LDCs from OECD-DAC countries, by donor countries"/>
          <w:listItem w:displayText="17.2.1  Net official development assistance (ODA) to landlocked developing countries from OECD-DAC countries, by donor countries" w:value="17.2.1  Net official development assistance (ODA) to landlocked developing countries from OECD-DAC countries, by donor countries"/>
          <w:listItem w:displayText="17.2.1  Net official development assistance (ODA) to landlocked developing countries as a percentage of OECD-DAC donors' GNI, by donor countries" w:value="17.2.1  Net official development assistance (ODA) to landlocked developing countries as a percentage of OECD-DAC donors' GNI, by donor countries"/>
          <w:listItem w:displayText="17.2.1  Net official development assistance (ODA) to small island states (SIDS) from OECD-DAC countries, by donor countries" w:value="17.2.1  Net official development assistance (ODA) to small island states (SIDS) from OECD-DAC countries, by donor countries"/>
          <w:listItem w:displayText="17.2.1  Net official development assistance (ODA) to small island states (SIDS) as a percentage of OECD-DAC donors' GNI, by donor countries" w:value="17.2.1  Net official development assistance (ODA) to small island states (SIDS) as a percentage of OECD-DAC donors' GNI, by donor countries"/>
          <w:listItem w:displayText="17.2.1  Net official development assistance (ODA) as a percentage of OECD-DAC donors' GNI, by donor countries" w:value="17.2.1  Net official development assistance (ODA) as a percentage of OECD-DAC donors' GNI, by donor countries"/>
          <w:listItem w:displayText="17.2.1  Net official development assistance (ODA) from OECD-DAC countries, by donor countries" w:value="17.2.1  Net official development assistance (ODA) from OECD-DAC countries, by donor countries"/>
          <w:listItem w:displayText="17.3.1  Foreign direct investment (FDI), official development assistance and South-South cooperation as a proportion of total domestic budget" w:value="17.3.1  Foreign direct investment (FDI), official development assistance and South-South cooperation as a proportion of total domestic budget"/>
          <w:listItem w:displayText="17.3.2  Volume of remittances (in United States dollars) as a proportion of total GDP" w:value="17.3.2  Volume of remittances (in United States dollars) as a proportion of total GDP"/>
          <w:listItem w:displayText="17.4.1  Debt service as a proportion of exports of goods and services" w:value="17.4.1  Debt service as a proportion of exports of goods and services"/>
          <w:listItem w:displayText="17.5.1  Number of countries that adopt and implement investment promotion regimes for least developed countries" w:value="17.5.1  Number of countries that adopt and implement investment promotion regimes for least developed countries"/>
          <w:listItem w:displayText="17.6.2  Fixed broadband subscriptions per 100 inhabitants" w:value="17.6.2  Fixed broadband subscriptions per 100 inhabitants"/>
          <w:listItem w:displayText="17.6.2  Fixed broadband subscriptions (number)" w:value="17.6.2  Fixed broadband subscriptions (number)"/>
          <w:listItem w:displayText="17.7.1  Total amount of approved funding for developing countries to promote the development, transfer, dissemination and diffusion of environmentally sound technologies" w:value="17.7.1  Total amount of approved funding for developing countries to promote the development, transfer, dissemination and diffusion of environmentally sound technologies"/>
          <w:listItem w:displayText="17.8.1  Internet users per 100 inhabitants" w:value="17.8.1  Internet users per 100 inhabitants"/>
          <w:listItem w:displayText="17.9.1  Total official development assistance (gross disbursement) for technical cooperation" w:value="17.9.1  Total official development assistance (gross disbursement) for technical cooperation"/>
          <w:listItem w:displayText="17.10.1  Worldwide weighted tariff-average, most-favoured-nation status" w:value="17.10.1  Worldwide weighted tariff-average, most-favoured-nation status"/>
          <w:listItem w:displayText="17.10.1  Worldwide weighted tariff-average, preferential status" w:value="17.10.1  Worldwide weighted tariff-average, preferential status"/>
          <w:listItem w:displayText="17.11.1  Developing countries’ and least developed countries’ share of global merchandise exports" w:value="17.11.1  Developing countries’ and least developed countries’ share of global merchandise exports"/>
          <w:listItem w:displayText="17.11.1  Developing countries’ and least developed countries’ share of global services exports" w:value="17.11.1  Developing countries’ and least developed countries’ share of global services exports"/>
          <w:listItem w:displayText="17.11.1  Developing countries’ and least developed countries’ share of global merchandise imports" w:value="17.11.1  Developing countries’ and least developed countries’ share of global merchandise imports"/>
          <w:listItem w:displayText="17.11.1  Developing countries’ and least developed countries’ share of global services imports" w:value="17.11.1  Developing countries’ and least developed countries’ share of global services imports"/>
          <w:listItem w:displayText="17.12.1  Average tariff applied by developed countries" w:value="17.12.1  Average tariff applied by developed countries"/>
          <w:listItem w:displayText="17.14.1  Number of countries with mechanisms in place to enhance policy coherence of sustainable development" w:value="17.14.1  Number of countries with mechanisms in place to enhance policy coherence of sustainable development"/>
          <w:listItem w:displayText="17.15.1  Proportion of new development interventions drawn from country-led result frameworks - data by provider (%)" w:value="17.15.1  Proportion of new development interventions drawn from country-led result frameworks - data by provider (%)"/>
          <w:listItem w:displayText="17.15.1  Proportion of results indicators drawn from country-led results frameworks - data by provider (%)" w:value="17.15.1  Proportion of results indicators drawn from country-led results frameworks - data by provider (%)"/>
          <w:listItem w:displayText="17.15.1  Proportion of results indicators which will be monitored using government sources and monitoring systems - data by provider (%)" w:value="17.15.1  Proportion of results indicators which will be monitored using government sources and monitoring systems - data by provider (%)"/>
          <w:listItem w:displayText="17.15.1  Proportion of new development interventions drawn from country-led result frameworks - data by recipient (%)" w:value="17.15.1  Proportion of new development interventions drawn from country-led result frameworks - data by recipient (%)"/>
          <w:listItem w:displayText="17.15.1  Proportion of results indicators drawn from country-led results frameworks - data by recipient (%)" w:value="17.15.1  Proportion of results indicators drawn from country-led results frameworks - data by recipient (%)"/>
          <w:listItem w:displayText="17.15.1  Proportion of results indicators which will be monitored using government sources and monitoring systems - data by recipient (%)" w:value="17.15.1  Proportion of results indicators which will be monitored using government sources and monitoring systems - data by recipient (%)"/>
          <w:listItem w:displayText="17.15.1 Extent of use of country-owned results frameworks and planning tools by providers of development cooperation - data by provider (%)" w:value="17.15.1 Extent of use of country-owned results frameworks and planning tools by providers of development cooperation - data by provider (%)"/>
          <w:listItem w:displayText="17.15.1 Extent of use of country-owned results frameworks and planning tools by providers of development cooperation - data by recipient (%)" w:value="17.15.1 Extent of use of country-owned results frameworks and planning tools by providers of development cooperation - data by recipient (%)"/>
          <w:listItem w:displayText="17.16.1  Progress in multi-stakeholder development effectiveness monitoring frameworks that support the achievement of the sustainable development goals (1 = YES; 0 = NO)" w:value="17.16.1  Progress in multi-stakeholder development effectiveness monitoring frameworks that support the achievement of the sustainable development goals (1 = YES; 0 = NO)"/>
          <w:listItem w:displayText="17.17.1  Amount of United States dollars committed to public-private partnerships" w:value="17.17.1  Amount of United States dollars committed to public-private partnerships"/>
          <w:listItem w:displayText="17.17.1  Amount of United States dollars committed to civil society partnerships" w:value="17.17.1  Amount of United States dollars committed to civil society partnerships"/>
          <w:listItem w:displayText="17.18.1  Proportion of sustainable development indicators produced at the national level with full disaggregation when relevant to the target, in accordance with the Fundamental Principles of Official Statistics" w:value="17.18.1  Proportion of sustainable development indicators produced at the national level with full disaggregation when relevant to the target, in accordance with the Fundamental Principles of Official Statistics"/>
          <w:listItem w:displayText="17.18.2  Countries with national statistical legislation exists that complies with the Fundamental Principles of Official Statistics (1 = YES; 0 = NO)" w:value="17.18.2  Countries with national statistical legislation exists that complies with the Fundamental Principles of Official Statistics (1 = YES; 0 = NO)"/>
          <w:listItem w:displayText="17.18.3  Countries with national statistical plans with funding from donors (1 = YES; 0 = NO)" w:value="17.18.3  Countries with national statistical plans with funding from donors (1 = YES; 0 = NO)"/>
          <w:listItem w:displayText="17.18.3  Countries with national statistical plans with funding from Government (1 = YES; 0 = NO)" w:value="17.18.3  Countries with national statistical plans with funding from Government (1 = YES; 0 = NO)"/>
          <w:listItem w:displayText="17.18.3  Countries with national statistical plans with funding from others (1 = YES; 0 = NO)" w:value="17.18.3  Countries with national statistical plans with funding from others (1 = YES; 0 = NO)"/>
          <w:listItem w:displayText="17.18.3  Countries with national statistical plans that are fully funded (1 = YES; 0 = NO)" w:value="17.18.3  Countries with national statistical plans that are fully funded (1 = YES; 0 = NO)"/>
          <w:listItem w:displayText="17.18.3  Countries with national statistical plans that are under implementation (1 = YES; 0 = NO)" w:value="17.18.3  Countries with national statistical plans that are under implementation (1 = YES; 0 = NO)"/>
          <w:listItem w:displayText="17.19.1  Dollar value of all resources made available to strengthen statistical capacity in developing countries" w:value="17.19.1  Dollar value of all resources made available to strengthen statistical capacity in developing countries"/>
          <w:listItem w:displayText="17.19.2  Proportion of countries with birth registration data that are at least 90 percent complete" w:value="17.19.2  Proportion of countries with birth registration data that are at least 90 percent complete"/>
          <w:listItem w:displayText="17.19.2  Countries with birth registration data that are at least 90 percent complete (1 = YES; 0 = NO)" w:value="17.19.2  Countries with birth registration data that are at least 90 percent complete (1 = YES; 0 = NO)"/>
          <w:listItem w:displayText="17.19.2  Proportion of countries that have conducted at least one population and housing census in the last 10 years" w:value="17.19.2  Proportion of countries that have conducted at least one population and housing census in the last 10 years"/>
          <w:listItem w:displayText="17.19.2  Countries that have conducted at least one population and housing census in the last 10 years (1 = YES; 0 = NO)" w:value="17.19.2  Countries that have conducted at least one population and housing census in the last 10 years (1 = YES; 0 = NO)"/>
          <w:listItem w:displayText="17.19.2  Proportion of countries with death registration data that are at least 75 percent complete" w:value="17.19.2  Proportion of countries with death registration data that are at least 75 percent complete"/>
          <w:listItem w:displayText="17.19.2  Countries with death registration data that are at least 75 percent complete (1 = YES; 0 = NO)" w:value="17.19.2  Countries with death registration data that are at least 75 percent complete (1 = YES; 0 = NO)"/>
        </w:dropDownList>
      </w:sdtPr>
      <w:sdtEndPr/>
      <w:sdtContent>
        <w:p w14:paraId="3B822FC2" w14:textId="77777777" w:rsidR="00355460" w:rsidRPr="00837EC7" w:rsidRDefault="00355460" w:rsidP="00355460">
          <w:r w:rsidRPr="00837EC7">
            <w:rPr>
              <w:rStyle w:val="PlaceholderText"/>
            </w:rPr>
            <w:t>Choose an item.</w:t>
          </w:r>
        </w:p>
      </w:sdtContent>
    </w:sdt>
    <w:p w14:paraId="0C6EECD0" w14:textId="77777777" w:rsidR="00355460" w:rsidRPr="00837EC7" w:rsidRDefault="00355460" w:rsidP="002806B7">
      <w:pPr>
        <w:spacing w:after="0"/>
        <w:rPr>
          <w:sz w:val="26"/>
          <w:szCs w:val="26"/>
        </w:rPr>
      </w:pPr>
      <w:r w:rsidRPr="00837EC7">
        <w:rPr>
          <w:sz w:val="26"/>
          <w:szCs w:val="26"/>
        </w:rPr>
        <w:t>Reference area</w:t>
      </w:r>
    </w:p>
    <w:sdt>
      <w:sdtPr>
        <w:alias w:val="Reference Area"/>
        <w:tag w:val="ddRefArea"/>
        <w:id w:val="1992593286"/>
        <w:showingPlcHdr/>
        <w:dropDownList>
          <w:listItem w:displayText="World" w:value="World"/>
          <w:listItem w:displayText="Afghanistan" w:value="Afghanistan"/>
          <w:listItem w:displayText="Africa (ILO)" w:value="Africa (ILO)"/>
          <w:listItem w:displayText="Africa (M49)" w:value="Africa (M49)"/>
          <w:listItem w:displayText="Åland Islands" w:value="Åland Islands"/>
          <w:listItem w:displayText="Albania" w:value="Albania"/>
          <w:listItem w:displayText="American Samoa" w:value="American Samoa"/>
          <w:listItem w:displayText="Americas (M49)" w:value="Americas (M49)"/>
          <w:listItem w:displayText="Andorra" w:value="Andorra"/>
          <w:listItem w:displayText="Angola" w:value="Angola"/>
          <w:listItem w:displayText="Anguilla" w:value="Anguilla"/>
          <w:listItem w:displayText="Antarctica" w:value="Antarctica"/>
          <w:listItem w:displayText="Antigua and Barbuda" w:value="Antigua and Barbuda"/>
          <w:listItem w:displayText="Argentina" w:value="Argentina"/>
          <w:listItem w:displayText="Armenia" w:value="Armenia"/>
          <w:listItem w:displayText="Aruba" w:value="Aruba"/>
          <w:listItem w:displayText="Asia (M49)" w:value="Asia (M49)"/>
          <w:listItem w:displayText="Asia and the Pacific (ILO)" w:value="Asia and the Pacific (ILO)"/>
          <w:listItem w:displayText="Australia" w:value="Australia"/>
          <w:listItem w:displayText="Australia and New Zealand (SDG)" w:value="Australia and New Zealand (SDG)"/>
          <w:listItem w:displayText="Austria" w:value="Austria"/>
          <w:listItem w:displayText="Azerbaijan" w:value="Azerbaijan"/>
          <w:listItem w:displayText="Bahamas" w:value="Bahamas"/>
          <w:listItem w:displayText="Bahrain" w:value="Bahrain"/>
          <w:listItem w:displayText="Bangladesh" w:value="Bangladesh"/>
          <w:listItem w:displayText="Barbados" w:value="Barbados"/>
          <w:listItem w:displayText="Belarus" w:value="Belarus"/>
          <w:listItem w:displayText="Belgium" w:value="Belgium"/>
          <w:listItem w:displayText="Belize" w:value="Belize"/>
          <w:listItem w:displayText="Benin" w:value="Benin"/>
          <w:listItem w:displayText="Bermuda" w:value="Bermuda"/>
          <w:listItem w:displayText="Bhutan" w:value="Bhutan"/>
          <w:listItem w:displayText="Bolivia (Plurinational State of)" w:value="Bolivia (Plurinational State of)"/>
          <w:listItem w:displayText="Bonaire, Sint Eustatius and Saba" w:value="Bonaire, Sint Eustatius and Saba"/>
          <w:listItem w:displayText="Bosnia and Herzegovina" w:value="Bosnia and Herzegovina"/>
          <w:listItem w:displayText="Botswana" w:value="Botswana"/>
          <w:listItem w:displayText="Brazil" w:value="Brazil"/>
          <w:listItem w:displayText="British Indian Ocean Territory" w:value="British Indian Ocean Territory"/>
          <w:listItem w:displayText="British Virgin Islands" w:value="British Virgin Islands"/>
          <w:listItem w:displayText="Brunei Darussalam" w:value="Brunei Darussalam"/>
          <w:listItem w:displayText="Bulgaria" w:value="Bulgaria"/>
          <w:listItem w:displayText="Burkina Faso" w:value="Burkina Faso"/>
          <w:listItem w:displayText="Burundi" w:value="Burundi"/>
          <w:listItem w:displayText="Cabo Verde" w:value="Cabo Verde"/>
          <w:listItem w:displayText="Cambodia" w:value="Cambodia"/>
          <w:listItem w:displayText="Cameroon" w:value="Cameroon"/>
          <w:listItem w:displayText="Canada" w:value="Canada"/>
          <w:listItem w:displayText="Caribbean (M49)" w:value="Caribbean (M49)"/>
          <w:listItem w:displayText="Caucasus and Central Asia (MDG)" w:value="Caucasus and Central Asia (MDG)"/>
          <w:listItem w:displayText="Cayman Islands" w:value="Cayman Islands"/>
          <w:listItem w:displayText="Central African Republic" w:value="Central African Republic"/>
          <w:listItem w:displayText="Central America (M49)" w:value="Central America (M49)"/>
          <w:listItem w:displayText="Central and Eastern Europe (ILO)" w:value="Central and Eastern Europe (ILO)"/>
          <w:listItem w:displayText="Central Asia (M49)" w:value="Central Asia (M49)"/>
          <w:listItem w:displayText="Central Asia and Southern Asia (SDG)" w:value="Central Asia and Southern Asia (SDG)"/>
          <w:listItem w:displayText="Chad" w:value="Chad"/>
          <w:listItem w:displayText="Channel Islands" w:value="Channel Islands"/>
          <w:listItem w:displayText="Chile" w:value="Chile"/>
          <w:listItem w:displayText="China" w:value="China"/>
          <w:listItem w:displayText="China, Hong Kong Special Administrative Region" w:value="China, Hong Kong Special Administrative Region"/>
          <w:listItem w:displayText="China, Macao Special Administrative Region" w:value="China, Macao Special Administrative Region"/>
          <w:listItem w:displayText="Christmas Island" w:value="Christmas Island"/>
          <w:listItem w:displayText="Cocos (Keeling) Islands" w:value="Cocos (Keeling) Islands"/>
          <w:listItem w:displayText="Colombia" w:value="Colombia"/>
          <w:listItem w:displayText="Comoros" w:value="Comoros"/>
          <w:listItem w:displayText="Congo" w:value="Congo"/>
          <w:listItem w:displayText="Cook Islands" w:value="Cook Islands"/>
          <w:listItem w:displayText="Costa Rica" w:value="Costa Rica"/>
          <w:listItem w:displayText="Côte d'Ivoire" w:value="Côte d'Ivoire"/>
          <w:listItem w:displayText="Croatia" w:value="Croatia"/>
          <w:listItem w:displayText="Cuba" w:value="Cuba"/>
          <w:listItem w:displayText="Curaçao" w:value="Curaçao"/>
          <w:listItem w:displayText="Cyprus" w:value="Cyprus"/>
          <w:listItem w:displayText="Czechia" w:value="Czechia"/>
          <w:listItem w:displayText="Democratic People's Republic of Korea" w:value="Democratic People's Republic of Korea"/>
          <w:listItem w:displayText="Democratic Republic of the Congo" w:value="Democratic Republic of the Congo"/>
          <w:listItem w:displayText="Denmark" w:value="Denmark"/>
          <w:listItem w:displayText="Developed regions - Europe, Cyprus, Israel, Northern America, Japan, Australia &amp; New Zealand (MDG)" w:value="Developed regions - Europe, Cyprus, Israel, Northern America, Japan, Australia &amp; New Zealand (MDG)"/>
          <w:listItem w:displayText="Developing regions (MDG)" w:value="Developing regions (MDG)"/>
          <w:listItem w:displayText="Development Assistance Committee members (DAC)" w:value="Development Assistance Committee members (DAC)"/>
          <w:listItem w:displayText="Djibouti" w:value="Djibouti"/>
          <w:listItem w:displayText="Dominica" w:value="Dominica"/>
          <w:listItem w:displayText="Dominican Republic" w:value="Dominican Republic"/>
          <w:listItem w:displayText="Eastern Africa (M49)" w:value="Eastern Africa (M49)"/>
          <w:listItem w:displayText="Eastern Asia (M49)" w:value="Eastern Asia (M49)"/>
          <w:listItem w:displayText="Eastern Asia and South-eastern Asia (SDG)" w:value="Eastern Asia and South-eastern Asia (SDG)"/>
          <w:listItem w:displayText="Eastern Asia, exc. Japan (MDG)" w:value="Eastern Asia, exc. Japan (MDG)"/>
          <w:listItem w:displayText="Eastern Asia, exc. Japan and China (MDG)" w:value="Eastern Asia, exc. Japan and China (MDG)"/>
          <w:listItem w:displayText="Eastern Europe (M49)" w:value="Eastern Europe (M49)"/>
          <w:listItem w:displayText="Eastern Southern South-Eastern Asia and Oceania (MDG)" w:value="Eastern Southern South-Eastern Asia and Oceania (MDG)"/>
          <w:listItem w:displayText="Ecuador" w:value="Ecuador"/>
          <w:listItem w:displayText="Egypt" w:value="Egypt"/>
          <w:listItem w:displayText="El Salvador" w:value="El Salvador"/>
          <w:listItem w:displayText="Equatorial Guinea" w:value="Equatorial Guinea"/>
          <w:listItem w:displayText="Eritrea" w:value="Eritrea"/>
          <w:listItem w:displayText="Estonia" w:value="Estonia"/>
          <w:listItem w:displayText="Ethiopia" w:value="Ethiopia"/>
          <w:listItem w:displayText="Europe (M49)" w:value="Europe (M49)"/>
          <w:listItem w:displayText="Falkland Islands (Malvinas)" w:value="Falkland Islands (Malvinas)"/>
          <w:listItem w:displayText="Faroe Islands" w:value="Faroe Islands"/>
          <w:listItem w:displayText="Fiji" w:value="Fiji"/>
          <w:listItem w:displayText="Finland" w:value="Finland"/>
          <w:listItem w:displayText="France" w:value="France"/>
          <w:listItem w:displayText="French Guiana" w:value="French Guiana"/>
          <w:listItem w:displayText="French Polynesia" w:value="French Polynesia"/>
          <w:listItem w:displayText="French Southern Territories" w:value="French Southern Territories"/>
          <w:listItem w:displayText="Gabon" w:value="Gabon"/>
          <w:listItem w:displayText="Gambia" w:value="Gambia"/>
          <w:listItem w:displayText="Georgia" w:value="Georgia"/>
          <w:listItem w:displayText="Germany" w:value="Germany"/>
          <w:listItem w:displayText="Ghana" w:value="Ghana"/>
          <w:listItem w:displayText="Gibraltar" w:value="Gibraltar"/>
          <w:listItem w:displayText="Greece" w:value="Greece"/>
          <w:listItem w:displayText="Greenland" w:value="Greenland"/>
          <w:listItem w:displayText="Grenada" w:value="Grenada"/>
          <w:listItem w:displayText="Guadeloupe" w:value="Guadeloupe"/>
          <w:listItem w:displayText="Guam" w:value="Guam"/>
          <w:listItem w:displayText="Guatemala" w:value="Guatemala"/>
          <w:listItem w:displayText="Guernsey" w:value="Guernsey"/>
          <w:listItem w:displayText="Guinea" w:value="Guinea"/>
          <w:listItem w:displayText="Guinea-Bissau" w:value="Guinea-Bissau"/>
          <w:listItem w:displayText="Guyana" w:value="Guyana"/>
          <w:listItem w:displayText="Haiti" w:value="Haiti"/>
          <w:listItem w:displayText="Heard Island and McDonald Islands" w:value="Heard Island and McDonald Islands"/>
          <w:listItem w:displayText="High income economies (WB)" w:value="High income economies (WB)"/>
          <w:listItem w:displayText="Holy See" w:value="Holy See"/>
          <w:listItem w:displayText="Honduras" w:value="Honduras"/>
          <w:listItem w:displayText="Hungary" w:value="Hungary"/>
          <w:listItem w:displayText="Iceland" w:value="Iceland"/>
          <w:listItem w:displayText="India" w:value="India"/>
          <w:listItem w:displayText="Indonesia" w:value="Indonesia"/>
          <w:listItem w:displayText="International Centers (FAO)" w:value="International Centers (FAO)"/>
          <w:listItem w:displayText="Iran (Islamic Republic of)" w:value="Iran (Islamic Republic of)"/>
          <w:listItem w:displayText="Iraq" w:value="Iraq"/>
          <w:listItem w:displayText="Ireland" w:value="Ireland"/>
          <w:listItem w:displayText="Isle of Man" w:value="Isle of Man"/>
          <w:listItem w:displayText="Israel" w:value="Israel"/>
          <w:listItem w:displayText="Italy" w:value="Italy"/>
          <w:listItem w:displayText="Jamaica" w:value="Jamaica"/>
          <w:listItem w:displayText="Japan" w:value="Japan"/>
          <w:listItem w:displayText="Jersey" w:value="Jersey"/>
          <w:listItem w:displayText="Jordan" w:value="Jordan"/>
          <w:listItem w:displayText="Kazakhstan" w:value="Kazakhstan"/>
          <w:listItem w:displayText="Kenya" w:value="Kenya"/>
          <w:listItem w:displayText="Kiribati" w:value="Kiribati"/>
          <w:listItem w:displayText="Kosovo" w:value="Kosovo"/>
          <w:listItem w:displayText="Kuwait" w:value="Kuwait"/>
          <w:listItem w:displayText="Kyrgyzstan" w:value="Kyrgyzstan"/>
          <w:listItem w:displayText="Landlocked developing countries (LLDCs)" w:value="Landlocked developing countries (LLDCs)"/>
          <w:listItem w:displayText="Lao People's Democratic Republic" w:value="Lao People's Democratic Republic"/>
          <w:listItem w:displayText="Latin America (MDG)" w:value="Latin America (MDG)"/>
          <w:listItem w:displayText="Latin America and the Caribbean (SDG-MDG)" w:value="Latin America and the Caribbean (SDG-MDG)"/>
          <w:listItem w:displayText="Latvia" w:value="Latvia"/>
          <w:listItem w:displayText="Least Developed Countries (LDCs)" w:value="Least Developed Countries (LDCs)"/>
          <w:listItem w:displayText="Lebanon" w:value="Lebanon"/>
          <w:listItem w:displayText="Lesotho" w:value="Lesotho"/>
          <w:listItem w:displayText="Liberia" w:value="Liberia"/>
          <w:listItem w:displayText="Libya" w:value="Libya"/>
          <w:listItem w:displayText="Liechtenstein" w:value="Liechtenstein"/>
          <w:listItem w:displayText="Lithuania" w:value="Lithuania"/>
          <w:listItem w:displayText="Low and middle income economies (WB)" w:value="Low and middle income economies (WB)"/>
          <w:listItem w:displayText="Low income economies (WB)" w:value="Low income economies (WB)"/>
          <w:listItem w:displayText="Lower middle economies (WB)" w:value="Lower middle economies (WB)"/>
          <w:listItem w:displayText="Luxembourg" w:value="Luxembourg"/>
          <w:listItem w:displayText="Madagascar" w:value="Madagascar"/>
          <w:listItem w:displayText="Malawi" w:value="Malawi"/>
          <w:listItem w:displayText="Malaysia" w:value="Malaysia"/>
          <w:listItem w:displayText="Maldives" w:value="Maldives"/>
          <w:listItem w:displayText="Mali" w:value="Mali"/>
          <w:listItem w:displayText="Malta" w:value="Malta"/>
          <w:listItem w:displayText="Marshall Islands" w:value="Marshall Islands"/>
          <w:listItem w:displayText="Martinique" w:value="Martinique"/>
          <w:listItem w:displayText="Mauritania" w:value="Mauritania"/>
          <w:listItem w:displayText="Mauritius" w:value="Mauritius"/>
          <w:listItem w:displayText="Mayotte" w:value="Mayotte"/>
          <w:listItem w:displayText="Melanesia (M49)" w:value="Melanesia (M49)"/>
          <w:listItem w:displayText="Mexico" w:value="Mexico"/>
          <w:listItem w:displayText="Micronesia (Federated States of)" w:value="Micronesia (Federated States of)"/>
          <w:listItem w:displayText="Micronesia (M49)" w:value="Micronesia (M49)"/>
          <w:listItem w:displayText="Middle Africa (M49)" w:value="Middle Africa (M49)"/>
          <w:listItem w:displayText="Middle East (ILO)" w:value="Middle East (ILO)"/>
          <w:listItem w:displayText="Middle East and North Africa (ILO)" w:value="Middle East and North Africa (ILO)"/>
          <w:listItem w:displayText="Monaco" w:value="Monaco"/>
          <w:listItem w:displayText="Mongolia" w:value="Mongolia"/>
          <w:listItem w:displayText="Montenegro" w:value="Montenegro"/>
          <w:listItem w:displayText="Montserrat" w:value="Montserrat"/>
          <w:listItem w:displayText="Morocco" w:value="Morocco"/>
          <w:listItem w:displayText="Mozambique" w:value="Mozambique"/>
          <w:listItem w:displayText="Myanmar" w:value="Myanmar"/>
          <w:listItem w:displayText="Namibia" w:value="Namibia"/>
          <w:listItem w:displayText="Nauru" w:value="Nauru"/>
          <w:listItem w:displayText="Nepal" w:value="Nepal"/>
          <w:listItem w:displayText="Netherlands" w:value="Netherlands"/>
          <w:listItem w:displayText="Netherlands Antilles [former, 1986 to 2010]" w:value="Netherlands Antilles [former, 1986 to 2010]"/>
          <w:listItem w:displayText="New Caledonia" w:value="New Caledonia"/>
          <w:listItem w:displayText="New Zealand" w:value="New Zealand"/>
          <w:listItem w:displayText="Nicaragua" w:value="Nicaragua"/>
          <w:listItem w:displayText="Niger" w:value="Niger"/>
          <w:listItem w:displayText="Nigeria" w:value="Nigeria"/>
          <w:listItem w:displayText="Niue" w:value="Niue"/>
          <w:listItem w:displayText="Norfolk Island" w:value="Norfolk Island"/>
          <w:listItem w:displayText="North America (ILO)" w:value="North America (ILO)"/>
          <w:listItem w:displayText="Northern Africa (M49)" w:value="Northern Africa (M49)"/>
          <w:listItem w:displayText="Northern Africa, exc. Sudan (MDG)" w:value="Northern Africa, exc. Sudan (MDG)"/>
          <w:listItem w:displayText="Northern America (M49)" w:value="Northern America (M49)"/>
          <w:listItem w:displayText="Northern America and Europe (SDG)" w:value="Northern America and Europe (SDG)"/>
          <w:listItem w:displayText="Northern Europe (M49)" w:value="Northern Europe (M49)"/>
          <w:listItem w:displayText="Northern Mariana Islands" w:value="Northern Mariana Islands"/>
          <w:listItem w:displayText="Norway" w:value="Norway"/>
          <w:listItem w:displayText="Oceania (M49)" w:value="Oceania (M49)"/>
          <w:listItem w:displayText="Oceania, exc. Australia and New Zealand (SDG-MDG)" w:value="Oceania, exc. Australia and New Zealand (SDG-MDG)"/>
          <w:listItem w:displayText="OECD Member States" w:value="OECD Member States"/>
          <w:listItem w:displayText="Oman" w:value="Oman"/>
          <w:listItem w:displayText="Other regions (ILO)" w:value="Other regions (ILO)"/>
          <w:listItem w:displayText="Pakistan" w:value="Pakistan"/>
          <w:listItem w:displayText="Palau" w:value="Palau"/>
          <w:listItem w:displayText="Panama" w:value="Panama"/>
          <w:listItem w:displayText="Papua New Guinea" w:value="Papua New Guinea"/>
          <w:listItem w:displayText="Paraguay" w:value="Paraguay"/>
          <w:listItem w:displayText="Peru" w:value="Peru"/>
          <w:listItem w:displayText="Philippines" w:value="Philippines"/>
          <w:listItem w:displayText="Pitcairn" w:value="Pitcairn"/>
          <w:listItem w:displayText="Poland" w:value="Poland"/>
          <w:listItem w:displayText="Polynesia (M49)" w:value="Polynesia (M49)"/>
          <w:listItem w:displayText="Portugal" w:value="Portugal"/>
          <w:listItem w:displayText="Puerto Rico" w:value="Puerto Rico"/>
          <w:listItem w:displayText="Qatar" w:value="Qatar"/>
          <w:listItem w:displayText="Republic of Korea" w:value="Republic of Korea"/>
          <w:listItem w:displayText="Republic of Moldova" w:value="Republic of Moldova"/>
          <w:listItem w:displayText="Réunion" w:value="Réunion"/>
          <w:listItem w:displayText="Romania" w:value="Romania"/>
          <w:listItem w:displayText="Russian Federation" w:value="Russian Federation"/>
          <w:listItem w:displayText="Rwanda" w:value="Rwanda"/>
          <w:listItem w:displayText="Saint Barthélemy" w:value="Saint Barthélemy"/>
          <w:listItem w:displayText="Saint Helena" w:value="Saint Helena"/>
          <w:listItem w:displayText="Saint Kitts and Nevis" w:value="Saint Kitts and Nevis"/>
          <w:listItem w:displayText="Saint Lucia" w:value="Saint Lucia"/>
          <w:listItem w:displayText="Saint Martin (French Part)" w:value="Saint Martin (French Part)"/>
          <w:listItem w:displayText="Saint Pierre and Miquelon" w:value="Saint Pierre and Miquelon"/>
          <w:listItem w:displayText="Saint Vincent and the Grenadines" w:value="Saint Vincent and the Grenadines"/>
          <w:listItem w:displayText="Samoa" w:value="Samoa"/>
          <w:listItem w:displayText="San Marino" w:value="San Marino"/>
          <w:listItem w:displayText="Sao Tome and Principe" w:value="Sao Tome and Principe"/>
          <w:listItem w:displayText="Saudi Arabia" w:value="Saudi Arabia"/>
          <w:listItem w:displayText="Senegal" w:value="Senegal"/>
          <w:listItem w:displayText="Serbia" w:value="Serbia"/>
          <w:listItem w:displayText="Serbia and Montenegro [former]" w:value="Serbia and Montenegro [former]"/>
          <w:listItem w:displayText="Seychelles" w:value="Seychelles"/>
          <w:listItem w:displayText="Sierra Leone" w:value="Sierra Leone"/>
          <w:listItem w:displayText="Singapore" w:value="Singapore"/>
          <w:listItem w:displayText="Sint Maarten (Dutch part)" w:value="Sint Maarten (Dutch part)"/>
          <w:listItem w:displayText="Slovakia" w:value="Slovakia"/>
          <w:listItem w:displayText="Slovenia" w:value="Slovenia"/>
          <w:listItem w:displayText="Small island developing States (SIDS)" w:value="Small island developing States (SIDS)"/>
          <w:listItem w:displayText="Solomon Islands" w:value="Solomon Islands"/>
          <w:listItem w:displayText="Somalia" w:value="Somalia"/>
          <w:listItem w:displayText="South Africa" w:value="South Africa"/>
          <w:listItem w:displayText="South America (M49)" w:value="South America (M49)"/>
          <w:listItem w:displayText="South Georgia and the South Sandwich Islands" w:value="South Georgia and the South Sandwich Islands"/>
          <w:listItem w:displayText="South Sudan" w:value="South Sudan"/>
          <w:listItem w:displayText="South-eastern Asia (M49-MDG)" w:value="South-eastern Asia (M49-MDG)"/>
          <w:listItem w:displayText="Southern Africa (M49)" w:value="Southern Africa (M49)"/>
          <w:listItem w:displayText="Southern Asia (M49-MDG)" w:value="Southern Asia (M49-MDG)"/>
          <w:listItem w:displayText="Southern Asia, exc. India (MDG)" w:value="Southern Asia, exc. India (MDG)"/>
          <w:listItem w:displayText="Southern Europe (M49)" w:value="Southern Europe (M49)"/>
          <w:listItem w:displayText="Spain" w:value="Spain"/>
          <w:listItem w:displayText="Sri Lanka" w:value="Sri Lanka"/>
          <w:listItem w:displayText="State of Palestine" w:value="State of Palestine"/>
          <w:listItem w:displayText="Sub-Saharan Africa (SDG)" w:value="Sub-Saharan Africa (SDG)"/>
          <w:listItem w:displayText="Sub-Saharan Africa, inc. Sudan (MDG)" w:value="Sub-Saharan Africa, inc. Sudan (MDG)"/>
          <w:listItem w:displayText="Sudan" w:value="Sudan"/>
          <w:listItem w:displayText="Sudan [former]" w:value="Sudan [former]"/>
          <w:listItem w:displayText="Suriname" w:value="Suriname"/>
          <w:listItem w:displayText="Svalbard and Jan Mayen Islands" w:value="Svalbard and Jan Mayen Islands"/>
          <w:listItem w:displayText="Swaziland" w:value="Swaziland"/>
          <w:listItem w:displayText="Sweden" w:value="Sweden"/>
          <w:listItem w:displayText="Switzerland" w:value="Switzerland"/>
          <w:listItem w:displayText="Syrian Arab Republic" w:value="Syrian Arab Republic"/>
          <w:listItem w:displayText="Tajikistan" w:value="Tajikistan"/>
          <w:listItem w:displayText="Thailand" w:value="Thailand"/>
          <w:listItem w:displayText="The former Yugoslav Republic of Macedonia" w:value="The former Yugoslav Republic of Macedonia"/>
          <w:listItem w:displayText="Timor-Leste" w:value="Timor-Leste"/>
          <w:listItem w:displayText="Togo" w:value="Togo"/>
          <w:listItem w:displayText="Tokelau" w:value="Tokelau"/>
          <w:listItem w:displayText="Tonga" w:value="Tonga"/>
          <w:listItem w:displayText="Trinidad and Tobago" w:value="Trinidad and Tobago"/>
          <w:listItem w:displayText="Tunisia" w:value="Tunisia"/>
          <w:listItem w:displayText="Turkey" w:value="Turkey"/>
          <w:listItem w:displayText="Turkmenistan" w:value="Turkmenistan"/>
          <w:listItem w:displayText="Turks and Caicos Islands" w:value="Turks and Caicos Islands"/>
          <w:listItem w:displayText="Tuvalu" w:value="Tuvalu"/>
          <w:listItem w:displayText="Uganda" w:value="Uganda"/>
          <w:listItem w:displayText="Ukraine" w:value="Ukraine"/>
          <w:listItem w:displayText="United Arab Emirates" w:value="United Arab Emirates"/>
          <w:listItem w:displayText="United Kingdom of Great Britain and Northern Ireland" w:value="United Kingdom of Great Britain and Northern Ireland"/>
          <w:listItem w:displayText="United Republic of Tanzania" w:value="United Republic of Tanzania"/>
          <w:listItem w:displayText="United Republic of Tanzania (Mainland)" w:value="United Republic of Tanzania (Mainland)"/>
          <w:listItem w:displayText="United Republic of Tanzania (Zanzibar)" w:value="United Republic of Tanzania (Zanzibar)"/>
          <w:listItem w:displayText="United States minor outlying islands" w:value="United States minor outlying islands"/>
          <w:listItem w:displayText="United States of America" w:value="United States of America"/>
          <w:listItem w:displayText="United States Virgin Islands" w:value="United States Virgin Islands"/>
          <w:listItem w:displayText="Upper middle economies (WB)" w:value="Upper middle economies (WB)"/>
          <w:listItem w:displayText="Uruguay" w:value="Uruguay"/>
          <w:listItem w:displayText="Uzbekistan" w:value="Uzbekistan"/>
          <w:listItem w:displayText="Vanuatu" w:value="Vanuatu"/>
          <w:listItem w:displayText="Venezuela (Bolivarian Republic of)" w:value="Venezuela (Bolivarian Republic of)"/>
          <w:listItem w:displayText="Viet Nam" w:value="Viet Nam"/>
          <w:listItem w:displayText="Wallis and Futuna Islands" w:value="Wallis and Futuna Islands"/>
          <w:listItem w:displayText="Western Africa (M49)" w:value="Western Africa (M49)"/>
          <w:listItem w:displayText="Western Asia (M49)" w:value="Western Asia (M49)"/>
          <w:listItem w:displayText="Western Asia and Northern Africa (SDG)" w:value="Western Asia and Northern Africa (SDG)"/>
          <w:listItem w:displayText="Western Asia, exc. Armenia, Azerbaijan, Cyprus, Israel and Georgia (MDG)" w:value="Western Asia, exc. Armenia, Azerbaijan, Cyprus, Israel and Georgia (MDG)"/>
          <w:listItem w:displayText="Western Europe (ILO)" w:value="Western Europe (ILO)"/>
          <w:listItem w:displayText="Western Europe (M49)" w:value="Western Europe (M49)"/>
          <w:listItem w:displayText="Western Sahara" w:value="Western Sahara"/>
          <w:listItem w:displayText="WTO Developed Member States" w:value="WTO Developed Member States"/>
          <w:listItem w:displayText="WTO Developing Member States" w:value="WTO Developing Member States"/>
          <w:listItem w:displayText="WTO Member States" w:value="WTO Member States"/>
          <w:listItem w:displayText="Yemen" w:value="Yemen"/>
          <w:listItem w:displayText="Zambia" w:value="Zambia"/>
          <w:listItem w:displayText="Zimbabwe" w:value="Zimbabwe"/>
        </w:dropDownList>
      </w:sdtPr>
      <w:sdtEndPr/>
      <w:sdtContent>
        <w:p w14:paraId="167F980B" w14:textId="0AE7616C" w:rsidR="00355460" w:rsidRPr="00837EC7" w:rsidRDefault="00355460" w:rsidP="00355460">
          <w:r w:rsidRPr="00837EC7">
            <w:rPr>
              <w:rStyle w:val="PlaceholderText"/>
            </w:rPr>
            <w:t>Choose an item.</w:t>
          </w:r>
        </w:p>
      </w:sdtContent>
    </w:sdt>
    <w:p w14:paraId="69911511" w14:textId="77777777" w:rsidR="00B8102F" w:rsidRPr="00837EC7" w:rsidRDefault="00B8102F" w:rsidP="00355460"/>
    <w:p w14:paraId="04071A0F" w14:textId="77777777" w:rsidR="00693674" w:rsidRPr="00837EC7" w:rsidRDefault="000149A9" w:rsidP="004962C5">
      <w:pPr>
        <w:pStyle w:val="MHeader"/>
        <w:outlineLvl w:val="0"/>
      </w:pPr>
      <w:bookmarkStart w:id="1" w:name="_Toc37932742"/>
      <w:r w:rsidRPr="00837EC7">
        <w:t xml:space="preserve">Metadata </w:t>
      </w:r>
      <w:r w:rsidR="004962C5" w:rsidRPr="00837EC7">
        <w:t>Submission Form</w:t>
      </w:r>
      <w:bookmarkEnd w:id="1"/>
    </w:p>
    <w:p w14:paraId="4B748B70" w14:textId="132BFDC7" w:rsidR="00B74489" w:rsidRPr="00837EC7" w:rsidRDefault="00B74489"/>
    <w:tbl>
      <w:tblPr>
        <w:tblW w:w="4750" w:type="pct"/>
        <w:tblLayout w:type="fixed"/>
        <w:tblCellMar>
          <w:left w:w="115" w:type="dxa"/>
          <w:right w:w="115" w:type="dxa"/>
        </w:tblCellMar>
        <w:tblLook w:val="04A0" w:firstRow="1" w:lastRow="0" w:firstColumn="1" w:lastColumn="0" w:noHBand="0" w:noVBand="1"/>
      </w:tblPr>
      <w:tblGrid>
        <w:gridCol w:w="3088"/>
        <w:gridCol w:w="5804"/>
      </w:tblGrid>
      <w:tr w:rsidR="005377B9" w:rsidRPr="00837EC7" w14:paraId="6A90766E" w14:textId="77777777" w:rsidTr="0051738B">
        <w:trPr>
          <w:trHeight w:val="470"/>
        </w:trPr>
        <w:tc>
          <w:tcPr>
            <w:tcW w:w="8892" w:type="dxa"/>
            <w:gridSpan w:val="2"/>
            <w:tcBorders>
              <w:top w:val="nil"/>
              <w:left w:val="nil"/>
              <w:bottom w:val="nil"/>
              <w:right w:val="nil"/>
            </w:tcBorders>
            <w:shd w:val="clear" w:color="auto" w:fill="auto"/>
            <w:noWrap/>
            <w:vAlign w:val="bottom"/>
            <w:hideMark/>
          </w:tcPr>
          <w:p w14:paraId="425C50B1" w14:textId="77777777" w:rsidR="005377B9" w:rsidRPr="00837EC7" w:rsidRDefault="005377B9" w:rsidP="0051738B">
            <w:pPr>
              <w:pStyle w:val="Heading2"/>
              <w:rPr>
                <w:rFonts w:ascii="Times New Roman" w:hAnsi="Times New Roman"/>
                <w:sz w:val="32"/>
                <w:szCs w:val="32"/>
              </w:rPr>
            </w:pPr>
            <w:bookmarkStart w:id="2" w:name="_Toc36655608"/>
            <w:bookmarkStart w:id="3" w:name="_Toc36812571"/>
            <w:bookmarkStart w:id="4" w:name="_Toc36812684"/>
            <w:bookmarkStart w:id="5" w:name="_Toc36813071"/>
            <w:bookmarkStart w:id="6" w:name="_Toc37932743"/>
            <w:r w:rsidRPr="00837EC7">
              <w:rPr>
                <w:sz w:val="32"/>
                <w:szCs w:val="32"/>
              </w:rPr>
              <w:t>0. Indicator information</w:t>
            </w:r>
            <w:bookmarkEnd w:id="2"/>
            <w:bookmarkEnd w:id="3"/>
            <w:bookmarkEnd w:id="4"/>
            <w:bookmarkEnd w:id="5"/>
            <w:bookmarkEnd w:id="6"/>
          </w:p>
        </w:tc>
      </w:tr>
      <w:tr w:rsidR="005377B9" w:rsidRPr="00837EC7" w14:paraId="7551DD55" w14:textId="77777777" w:rsidTr="0051738B">
        <w:trPr>
          <w:trHeight w:val="300"/>
        </w:trPr>
        <w:tc>
          <w:tcPr>
            <w:tcW w:w="3088" w:type="dxa"/>
            <w:tcBorders>
              <w:top w:val="nil"/>
              <w:left w:val="nil"/>
              <w:bottom w:val="nil"/>
              <w:right w:val="nil"/>
            </w:tcBorders>
            <w:shd w:val="clear" w:color="000000" w:fill="D9E1F2"/>
            <w:noWrap/>
            <w:vAlign w:val="bottom"/>
            <w:hideMark/>
          </w:tcPr>
          <w:p w14:paraId="431C5BE3" w14:textId="77777777" w:rsidR="005377B9" w:rsidRPr="00837EC7" w:rsidRDefault="005377B9" w:rsidP="0051738B">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5804" w:type="dxa"/>
            <w:tcBorders>
              <w:top w:val="nil"/>
              <w:left w:val="nil"/>
              <w:bottom w:val="nil"/>
              <w:right w:val="nil"/>
            </w:tcBorders>
            <w:shd w:val="clear" w:color="000000" w:fill="D9E1F2"/>
            <w:noWrap/>
            <w:vAlign w:val="bottom"/>
            <w:hideMark/>
          </w:tcPr>
          <w:p w14:paraId="31FDEBF5" w14:textId="77777777" w:rsidR="005377B9" w:rsidRPr="00837EC7" w:rsidRDefault="005377B9" w:rsidP="0051738B">
            <w:pPr>
              <w:spacing w:after="0" w:line="240" w:lineRule="auto"/>
              <w:rPr>
                <w:rFonts w:ascii="Calibri" w:eastAsia="Times New Roman" w:hAnsi="Calibri" w:cs="Calibri"/>
                <w:i/>
                <w:iCs/>
                <w:color w:val="000000"/>
              </w:rPr>
            </w:pPr>
            <w:r w:rsidRPr="00837EC7">
              <w:rPr>
                <w:rFonts w:ascii="Calibri" w:eastAsia="Times New Roman" w:hAnsi="Calibri" w:cs="Calibri"/>
                <w:i/>
                <w:iCs/>
                <w:color w:val="000000"/>
              </w:rPr>
              <w:t xml:space="preserve">Insert text, lists, tables, and images. </w:t>
            </w:r>
          </w:p>
        </w:tc>
      </w:tr>
      <w:tr w:rsidR="005377B9" w:rsidRPr="00837EC7" w14:paraId="4491289B"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tcPr>
          <w:p w14:paraId="60A50315" w14:textId="77777777" w:rsidR="005377B9" w:rsidRPr="00837EC7" w:rsidRDefault="005377B9" w:rsidP="0051738B">
            <w:pPr>
              <w:spacing w:after="0" w:line="240" w:lineRule="auto"/>
              <w:rPr>
                <w:rFonts w:ascii="Calibri" w:eastAsia="Times New Roman" w:hAnsi="Calibri" w:cs="Calibri"/>
              </w:rPr>
            </w:pPr>
            <w:r w:rsidRPr="00837EC7">
              <w:rPr>
                <w:rFonts w:ascii="Calibri" w:eastAsia="Times New Roman" w:hAnsi="Calibri" w:cs="Calibri"/>
              </w:rPr>
              <w:t>0. Indicator information</w:t>
            </w:r>
          </w:p>
        </w:tc>
        <w:tc>
          <w:tcPr>
            <w:tcW w:w="5804" w:type="dxa"/>
            <w:tcBorders>
              <w:top w:val="single" w:sz="4" w:space="0" w:color="auto"/>
              <w:left w:val="nil"/>
              <w:bottom w:val="single" w:sz="4" w:space="0" w:color="auto"/>
              <w:right w:val="single" w:sz="4" w:space="0" w:color="auto"/>
            </w:tcBorders>
            <w:shd w:val="clear" w:color="auto" w:fill="auto"/>
          </w:tcPr>
          <w:p w14:paraId="35742A8D" w14:textId="77777777" w:rsidR="005377B9" w:rsidRPr="00837EC7" w:rsidRDefault="005377B9" w:rsidP="0051738B">
            <w:pPr>
              <w:pStyle w:val="MGTHeader"/>
              <w:rPr>
                <w:rFonts w:cstheme="minorHAnsi"/>
              </w:rPr>
            </w:pPr>
          </w:p>
        </w:tc>
      </w:tr>
      <w:tr w:rsidR="005377B9" w:rsidRPr="00837EC7" w14:paraId="3486658F"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hideMark/>
          </w:tcPr>
          <w:p w14:paraId="0FCFA3CB" w14:textId="2A1E075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0.a. Goal</w:t>
            </w:r>
          </w:p>
        </w:tc>
        <w:tc>
          <w:tcPr>
            <w:tcW w:w="5804" w:type="dxa"/>
            <w:tcBorders>
              <w:top w:val="single" w:sz="4" w:space="0" w:color="auto"/>
              <w:left w:val="nil"/>
              <w:bottom w:val="single" w:sz="4" w:space="0" w:color="auto"/>
              <w:right w:val="single" w:sz="4" w:space="0" w:color="auto"/>
            </w:tcBorders>
            <w:shd w:val="clear" w:color="auto" w:fill="auto"/>
          </w:tcPr>
          <w:p w14:paraId="2BCB6249" w14:textId="38C66961" w:rsidR="005377B9" w:rsidRPr="00837EC7" w:rsidRDefault="009674F6" w:rsidP="008D7A9D">
            <w:pPr>
              <w:pStyle w:val="MGTHeader"/>
              <w:rPr>
                <w:rFonts w:cstheme="minorHAnsi"/>
              </w:rPr>
            </w:pPr>
            <w:r w:rsidRPr="00282BF7">
              <w:rPr>
                <w:rFonts w:cstheme="minorHAnsi"/>
                <w:bCs/>
              </w:rPr>
              <w:t>Goal 15: Protect, restore and promote sustainable use of terrestrial ecosystems, sustainably manage forests, combat desertification, and halt and reverse land degradation and halt biodiversity loss</w:t>
            </w:r>
          </w:p>
        </w:tc>
      </w:tr>
      <w:tr w:rsidR="005377B9" w:rsidRPr="00837EC7" w14:paraId="17CE14A5"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2F2ED07"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0.b. Target</w:t>
            </w:r>
          </w:p>
        </w:tc>
        <w:tc>
          <w:tcPr>
            <w:tcW w:w="5804" w:type="dxa"/>
            <w:tcBorders>
              <w:top w:val="nil"/>
              <w:left w:val="nil"/>
              <w:bottom w:val="single" w:sz="4" w:space="0" w:color="auto"/>
              <w:right w:val="single" w:sz="4" w:space="0" w:color="auto"/>
            </w:tcBorders>
            <w:shd w:val="clear" w:color="auto" w:fill="auto"/>
          </w:tcPr>
          <w:p w14:paraId="5C7BE35B" w14:textId="2FA9C47D" w:rsidR="005377B9" w:rsidRPr="00837EC7" w:rsidRDefault="009674F6" w:rsidP="008D7A9D">
            <w:pPr>
              <w:pStyle w:val="MGTHeader"/>
              <w:rPr>
                <w:rFonts w:cstheme="minorHAnsi"/>
              </w:rPr>
            </w:pPr>
            <w:r w:rsidRPr="00282BF7">
              <w:rPr>
                <w:rFonts w:cstheme="minorHAnsi"/>
                <w:bCs/>
              </w:rPr>
              <w:t>Target 15.2: By 2020, promote the implementation of sustainable management of all types of forests, halt deforestation, restore degraded forests and substantially increase afforestation and reforestation globally</w:t>
            </w:r>
          </w:p>
        </w:tc>
      </w:tr>
      <w:tr w:rsidR="005377B9" w:rsidRPr="00837EC7" w14:paraId="239597B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57FAB7B6"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0.c. Indicator</w:t>
            </w:r>
          </w:p>
        </w:tc>
        <w:tc>
          <w:tcPr>
            <w:tcW w:w="5804" w:type="dxa"/>
            <w:tcBorders>
              <w:top w:val="nil"/>
              <w:left w:val="nil"/>
              <w:bottom w:val="single" w:sz="4" w:space="0" w:color="auto"/>
              <w:right w:val="single" w:sz="4" w:space="0" w:color="auto"/>
            </w:tcBorders>
            <w:shd w:val="clear" w:color="auto" w:fill="auto"/>
          </w:tcPr>
          <w:p w14:paraId="48669CAE" w14:textId="2797607D" w:rsidR="005377B9" w:rsidRPr="008D7A9D" w:rsidRDefault="009674F6" w:rsidP="008D7A9D">
            <w:pPr>
              <w:pStyle w:val="MIndHeader"/>
              <w:rPr>
                <w:rFonts w:cstheme="minorHAnsi"/>
                <w:bCs/>
              </w:rPr>
            </w:pPr>
            <w:r w:rsidRPr="00282BF7">
              <w:rPr>
                <w:rFonts w:cstheme="minorHAnsi"/>
                <w:bCs/>
              </w:rPr>
              <w:t xml:space="preserve">Indicator 15.2.1: Progress towards sustainable forest management </w:t>
            </w:r>
          </w:p>
        </w:tc>
      </w:tr>
      <w:tr w:rsidR="005377B9" w:rsidRPr="00837EC7" w14:paraId="6E04BD3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3CE99BB9"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0.d. Series</w:t>
            </w:r>
          </w:p>
        </w:tc>
        <w:tc>
          <w:tcPr>
            <w:tcW w:w="5804" w:type="dxa"/>
            <w:tcBorders>
              <w:top w:val="nil"/>
              <w:left w:val="nil"/>
              <w:bottom w:val="single" w:sz="4" w:space="0" w:color="auto"/>
              <w:right w:val="single" w:sz="4" w:space="0" w:color="auto"/>
            </w:tcBorders>
            <w:shd w:val="clear" w:color="auto" w:fill="auto"/>
          </w:tcPr>
          <w:p w14:paraId="6907DF0C" w14:textId="77777777" w:rsidR="005377B9" w:rsidRPr="00837EC7" w:rsidRDefault="005377B9" w:rsidP="0051738B">
            <w:pPr>
              <w:spacing w:after="0" w:line="240" w:lineRule="auto"/>
              <w:rPr>
                <w:rFonts w:ascii="Calibri" w:eastAsia="Times New Roman" w:hAnsi="Calibri" w:cs="Calibri"/>
                <w:color w:val="000000"/>
              </w:rPr>
            </w:pPr>
          </w:p>
        </w:tc>
      </w:tr>
      <w:tr w:rsidR="005377B9" w:rsidRPr="00837EC7" w14:paraId="6A17E79A"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46DB58AB"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0.e. Metadata update</w:t>
            </w:r>
          </w:p>
        </w:tc>
        <w:tc>
          <w:tcPr>
            <w:tcW w:w="5804" w:type="dxa"/>
            <w:tcBorders>
              <w:top w:val="nil"/>
              <w:left w:val="nil"/>
              <w:bottom w:val="single" w:sz="4" w:space="0" w:color="auto"/>
              <w:right w:val="single" w:sz="4" w:space="0" w:color="auto"/>
            </w:tcBorders>
            <w:shd w:val="clear" w:color="auto" w:fill="auto"/>
          </w:tcPr>
          <w:p w14:paraId="67E57DCC" w14:textId="59896797" w:rsidR="005377B9" w:rsidRPr="00837EC7" w:rsidRDefault="009674F6" w:rsidP="008D7A9D">
            <w:pPr>
              <w:pStyle w:val="Header"/>
              <w:rPr>
                <w:color w:val="7F7F7F" w:themeColor="text1" w:themeTint="80"/>
                <w:sz w:val="18"/>
                <w:szCs w:val="18"/>
              </w:rPr>
            </w:pPr>
            <w:r w:rsidRPr="00282BF7">
              <w:rPr>
                <w:color w:val="7F7F7F" w:themeColor="text1" w:themeTint="80"/>
                <w:sz w:val="18"/>
                <w:szCs w:val="18"/>
              </w:rPr>
              <w:t xml:space="preserve">Last update: </w:t>
            </w:r>
            <w:r>
              <w:rPr>
                <w:color w:val="7F7F7F" w:themeColor="text1" w:themeTint="80"/>
                <w:sz w:val="18"/>
                <w:szCs w:val="18"/>
              </w:rPr>
              <w:t>March 2019</w:t>
            </w:r>
          </w:p>
        </w:tc>
      </w:tr>
      <w:tr w:rsidR="005377B9" w:rsidRPr="00837EC7" w14:paraId="24853ED6" w14:textId="77777777" w:rsidTr="0051738B">
        <w:trPr>
          <w:trHeight w:val="332"/>
        </w:trPr>
        <w:tc>
          <w:tcPr>
            <w:tcW w:w="3088" w:type="dxa"/>
            <w:tcBorders>
              <w:top w:val="nil"/>
              <w:left w:val="nil"/>
              <w:bottom w:val="single" w:sz="4" w:space="0" w:color="auto"/>
              <w:right w:val="single" w:sz="4" w:space="0" w:color="auto"/>
            </w:tcBorders>
            <w:shd w:val="clear" w:color="auto" w:fill="E7E6E6" w:themeFill="background2"/>
            <w:hideMark/>
          </w:tcPr>
          <w:p w14:paraId="321CFFC0"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0.f. Related indicators</w:t>
            </w:r>
          </w:p>
        </w:tc>
        <w:tc>
          <w:tcPr>
            <w:tcW w:w="5804" w:type="dxa"/>
            <w:tcBorders>
              <w:top w:val="nil"/>
              <w:left w:val="nil"/>
              <w:bottom w:val="single" w:sz="4" w:space="0" w:color="auto"/>
              <w:right w:val="single" w:sz="4" w:space="0" w:color="auto"/>
            </w:tcBorders>
            <w:shd w:val="clear" w:color="auto" w:fill="auto"/>
          </w:tcPr>
          <w:p w14:paraId="1D8C2572" w14:textId="77777777" w:rsidR="005377B9" w:rsidRPr="00837EC7" w:rsidRDefault="005377B9" w:rsidP="0051738B">
            <w:pPr>
              <w:spacing w:after="0"/>
              <w:rPr>
                <w:rFonts w:cstheme="minorHAnsi"/>
              </w:rPr>
            </w:pPr>
          </w:p>
        </w:tc>
      </w:tr>
      <w:tr w:rsidR="005377B9" w:rsidRPr="00837EC7" w14:paraId="629A2A6F"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6C868F7"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 xml:space="preserve">0.g. International </w:t>
            </w:r>
            <w:proofErr w:type="spellStart"/>
            <w:r w:rsidRPr="00837EC7">
              <w:rPr>
                <w:rFonts w:ascii="Calibri" w:eastAsia="Times New Roman" w:hAnsi="Calibri" w:cs="Calibri"/>
              </w:rPr>
              <w:t>organisations</w:t>
            </w:r>
            <w:proofErr w:type="spellEnd"/>
            <w:r w:rsidRPr="00837EC7">
              <w:rPr>
                <w:rFonts w:ascii="Calibri" w:eastAsia="Times New Roman" w:hAnsi="Calibri" w:cs="Calibri"/>
              </w:rPr>
              <w:t>(s) responsible for global monitoring</w:t>
            </w:r>
          </w:p>
        </w:tc>
        <w:tc>
          <w:tcPr>
            <w:tcW w:w="5804" w:type="dxa"/>
            <w:tcBorders>
              <w:top w:val="nil"/>
              <w:left w:val="nil"/>
              <w:bottom w:val="single" w:sz="4" w:space="0" w:color="auto"/>
              <w:right w:val="single" w:sz="4" w:space="0" w:color="auto"/>
            </w:tcBorders>
            <w:shd w:val="clear" w:color="auto" w:fill="auto"/>
          </w:tcPr>
          <w:p w14:paraId="51EE6FCD" w14:textId="77777777" w:rsidR="009674F6" w:rsidRPr="00282BF7" w:rsidRDefault="009674F6" w:rsidP="009674F6">
            <w:pPr>
              <w:pStyle w:val="MHeader"/>
              <w:rPr>
                <w:rFonts w:cstheme="minorHAnsi"/>
              </w:rPr>
            </w:pPr>
            <w:r w:rsidRPr="00282BF7">
              <w:rPr>
                <w:rFonts w:cstheme="minorHAnsi"/>
              </w:rPr>
              <w:t xml:space="preserve">Institutional information </w:t>
            </w:r>
          </w:p>
          <w:p w14:paraId="4343E131" w14:textId="77777777" w:rsidR="009674F6" w:rsidRPr="00282BF7" w:rsidRDefault="009674F6" w:rsidP="008D7A9D">
            <w:pPr>
              <w:pStyle w:val="MSubHeader"/>
            </w:pPr>
            <w:r w:rsidRPr="00282BF7">
              <w:t xml:space="preserve">Organization(s): </w:t>
            </w:r>
          </w:p>
          <w:p w14:paraId="716FA1AC" w14:textId="76A7E28E" w:rsidR="005377B9" w:rsidRPr="00837EC7" w:rsidRDefault="009674F6" w:rsidP="008D7A9D">
            <w:pPr>
              <w:pStyle w:val="MText"/>
              <w:rPr>
                <w:rFonts w:cstheme="minorHAnsi"/>
              </w:rPr>
            </w:pPr>
            <w:r w:rsidRPr="00282BF7">
              <w:t xml:space="preserve">Food and Agriculture Organization of the United Nations (FAO) </w:t>
            </w:r>
          </w:p>
        </w:tc>
      </w:tr>
    </w:tbl>
    <w:p w14:paraId="44B450B9" w14:textId="16DDE210" w:rsidR="0015178E" w:rsidRDefault="0015178E">
      <w:pPr>
        <w:pBdr>
          <w:bottom w:val="single" w:sz="6" w:space="1" w:color="auto"/>
        </w:pBdr>
      </w:pPr>
    </w:p>
    <w:p w14:paraId="369F4319" w14:textId="77777777" w:rsidR="00EB4457" w:rsidRPr="00837EC7" w:rsidRDefault="00EB4457"/>
    <w:tbl>
      <w:tblPr>
        <w:tblW w:w="4750" w:type="pct"/>
        <w:tblLayout w:type="fixed"/>
        <w:tblLook w:val="04A0" w:firstRow="1" w:lastRow="0" w:firstColumn="1" w:lastColumn="0" w:noHBand="0" w:noVBand="1"/>
      </w:tblPr>
      <w:tblGrid>
        <w:gridCol w:w="3183"/>
        <w:gridCol w:w="5709"/>
      </w:tblGrid>
      <w:tr w:rsidR="003E7389" w:rsidRPr="00837EC7" w14:paraId="2FA330DD" w14:textId="77777777" w:rsidTr="00057BB3">
        <w:trPr>
          <w:trHeight w:val="432"/>
        </w:trPr>
        <w:tc>
          <w:tcPr>
            <w:tcW w:w="5000" w:type="pct"/>
            <w:gridSpan w:val="2"/>
            <w:tcBorders>
              <w:top w:val="nil"/>
              <w:left w:val="nil"/>
              <w:bottom w:val="nil"/>
              <w:right w:val="nil"/>
            </w:tcBorders>
            <w:shd w:val="clear" w:color="auto" w:fill="auto"/>
            <w:noWrap/>
            <w:vAlign w:val="bottom"/>
            <w:hideMark/>
          </w:tcPr>
          <w:p w14:paraId="0905693E" w14:textId="77777777" w:rsidR="003E7389" w:rsidRPr="00837EC7" w:rsidRDefault="003E7389" w:rsidP="00AF2FE1">
            <w:pPr>
              <w:pStyle w:val="Heading2"/>
              <w:rPr>
                <w:rFonts w:ascii="Times New Roman" w:hAnsi="Times New Roman"/>
                <w:sz w:val="32"/>
                <w:szCs w:val="32"/>
              </w:rPr>
            </w:pPr>
            <w:bookmarkStart w:id="7" w:name="_Toc36655609"/>
            <w:bookmarkStart w:id="8" w:name="_Toc36812572"/>
            <w:bookmarkStart w:id="9" w:name="_Toc36812685"/>
            <w:bookmarkStart w:id="10" w:name="_Toc36813072"/>
            <w:bookmarkStart w:id="11" w:name="_Toc37932744"/>
            <w:r w:rsidRPr="00837EC7">
              <w:rPr>
                <w:sz w:val="32"/>
                <w:szCs w:val="32"/>
              </w:rPr>
              <w:t>1. Data reporter</w:t>
            </w:r>
            <w:bookmarkEnd w:id="7"/>
            <w:bookmarkEnd w:id="8"/>
            <w:bookmarkEnd w:id="9"/>
            <w:bookmarkEnd w:id="10"/>
            <w:bookmarkEnd w:id="11"/>
          </w:p>
        </w:tc>
      </w:tr>
      <w:tr w:rsidR="003E7389" w:rsidRPr="00837EC7" w14:paraId="72DAE01C" w14:textId="77777777" w:rsidTr="00057BB3">
        <w:trPr>
          <w:trHeight w:val="300"/>
        </w:trPr>
        <w:tc>
          <w:tcPr>
            <w:tcW w:w="1790" w:type="pct"/>
            <w:tcBorders>
              <w:top w:val="nil"/>
              <w:left w:val="nil"/>
              <w:bottom w:val="nil"/>
              <w:right w:val="nil"/>
            </w:tcBorders>
            <w:shd w:val="clear" w:color="000000" w:fill="D9E1F2"/>
            <w:noWrap/>
            <w:vAlign w:val="bottom"/>
            <w:hideMark/>
          </w:tcPr>
          <w:p w14:paraId="229650C0" w14:textId="77777777" w:rsidR="003E7389" w:rsidRPr="00837EC7" w:rsidRDefault="003E7389"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10" w:type="pct"/>
            <w:tcBorders>
              <w:top w:val="nil"/>
              <w:left w:val="nil"/>
              <w:bottom w:val="nil"/>
              <w:right w:val="nil"/>
            </w:tcBorders>
            <w:shd w:val="clear" w:color="000000" w:fill="D9E1F2"/>
            <w:noWrap/>
            <w:vAlign w:val="bottom"/>
            <w:hideMark/>
          </w:tcPr>
          <w:p w14:paraId="7BA48DA5" w14:textId="77777777" w:rsidR="003E7389" w:rsidRPr="00837EC7" w:rsidRDefault="003E7389"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3E7389" w:rsidRPr="00837EC7" w14:paraId="6E799994" w14:textId="77777777" w:rsidTr="00057BB3">
        <w:tc>
          <w:tcPr>
            <w:tcW w:w="1790" w:type="pct"/>
            <w:tcBorders>
              <w:top w:val="single" w:sz="4" w:space="0" w:color="auto"/>
              <w:left w:val="nil"/>
              <w:bottom w:val="single" w:sz="4" w:space="0" w:color="auto"/>
              <w:right w:val="single" w:sz="4" w:space="0" w:color="auto"/>
            </w:tcBorders>
            <w:shd w:val="clear" w:color="auto" w:fill="E7E6E6" w:themeFill="background2"/>
          </w:tcPr>
          <w:p w14:paraId="51D48509" w14:textId="77777777" w:rsidR="003E7389" w:rsidRPr="00837EC7" w:rsidRDefault="003E7389" w:rsidP="00057BB3">
            <w:pPr>
              <w:spacing w:after="0" w:line="240" w:lineRule="auto"/>
              <w:rPr>
                <w:rFonts w:ascii="Calibri" w:eastAsia="Times New Roman" w:hAnsi="Calibri" w:cs="Calibri"/>
              </w:rPr>
            </w:pPr>
            <w:r w:rsidRPr="00837EC7">
              <w:rPr>
                <w:rFonts w:ascii="Calibri" w:eastAsia="Times New Roman" w:hAnsi="Calibri" w:cs="Calibri"/>
              </w:rPr>
              <w:t>1. Data reporter</w:t>
            </w:r>
          </w:p>
        </w:tc>
        <w:tc>
          <w:tcPr>
            <w:tcW w:w="3210" w:type="pct"/>
            <w:tcBorders>
              <w:top w:val="single" w:sz="4" w:space="0" w:color="auto"/>
              <w:left w:val="nil"/>
              <w:bottom w:val="single" w:sz="4" w:space="0" w:color="auto"/>
              <w:right w:val="single" w:sz="4" w:space="0" w:color="auto"/>
            </w:tcBorders>
            <w:shd w:val="clear" w:color="auto" w:fill="auto"/>
          </w:tcPr>
          <w:p w14:paraId="610095A4"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476F29C6" w14:textId="77777777" w:rsidTr="00057BB3">
        <w:tc>
          <w:tcPr>
            <w:tcW w:w="1790" w:type="pct"/>
            <w:tcBorders>
              <w:top w:val="single" w:sz="4" w:space="0" w:color="auto"/>
              <w:left w:val="nil"/>
              <w:bottom w:val="single" w:sz="4" w:space="0" w:color="auto"/>
              <w:right w:val="single" w:sz="4" w:space="0" w:color="auto"/>
            </w:tcBorders>
            <w:shd w:val="clear" w:color="auto" w:fill="E7E6E6" w:themeFill="background2"/>
            <w:hideMark/>
          </w:tcPr>
          <w:p w14:paraId="4A05BD46"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 xml:space="preserve">1.a. </w:t>
            </w:r>
            <w:proofErr w:type="spellStart"/>
            <w:r w:rsidRPr="00837EC7">
              <w:rPr>
                <w:rFonts w:ascii="Calibri" w:eastAsia="Times New Roman" w:hAnsi="Calibri" w:cs="Calibri"/>
              </w:rPr>
              <w:t>Organisation</w:t>
            </w:r>
            <w:proofErr w:type="spellEnd"/>
          </w:p>
        </w:tc>
        <w:tc>
          <w:tcPr>
            <w:tcW w:w="3210" w:type="pct"/>
            <w:tcBorders>
              <w:top w:val="single" w:sz="4" w:space="0" w:color="auto"/>
              <w:left w:val="nil"/>
              <w:bottom w:val="single" w:sz="4" w:space="0" w:color="auto"/>
              <w:right w:val="single" w:sz="4" w:space="0" w:color="auto"/>
            </w:tcBorders>
            <w:shd w:val="clear" w:color="auto" w:fill="auto"/>
          </w:tcPr>
          <w:p w14:paraId="593AFFAB"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24B48F14"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0EA264ED"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1.b. Contact person(s)</w:t>
            </w:r>
          </w:p>
        </w:tc>
        <w:tc>
          <w:tcPr>
            <w:tcW w:w="3210" w:type="pct"/>
            <w:tcBorders>
              <w:top w:val="nil"/>
              <w:left w:val="nil"/>
              <w:bottom w:val="single" w:sz="4" w:space="0" w:color="auto"/>
              <w:right w:val="single" w:sz="4" w:space="0" w:color="auto"/>
            </w:tcBorders>
            <w:shd w:val="clear" w:color="auto" w:fill="auto"/>
          </w:tcPr>
          <w:p w14:paraId="0706A354"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37DF16AF"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3DE1C9A2"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 xml:space="preserve">1.c. Contact </w:t>
            </w:r>
            <w:proofErr w:type="spellStart"/>
            <w:r w:rsidRPr="00837EC7">
              <w:rPr>
                <w:rFonts w:ascii="Calibri" w:eastAsia="Times New Roman" w:hAnsi="Calibri" w:cs="Calibri"/>
              </w:rPr>
              <w:t>organisation</w:t>
            </w:r>
            <w:proofErr w:type="spellEnd"/>
            <w:r w:rsidRPr="00837EC7">
              <w:rPr>
                <w:rFonts w:ascii="Calibri" w:eastAsia="Times New Roman" w:hAnsi="Calibri" w:cs="Calibri"/>
              </w:rPr>
              <w:t xml:space="preserve"> unit</w:t>
            </w:r>
          </w:p>
        </w:tc>
        <w:tc>
          <w:tcPr>
            <w:tcW w:w="3210" w:type="pct"/>
            <w:tcBorders>
              <w:top w:val="nil"/>
              <w:left w:val="nil"/>
              <w:bottom w:val="single" w:sz="4" w:space="0" w:color="auto"/>
              <w:right w:val="single" w:sz="4" w:space="0" w:color="auto"/>
            </w:tcBorders>
            <w:shd w:val="clear" w:color="auto" w:fill="auto"/>
          </w:tcPr>
          <w:p w14:paraId="1A011DC0"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39751E17"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0475F971" w14:textId="77777777" w:rsidR="003E7389" w:rsidRPr="00837EC7" w:rsidRDefault="003E7389" w:rsidP="004E5702">
            <w:pPr>
              <w:spacing w:after="0" w:line="240" w:lineRule="auto"/>
              <w:ind w:left="160"/>
              <w:rPr>
                <w:rFonts w:ascii="Calibri" w:eastAsia="Times New Roman" w:hAnsi="Calibri" w:cs="Calibri"/>
                <w:color w:val="000000"/>
              </w:rPr>
            </w:pPr>
            <w:r w:rsidRPr="00837EC7">
              <w:t>1</w:t>
            </w:r>
            <w:r w:rsidRPr="00837EC7">
              <w:rPr>
                <w:rFonts w:ascii="Calibri" w:eastAsia="Times New Roman" w:hAnsi="Calibri" w:cs="Calibri"/>
              </w:rPr>
              <w:t>.d.</w:t>
            </w:r>
            <w:r w:rsidRPr="00837EC7">
              <w:t xml:space="preserve"> Contact person function</w:t>
            </w:r>
          </w:p>
        </w:tc>
        <w:tc>
          <w:tcPr>
            <w:tcW w:w="3210" w:type="pct"/>
            <w:tcBorders>
              <w:top w:val="nil"/>
              <w:left w:val="nil"/>
              <w:bottom w:val="single" w:sz="4" w:space="0" w:color="auto"/>
              <w:right w:val="single" w:sz="4" w:space="0" w:color="auto"/>
            </w:tcBorders>
            <w:shd w:val="clear" w:color="auto" w:fill="auto"/>
          </w:tcPr>
          <w:p w14:paraId="3CEF0A90"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73AC4A13"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5D1021C9"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1.e. Contact phone</w:t>
            </w:r>
          </w:p>
        </w:tc>
        <w:tc>
          <w:tcPr>
            <w:tcW w:w="3210" w:type="pct"/>
            <w:tcBorders>
              <w:top w:val="nil"/>
              <w:left w:val="nil"/>
              <w:bottom w:val="single" w:sz="4" w:space="0" w:color="auto"/>
              <w:right w:val="single" w:sz="4" w:space="0" w:color="auto"/>
            </w:tcBorders>
            <w:shd w:val="clear" w:color="auto" w:fill="auto"/>
          </w:tcPr>
          <w:p w14:paraId="4EECF628"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4ABAC8A7"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33A2AA2C"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1.f. Contact mail</w:t>
            </w:r>
          </w:p>
        </w:tc>
        <w:tc>
          <w:tcPr>
            <w:tcW w:w="3210" w:type="pct"/>
            <w:tcBorders>
              <w:top w:val="nil"/>
              <w:left w:val="nil"/>
              <w:bottom w:val="single" w:sz="4" w:space="0" w:color="auto"/>
              <w:right w:val="single" w:sz="4" w:space="0" w:color="auto"/>
            </w:tcBorders>
            <w:shd w:val="clear" w:color="auto" w:fill="auto"/>
          </w:tcPr>
          <w:p w14:paraId="026729C9"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53913FE3"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7AB09731"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1.g. Contact email</w:t>
            </w:r>
          </w:p>
        </w:tc>
        <w:tc>
          <w:tcPr>
            <w:tcW w:w="3210" w:type="pct"/>
            <w:tcBorders>
              <w:top w:val="nil"/>
              <w:left w:val="nil"/>
              <w:bottom w:val="single" w:sz="4" w:space="0" w:color="auto"/>
              <w:right w:val="single" w:sz="4" w:space="0" w:color="auto"/>
            </w:tcBorders>
            <w:shd w:val="clear" w:color="auto" w:fill="auto"/>
          </w:tcPr>
          <w:p w14:paraId="63A5328D" w14:textId="77777777" w:rsidR="003E7389" w:rsidRPr="00837EC7" w:rsidRDefault="003E7389" w:rsidP="00057BB3">
            <w:pPr>
              <w:spacing w:after="0" w:line="240" w:lineRule="auto"/>
              <w:rPr>
                <w:rFonts w:ascii="Calibri" w:eastAsia="Times New Roman" w:hAnsi="Calibri" w:cs="Calibri"/>
                <w:color w:val="000000"/>
              </w:rPr>
            </w:pPr>
          </w:p>
        </w:tc>
      </w:tr>
    </w:tbl>
    <w:p w14:paraId="60664166" w14:textId="0A40E95C" w:rsidR="00881218" w:rsidRPr="00837EC7" w:rsidRDefault="00881218">
      <w:pPr>
        <w:pBdr>
          <w:bottom w:val="single" w:sz="6" w:space="1" w:color="auto"/>
        </w:pBdr>
      </w:pPr>
    </w:p>
    <w:p w14:paraId="774519BA" w14:textId="21AB5BF2" w:rsidR="00881218" w:rsidRPr="00837EC7" w:rsidRDefault="00881218"/>
    <w:tbl>
      <w:tblPr>
        <w:tblW w:w="4750" w:type="pct"/>
        <w:tblLayout w:type="fixed"/>
        <w:tblLook w:val="04A0" w:firstRow="1" w:lastRow="0" w:firstColumn="1" w:lastColumn="0" w:noHBand="0" w:noVBand="1"/>
      </w:tblPr>
      <w:tblGrid>
        <w:gridCol w:w="3118"/>
        <w:gridCol w:w="5774"/>
      </w:tblGrid>
      <w:tr w:rsidR="0015178E" w:rsidRPr="00837EC7" w14:paraId="4E97FCDC" w14:textId="77777777" w:rsidTr="00057BB3">
        <w:trPr>
          <w:trHeight w:val="396"/>
        </w:trPr>
        <w:tc>
          <w:tcPr>
            <w:tcW w:w="5000" w:type="pct"/>
            <w:gridSpan w:val="2"/>
            <w:tcBorders>
              <w:top w:val="nil"/>
              <w:left w:val="nil"/>
              <w:bottom w:val="nil"/>
              <w:right w:val="nil"/>
            </w:tcBorders>
            <w:shd w:val="clear" w:color="auto" w:fill="auto"/>
            <w:noWrap/>
            <w:vAlign w:val="bottom"/>
            <w:hideMark/>
          </w:tcPr>
          <w:p w14:paraId="2359FEFD" w14:textId="77777777" w:rsidR="0015178E" w:rsidRPr="00837EC7" w:rsidRDefault="0015178E" w:rsidP="00AF2FE1">
            <w:pPr>
              <w:pStyle w:val="Heading2"/>
              <w:rPr>
                <w:sz w:val="32"/>
                <w:szCs w:val="32"/>
              </w:rPr>
            </w:pPr>
            <w:bookmarkStart w:id="12" w:name="_Toc36655610"/>
            <w:bookmarkStart w:id="13" w:name="_Toc36812573"/>
            <w:bookmarkStart w:id="14" w:name="_Toc36812686"/>
            <w:bookmarkStart w:id="15" w:name="_Toc36813073"/>
            <w:bookmarkStart w:id="16" w:name="_Toc37932745"/>
            <w:r w:rsidRPr="00837EC7">
              <w:rPr>
                <w:sz w:val="32"/>
                <w:szCs w:val="32"/>
              </w:rPr>
              <w:t>2. Definition, concepts, and classifications</w:t>
            </w:r>
            <w:bookmarkEnd w:id="12"/>
            <w:bookmarkEnd w:id="13"/>
            <w:bookmarkEnd w:id="14"/>
            <w:bookmarkEnd w:id="15"/>
            <w:bookmarkEnd w:id="16"/>
          </w:p>
        </w:tc>
      </w:tr>
      <w:tr w:rsidR="0015178E" w:rsidRPr="00837EC7" w14:paraId="78BD8979" w14:textId="77777777" w:rsidTr="00057BB3">
        <w:trPr>
          <w:trHeight w:val="300"/>
        </w:trPr>
        <w:tc>
          <w:tcPr>
            <w:tcW w:w="1753" w:type="pct"/>
            <w:tcBorders>
              <w:top w:val="nil"/>
              <w:left w:val="nil"/>
              <w:bottom w:val="nil"/>
              <w:right w:val="nil"/>
            </w:tcBorders>
            <w:shd w:val="clear" w:color="000000" w:fill="D9E1F2"/>
            <w:noWrap/>
            <w:vAlign w:val="bottom"/>
            <w:hideMark/>
          </w:tcPr>
          <w:p w14:paraId="37CC72AB" w14:textId="77777777" w:rsidR="0015178E" w:rsidRPr="00837EC7" w:rsidRDefault="0015178E"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47" w:type="pct"/>
            <w:tcBorders>
              <w:top w:val="nil"/>
              <w:left w:val="nil"/>
              <w:bottom w:val="nil"/>
              <w:right w:val="nil"/>
            </w:tcBorders>
            <w:shd w:val="clear" w:color="000000" w:fill="D9E1F2"/>
            <w:noWrap/>
            <w:vAlign w:val="bottom"/>
            <w:hideMark/>
          </w:tcPr>
          <w:p w14:paraId="3957CF6E" w14:textId="77777777" w:rsidR="0015178E" w:rsidRPr="00837EC7" w:rsidRDefault="0015178E"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15178E" w:rsidRPr="00837EC7" w14:paraId="3F69C14D" w14:textId="77777777" w:rsidTr="00057BB3">
        <w:tc>
          <w:tcPr>
            <w:tcW w:w="1753" w:type="pct"/>
            <w:tcBorders>
              <w:top w:val="single" w:sz="4" w:space="0" w:color="auto"/>
              <w:left w:val="nil"/>
              <w:bottom w:val="single" w:sz="4" w:space="0" w:color="auto"/>
              <w:right w:val="single" w:sz="4" w:space="0" w:color="auto"/>
            </w:tcBorders>
            <w:shd w:val="clear" w:color="auto" w:fill="E7E6E6" w:themeFill="background2"/>
          </w:tcPr>
          <w:p w14:paraId="1A4FD0FC" w14:textId="77777777" w:rsidR="0015178E" w:rsidRPr="00837EC7" w:rsidRDefault="0015178E" w:rsidP="00057BB3">
            <w:pPr>
              <w:spacing w:after="0" w:line="240" w:lineRule="auto"/>
              <w:rPr>
                <w:rFonts w:ascii="Calibri" w:eastAsia="Times New Roman" w:hAnsi="Calibri" w:cs="Calibri"/>
              </w:rPr>
            </w:pPr>
            <w:r w:rsidRPr="00837EC7">
              <w:rPr>
                <w:rFonts w:ascii="Calibri" w:eastAsia="Times New Roman" w:hAnsi="Calibri" w:cs="Calibri"/>
              </w:rPr>
              <w:t>2. Definition, concepts, and classifications</w:t>
            </w:r>
          </w:p>
        </w:tc>
        <w:tc>
          <w:tcPr>
            <w:tcW w:w="3247" w:type="pct"/>
            <w:tcBorders>
              <w:top w:val="single" w:sz="4" w:space="0" w:color="auto"/>
              <w:left w:val="nil"/>
              <w:bottom w:val="single" w:sz="4" w:space="0" w:color="auto"/>
              <w:right w:val="single" w:sz="4" w:space="0" w:color="auto"/>
            </w:tcBorders>
            <w:shd w:val="clear" w:color="auto" w:fill="auto"/>
          </w:tcPr>
          <w:p w14:paraId="031107ED" w14:textId="77777777" w:rsidR="0015178E" w:rsidRPr="00837EC7" w:rsidRDefault="0015178E" w:rsidP="00057BB3">
            <w:pPr>
              <w:pStyle w:val="Default"/>
              <w:rPr>
                <w:rFonts w:asciiTheme="minorHAnsi" w:hAnsiTheme="minorHAnsi" w:cstheme="minorHAnsi"/>
                <w:sz w:val="21"/>
                <w:szCs w:val="21"/>
              </w:rPr>
            </w:pPr>
          </w:p>
        </w:tc>
      </w:tr>
      <w:tr w:rsidR="0015178E" w:rsidRPr="00837EC7" w14:paraId="41CB0552" w14:textId="77777777" w:rsidTr="00057BB3">
        <w:tc>
          <w:tcPr>
            <w:tcW w:w="1753" w:type="pct"/>
            <w:tcBorders>
              <w:top w:val="single" w:sz="4" w:space="0" w:color="auto"/>
              <w:left w:val="nil"/>
              <w:bottom w:val="single" w:sz="4" w:space="0" w:color="auto"/>
              <w:right w:val="single" w:sz="4" w:space="0" w:color="auto"/>
            </w:tcBorders>
            <w:shd w:val="clear" w:color="auto" w:fill="E7E6E6" w:themeFill="background2"/>
            <w:hideMark/>
          </w:tcPr>
          <w:p w14:paraId="57297546"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2.a. Definition and concepts</w:t>
            </w:r>
          </w:p>
        </w:tc>
        <w:tc>
          <w:tcPr>
            <w:tcW w:w="3247" w:type="pct"/>
            <w:tcBorders>
              <w:top w:val="single" w:sz="4" w:space="0" w:color="auto"/>
              <w:left w:val="nil"/>
              <w:bottom w:val="single" w:sz="4" w:space="0" w:color="auto"/>
              <w:right w:val="single" w:sz="4" w:space="0" w:color="auto"/>
            </w:tcBorders>
            <w:shd w:val="clear" w:color="auto" w:fill="auto"/>
          </w:tcPr>
          <w:p w14:paraId="26480606" w14:textId="77777777" w:rsidR="009674F6" w:rsidRPr="00282BF7" w:rsidRDefault="009674F6" w:rsidP="009674F6">
            <w:pPr>
              <w:pStyle w:val="MHeader"/>
              <w:rPr>
                <w:rFonts w:cstheme="minorHAnsi"/>
              </w:rPr>
            </w:pPr>
            <w:r w:rsidRPr="00282BF7">
              <w:rPr>
                <w:rFonts w:cstheme="minorHAnsi"/>
              </w:rPr>
              <w:t xml:space="preserve">Concepts and definitions </w:t>
            </w:r>
          </w:p>
          <w:p w14:paraId="341BDCB6" w14:textId="77777777" w:rsidR="009674F6" w:rsidRPr="00282BF7" w:rsidRDefault="009674F6" w:rsidP="008D7A9D">
            <w:pPr>
              <w:pStyle w:val="MSubHeader"/>
            </w:pPr>
            <w:r w:rsidRPr="00282BF7">
              <w:t xml:space="preserve">Definition: </w:t>
            </w:r>
          </w:p>
          <w:p w14:paraId="2BEF055D" w14:textId="77777777" w:rsidR="009674F6" w:rsidRPr="00282BF7" w:rsidRDefault="009674F6" w:rsidP="008D7A9D">
            <w:pPr>
              <w:pStyle w:val="MText"/>
            </w:pPr>
            <w:r w:rsidRPr="00282BF7">
              <w:t xml:space="preserve">“Sustainable forest management” (SFM) is a central concept for Goal 15 and target 15.1 as well as for target 15.2. It has been formally defined, by the UN General Assembly, as follows: </w:t>
            </w:r>
          </w:p>
          <w:p w14:paraId="0BAD930F" w14:textId="77777777" w:rsidR="009674F6" w:rsidRPr="00282BF7" w:rsidRDefault="009674F6" w:rsidP="008D7A9D">
            <w:pPr>
              <w:pStyle w:val="MText"/>
            </w:pPr>
          </w:p>
          <w:p w14:paraId="1CEF6ADC" w14:textId="77777777" w:rsidR="009674F6" w:rsidRPr="00282BF7" w:rsidRDefault="009674F6" w:rsidP="008D7A9D">
            <w:pPr>
              <w:pStyle w:val="MText"/>
            </w:pPr>
            <w:r w:rsidRPr="00282BF7">
              <w:rPr>
                <w:i/>
                <w:iCs/>
              </w:rPr>
              <w:t>[a] dynamic and evolving concept [that] aims to maintain and enhance the economic, social and environmental values of all types of forests, for the benefit of present and future generations</w:t>
            </w:r>
            <w:r w:rsidRPr="00282BF7">
              <w:t xml:space="preserve">” (Resolution A/RES/62/98) </w:t>
            </w:r>
          </w:p>
          <w:p w14:paraId="27E34D8B" w14:textId="77777777" w:rsidR="009674F6" w:rsidRPr="00282BF7" w:rsidRDefault="009674F6" w:rsidP="008D7A9D">
            <w:pPr>
              <w:pStyle w:val="MText"/>
            </w:pPr>
          </w:p>
          <w:p w14:paraId="56229C3F" w14:textId="77777777" w:rsidR="009674F6" w:rsidRPr="00282BF7" w:rsidRDefault="009674F6" w:rsidP="008D7A9D">
            <w:pPr>
              <w:pStyle w:val="MText"/>
            </w:pPr>
            <w:r w:rsidRPr="00282BF7">
              <w:t xml:space="preserve">The indicator is composed of five sub-indicators that measure progress towards all dimensions of sustainable forest management. The environmental values of forests are covered by three sub-indicators focused on the extension of forest area, biomass within the forest area and protection and maintenance of biological diversity, and of natural and associated cultural resources. Social and economic values of forests are reconciled with environmental values through sustainable management plans. The sub-indicator provides further qualification to </w:t>
            </w:r>
            <w:r>
              <w:t xml:space="preserve">the </w:t>
            </w:r>
            <w:r w:rsidRPr="00282BF7">
              <w:t xml:space="preserve">management of forest areas, by assessing areas which are independently verified for compliance with a set of national or international standards. </w:t>
            </w:r>
          </w:p>
          <w:p w14:paraId="08D0F30F" w14:textId="77777777" w:rsidR="009674F6" w:rsidRPr="00282BF7" w:rsidRDefault="009674F6" w:rsidP="009674F6">
            <w:pPr>
              <w:pStyle w:val="Default"/>
              <w:spacing w:line="276" w:lineRule="auto"/>
              <w:rPr>
                <w:rFonts w:asciiTheme="minorHAnsi" w:hAnsiTheme="minorHAnsi" w:cstheme="minorHAnsi"/>
                <w:sz w:val="21"/>
                <w:szCs w:val="21"/>
              </w:rPr>
            </w:pPr>
          </w:p>
          <w:p w14:paraId="53093594" w14:textId="77777777" w:rsidR="009674F6" w:rsidRPr="00282BF7" w:rsidRDefault="009674F6" w:rsidP="008D7A9D">
            <w:pPr>
              <w:pStyle w:val="MText"/>
            </w:pPr>
            <w:r w:rsidRPr="00282BF7">
              <w:t xml:space="preserve">The sub-indicators are: </w:t>
            </w:r>
          </w:p>
          <w:p w14:paraId="23595246" w14:textId="77777777" w:rsidR="009674F6" w:rsidRPr="00282BF7" w:rsidRDefault="009674F6" w:rsidP="008D7A9D">
            <w:pPr>
              <w:pStyle w:val="MText"/>
              <w:numPr>
                <w:ilvl w:val="0"/>
                <w:numId w:val="14"/>
              </w:numPr>
            </w:pPr>
            <w:r w:rsidRPr="00282BF7">
              <w:t xml:space="preserve">Forest area annual net change rate </w:t>
            </w:r>
          </w:p>
          <w:p w14:paraId="34B6034C" w14:textId="77777777" w:rsidR="009674F6" w:rsidRPr="00282BF7" w:rsidRDefault="009674F6" w:rsidP="008D7A9D">
            <w:pPr>
              <w:pStyle w:val="MText"/>
              <w:numPr>
                <w:ilvl w:val="0"/>
                <w:numId w:val="14"/>
              </w:numPr>
            </w:pPr>
            <w:r w:rsidRPr="00282BF7">
              <w:t xml:space="preserve">Above-ground biomass stock in forest </w:t>
            </w:r>
          </w:p>
          <w:p w14:paraId="45A95978" w14:textId="77777777" w:rsidR="009674F6" w:rsidRPr="00282BF7" w:rsidRDefault="009674F6" w:rsidP="008D7A9D">
            <w:pPr>
              <w:pStyle w:val="MText"/>
              <w:numPr>
                <w:ilvl w:val="0"/>
                <w:numId w:val="14"/>
              </w:numPr>
            </w:pPr>
            <w:r w:rsidRPr="00282BF7">
              <w:lastRenderedPageBreak/>
              <w:t xml:space="preserve">Proportion of forest area located within legally established protect areas </w:t>
            </w:r>
          </w:p>
          <w:p w14:paraId="0CDA28CA" w14:textId="77777777" w:rsidR="009674F6" w:rsidRPr="00282BF7" w:rsidRDefault="009674F6" w:rsidP="008D7A9D">
            <w:pPr>
              <w:pStyle w:val="MText"/>
              <w:numPr>
                <w:ilvl w:val="0"/>
                <w:numId w:val="14"/>
              </w:numPr>
            </w:pPr>
            <w:r w:rsidRPr="00282BF7">
              <w:t xml:space="preserve">Proportion of forest area under a </w:t>
            </w:r>
            <w:proofErr w:type="gramStart"/>
            <w:r w:rsidRPr="00282BF7">
              <w:t>long term</w:t>
            </w:r>
            <w:proofErr w:type="gramEnd"/>
            <w:r w:rsidRPr="00282BF7">
              <w:t xml:space="preserve"> forest management plan </w:t>
            </w:r>
          </w:p>
          <w:p w14:paraId="285B78D8" w14:textId="77777777" w:rsidR="009674F6" w:rsidRPr="00282BF7" w:rsidRDefault="009674F6" w:rsidP="008D7A9D">
            <w:pPr>
              <w:pStyle w:val="MText"/>
              <w:numPr>
                <w:ilvl w:val="0"/>
                <w:numId w:val="14"/>
              </w:numPr>
            </w:pPr>
            <w:r w:rsidRPr="00282BF7">
              <w:t xml:space="preserve">Forest area under an independently verified forest management certification scheme </w:t>
            </w:r>
          </w:p>
          <w:p w14:paraId="5837B76E" w14:textId="77777777" w:rsidR="009674F6" w:rsidRPr="00282BF7" w:rsidRDefault="009674F6" w:rsidP="009674F6">
            <w:pPr>
              <w:pStyle w:val="Default"/>
              <w:spacing w:line="276" w:lineRule="auto"/>
              <w:rPr>
                <w:rFonts w:asciiTheme="minorHAnsi" w:hAnsiTheme="minorHAnsi" w:cstheme="minorHAnsi"/>
                <w:sz w:val="21"/>
                <w:szCs w:val="21"/>
              </w:rPr>
            </w:pPr>
          </w:p>
          <w:p w14:paraId="6C84E34E" w14:textId="78B6548F" w:rsidR="009674F6" w:rsidRDefault="009674F6" w:rsidP="008D7A9D">
            <w:pPr>
              <w:pStyle w:val="MText"/>
            </w:pPr>
            <w:r w:rsidRPr="00282BF7">
              <w:t xml:space="preserve">A dashboard is used to assess progress related to the five sub-indicators. The adoption of the dashboard approach </w:t>
            </w:r>
            <w:r>
              <w:t xml:space="preserve">aims at ensuring consideration of all dimensions of sustainable forest management and </w:t>
            </w:r>
            <w:r w:rsidRPr="00282BF7">
              <w:t xml:space="preserve">provides for clear view of areas where progress has been achieved. </w:t>
            </w:r>
          </w:p>
          <w:p w14:paraId="05D6DAB4" w14:textId="1E90DC79" w:rsidR="009674F6" w:rsidRDefault="009674F6" w:rsidP="009674F6">
            <w:pPr>
              <w:pStyle w:val="Default"/>
              <w:spacing w:line="276" w:lineRule="auto"/>
              <w:rPr>
                <w:rFonts w:asciiTheme="minorHAnsi" w:hAnsiTheme="minorHAnsi" w:cstheme="minorHAnsi"/>
                <w:sz w:val="21"/>
                <w:szCs w:val="21"/>
              </w:rPr>
            </w:pPr>
          </w:p>
          <w:p w14:paraId="1EF232AE" w14:textId="77777777" w:rsidR="009674F6" w:rsidRPr="00282BF7" w:rsidRDefault="009674F6" w:rsidP="009674F6">
            <w:pPr>
              <w:pStyle w:val="Default"/>
              <w:spacing w:line="276" w:lineRule="auto"/>
              <w:rPr>
                <w:rFonts w:asciiTheme="minorHAnsi" w:hAnsiTheme="minorHAnsi" w:cstheme="minorHAnsi"/>
                <w:sz w:val="21"/>
                <w:szCs w:val="21"/>
              </w:rPr>
            </w:pPr>
            <w:r w:rsidRPr="00282BF7">
              <w:rPr>
                <w:rFonts w:asciiTheme="minorHAnsi" w:hAnsiTheme="minorHAnsi" w:cstheme="minorHAnsi"/>
                <w:b/>
                <w:bCs/>
                <w:sz w:val="21"/>
                <w:szCs w:val="21"/>
              </w:rPr>
              <w:t xml:space="preserve">Concepts: </w:t>
            </w:r>
          </w:p>
          <w:p w14:paraId="6C84E827" w14:textId="21D7D6C9" w:rsidR="0015178E" w:rsidRPr="00500508" w:rsidRDefault="009674F6" w:rsidP="00993546">
            <w:pPr>
              <w:pStyle w:val="MText"/>
            </w:pPr>
            <w:r w:rsidRPr="00282BF7">
              <w:t xml:space="preserve">See Annex 1 with Terms and Definitions. </w:t>
            </w:r>
          </w:p>
        </w:tc>
      </w:tr>
      <w:tr w:rsidR="0015178E" w:rsidRPr="00837EC7" w14:paraId="28ABD00A" w14:textId="77777777" w:rsidTr="00057BB3">
        <w:tc>
          <w:tcPr>
            <w:tcW w:w="1753" w:type="pct"/>
            <w:tcBorders>
              <w:top w:val="nil"/>
              <w:left w:val="nil"/>
              <w:bottom w:val="single" w:sz="4" w:space="0" w:color="auto"/>
              <w:right w:val="single" w:sz="4" w:space="0" w:color="auto"/>
            </w:tcBorders>
            <w:shd w:val="clear" w:color="auto" w:fill="E7E6E6" w:themeFill="background2"/>
            <w:hideMark/>
          </w:tcPr>
          <w:p w14:paraId="2497FD06"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2.b. Unit of measure</w:t>
            </w:r>
          </w:p>
        </w:tc>
        <w:tc>
          <w:tcPr>
            <w:tcW w:w="3247" w:type="pct"/>
            <w:tcBorders>
              <w:top w:val="nil"/>
              <w:left w:val="nil"/>
              <w:bottom w:val="single" w:sz="4" w:space="0" w:color="auto"/>
              <w:right w:val="single" w:sz="4" w:space="0" w:color="auto"/>
            </w:tcBorders>
            <w:shd w:val="clear" w:color="auto" w:fill="auto"/>
          </w:tcPr>
          <w:p w14:paraId="75D287AC" w14:textId="77777777" w:rsidR="0015178E" w:rsidRPr="00837EC7" w:rsidRDefault="0015178E" w:rsidP="00057BB3">
            <w:pPr>
              <w:spacing w:after="0" w:line="240" w:lineRule="auto"/>
              <w:rPr>
                <w:rFonts w:ascii="Calibri" w:eastAsia="Times New Roman" w:hAnsi="Calibri" w:cs="Calibri"/>
                <w:color w:val="000000"/>
              </w:rPr>
            </w:pPr>
          </w:p>
        </w:tc>
      </w:tr>
      <w:tr w:rsidR="0015178E" w:rsidRPr="00837EC7" w14:paraId="17215978" w14:textId="77777777" w:rsidTr="00057BB3">
        <w:tc>
          <w:tcPr>
            <w:tcW w:w="1753" w:type="pct"/>
            <w:tcBorders>
              <w:top w:val="nil"/>
              <w:left w:val="nil"/>
              <w:bottom w:val="single" w:sz="4" w:space="0" w:color="auto"/>
              <w:right w:val="single" w:sz="4" w:space="0" w:color="auto"/>
            </w:tcBorders>
            <w:shd w:val="clear" w:color="auto" w:fill="E7E6E6" w:themeFill="background2"/>
            <w:hideMark/>
          </w:tcPr>
          <w:p w14:paraId="6258E187"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2.c. Classifications</w:t>
            </w:r>
          </w:p>
        </w:tc>
        <w:tc>
          <w:tcPr>
            <w:tcW w:w="3247" w:type="pct"/>
            <w:tcBorders>
              <w:top w:val="nil"/>
              <w:left w:val="nil"/>
              <w:bottom w:val="single" w:sz="4" w:space="0" w:color="auto"/>
              <w:right w:val="single" w:sz="4" w:space="0" w:color="auto"/>
            </w:tcBorders>
            <w:shd w:val="clear" w:color="auto" w:fill="auto"/>
          </w:tcPr>
          <w:p w14:paraId="06D0E657" w14:textId="77777777" w:rsidR="0015178E" w:rsidRPr="00837EC7" w:rsidRDefault="0015178E" w:rsidP="00057BB3">
            <w:pPr>
              <w:spacing w:after="0" w:line="240" w:lineRule="auto"/>
              <w:rPr>
                <w:rFonts w:ascii="Calibri" w:eastAsia="Times New Roman" w:hAnsi="Calibri" w:cs="Calibri"/>
                <w:color w:val="000000"/>
              </w:rPr>
            </w:pPr>
          </w:p>
        </w:tc>
      </w:tr>
    </w:tbl>
    <w:p w14:paraId="079CD5BB" w14:textId="55FC300E" w:rsidR="0051738B" w:rsidRDefault="0051738B">
      <w:pPr>
        <w:pBdr>
          <w:bottom w:val="single" w:sz="6" w:space="1" w:color="auto"/>
        </w:pBdr>
      </w:pPr>
    </w:p>
    <w:p w14:paraId="7143ED86" w14:textId="77777777" w:rsidR="00EB4457" w:rsidRPr="00837EC7" w:rsidRDefault="00EB4457"/>
    <w:tbl>
      <w:tblPr>
        <w:tblW w:w="4750" w:type="pct"/>
        <w:tblLayout w:type="fixed"/>
        <w:tblLook w:val="04A0" w:firstRow="1" w:lastRow="0" w:firstColumn="1" w:lastColumn="0" w:noHBand="0" w:noVBand="1"/>
      </w:tblPr>
      <w:tblGrid>
        <w:gridCol w:w="3119"/>
        <w:gridCol w:w="5773"/>
      </w:tblGrid>
      <w:tr w:rsidR="0035311B" w:rsidRPr="00837EC7" w14:paraId="0863F36D" w14:textId="77777777" w:rsidTr="0051738B">
        <w:trPr>
          <w:trHeight w:val="470"/>
        </w:trPr>
        <w:tc>
          <w:tcPr>
            <w:tcW w:w="5000" w:type="pct"/>
            <w:gridSpan w:val="2"/>
            <w:tcBorders>
              <w:top w:val="nil"/>
              <w:left w:val="nil"/>
              <w:bottom w:val="nil"/>
              <w:right w:val="nil"/>
            </w:tcBorders>
            <w:shd w:val="clear" w:color="auto" w:fill="auto"/>
            <w:noWrap/>
            <w:vAlign w:val="bottom"/>
            <w:hideMark/>
          </w:tcPr>
          <w:p w14:paraId="06691554" w14:textId="77777777" w:rsidR="0035311B" w:rsidRPr="00837EC7" w:rsidRDefault="0035311B" w:rsidP="00AF2FE1">
            <w:pPr>
              <w:pStyle w:val="Heading2"/>
              <w:rPr>
                <w:sz w:val="32"/>
                <w:szCs w:val="32"/>
              </w:rPr>
            </w:pPr>
            <w:bookmarkStart w:id="17" w:name="_Toc36813074"/>
            <w:bookmarkStart w:id="18" w:name="_Toc37932746"/>
            <w:r w:rsidRPr="00837EC7">
              <w:rPr>
                <w:sz w:val="32"/>
                <w:szCs w:val="32"/>
              </w:rPr>
              <w:t>3. Data source type and data collection method</w:t>
            </w:r>
            <w:bookmarkEnd w:id="17"/>
            <w:bookmarkEnd w:id="18"/>
          </w:p>
        </w:tc>
      </w:tr>
      <w:tr w:rsidR="0035311B" w:rsidRPr="00837EC7" w14:paraId="5A1A8169" w14:textId="77777777" w:rsidTr="0051738B">
        <w:trPr>
          <w:trHeight w:val="300"/>
        </w:trPr>
        <w:tc>
          <w:tcPr>
            <w:tcW w:w="1754" w:type="pct"/>
            <w:tcBorders>
              <w:top w:val="nil"/>
              <w:left w:val="nil"/>
              <w:bottom w:val="nil"/>
              <w:right w:val="nil"/>
            </w:tcBorders>
            <w:shd w:val="clear" w:color="000000" w:fill="D9E1F2"/>
            <w:noWrap/>
            <w:vAlign w:val="bottom"/>
            <w:hideMark/>
          </w:tcPr>
          <w:p w14:paraId="7D7E4565" w14:textId="77777777" w:rsidR="0035311B" w:rsidRPr="00837EC7" w:rsidRDefault="0035311B" w:rsidP="0051738B">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46" w:type="pct"/>
            <w:tcBorders>
              <w:top w:val="nil"/>
              <w:left w:val="nil"/>
              <w:bottom w:val="nil"/>
              <w:right w:val="nil"/>
            </w:tcBorders>
            <w:shd w:val="clear" w:color="000000" w:fill="D9E1F2"/>
            <w:noWrap/>
            <w:vAlign w:val="bottom"/>
            <w:hideMark/>
          </w:tcPr>
          <w:p w14:paraId="70391D00" w14:textId="77777777" w:rsidR="0035311B" w:rsidRPr="00837EC7" w:rsidRDefault="0035311B" w:rsidP="0051738B">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35311B" w:rsidRPr="00837EC7" w14:paraId="71045E6B"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tcPr>
          <w:p w14:paraId="45E36F16" w14:textId="77777777" w:rsidR="0035311B" w:rsidRPr="00837EC7" w:rsidRDefault="0035311B" w:rsidP="0051738B">
            <w:pPr>
              <w:spacing w:after="0" w:line="240" w:lineRule="auto"/>
              <w:rPr>
                <w:rFonts w:ascii="Calibri" w:eastAsia="Times New Roman" w:hAnsi="Calibri" w:cs="Calibri"/>
              </w:rPr>
            </w:pPr>
            <w:r w:rsidRPr="00837EC7">
              <w:rPr>
                <w:rFonts w:ascii="Calibri" w:eastAsia="Times New Roman" w:hAnsi="Calibri" w:cs="Calibri"/>
              </w:rPr>
              <w:t>3. Data source type and collection method</w:t>
            </w:r>
          </w:p>
        </w:tc>
        <w:tc>
          <w:tcPr>
            <w:tcW w:w="3246" w:type="pct"/>
            <w:tcBorders>
              <w:top w:val="single" w:sz="4" w:space="0" w:color="auto"/>
              <w:left w:val="nil"/>
              <w:bottom w:val="single" w:sz="4" w:space="0" w:color="auto"/>
              <w:right w:val="single" w:sz="4" w:space="0" w:color="auto"/>
            </w:tcBorders>
            <w:shd w:val="clear" w:color="auto" w:fill="auto"/>
          </w:tcPr>
          <w:p w14:paraId="412985F2" w14:textId="77777777" w:rsidR="0035311B" w:rsidRPr="00837EC7" w:rsidRDefault="0035311B" w:rsidP="0051738B">
            <w:pPr>
              <w:pStyle w:val="Default"/>
              <w:rPr>
                <w:rFonts w:asciiTheme="minorHAnsi" w:hAnsiTheme="minorHAnsi" w:cstheme="minorHAnsi"/>
                <w:sz w:val="21"/>
                <w:szCs w:val="21"/>
              </w:rPr>
            </w:pPr>
          </w:p>
        </w:tc>
      </w:tr>
      <w:tr w:rsidR="0035311B" w:rsidRPr="00837EC7" w14:paraId="07E0E12C"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hideMark/>
          </w:tcPr>
          <w:p w14:paraId="4FA70FFA" w14:textId="77777777"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3.a. Data sources</w:t>
            </w:r>
          </w:p>
        </w:tc>
        <w:tc>
          <w:tcPr>
            <w:tcW w:w="3246" w:type="pct"/>
            <w:tcBorders>
              <w:top w:val="single" w:sz="4" w:space="0" w:color="auto"/>
              <w:left w:val="nil"/>
              <w:bottom w:val="single" w:sz="4" w:space="0" w:color="auto"/>
              <w:right w:val="single" w:sz="4" w:space="0" w:color="auto"/>
            </w:tcBorders>
            <w:shd w:val="clear" w:color="auto" w:fill="auto"/>
          </w:tcPr>
          <w:p w14:paraId="00DC17CF" w14:textId="7D9A3585" w:rsidR="009674F6" w:rsidRPr="00282BF7" w:rsidRDefault="009674F6" w:rsidP="009674F6">
            <w:pPr>
              <w:pStyle w:val="MHeader"/>
              <w:rPr>
                <w:rFonts w:cstheme="minorHAnsi"/>
              </w:rPr>
            </w:pPr>
            <w:r w:rsidRPr="00282BF7">
              <w:rPr>
                <w:rFonts w:cstheme="minorHAnsi"/>
              </w:rPr>
              <w:t xml:space="preserve">Data </w:t>
            </w:r>
            <w:r w:rsidR="00C952EB">
              <w:rPr>
                <w:rFonts w:cstheme="minorHAnsi"/>
              </w:rPr>
              <w:t>s</w:t>
            </w:r>
            <w:r w:rsidRPr="00282BF7">
              <w:rPr>
                <w:rFonts w:cstheme="minorHAnsi"/>
              </w:rPr>
              <w:t xml:space="preserve">ources </w:t>
            </w:r>
          </w:p>
          <w:p w14:paraId="168A0D4F" w14:textId="77777777" w:rsidR="009674F6" w:rsidRPr="00F04A41" w:rsidRDefault="009674F6" w:rsidP="009674F6">
            <w:pPr>
              <w:pStyle w:val="MIndHeader"/>
              <w:rPr>
                <w:i/>
                <w:iCs/>
              </w:rPr>
            </w:pPr>
            <w:r w:rsidRPr="00F04A41">
              <w:rPr>
                <w:i/>
                <w:iCs/>
              </w:rPr>
              <w:t>Sub-indicators 1 to 4</w:t>
            </w:r>
          </w:p>
          <w:p w14:paraId="492D5083" w14:textId="77777777" w:rsidR="009674F6" w:rsidRPr="00282BF7" w:rsidRDefault="009674F6" w:rsidP="00C952EB">
            <w:pPr>
              <w:pStyle w:val="MSubHeader"/>
            </w:pPr>
            <w:r w:rsidRPr="00282BF7">
              <w:t xml:space="preserve">Description: </w:t>
            </w:r>
          </w:p>
          <w:p w14:paraId="571CD33E" w14:textId="5B79F18A" w:rsidR="0035311B" w:rsidRPr="00837EC7" w:rsidRDefault="009674F6" w:rsidP="00C952EB">
            <w:pPr>
              <w:pStyle w:val="Default"/>
              <w:spacing w:after="120" w:line="276" w:lineRule="auto"/>
              <w:rPr>
                <w:rFonts w:asciiTheme="minorHAnsi" w:hAnsiTheme="minorHAnsi" w:cstheme="minorHAnsi"/>
                <w:sz w:val="21"/>
                <w:szCs w:val="21"/>
              </w:rPr>
            </w:pPr>
            <w:r w:rsidRPr="00C952EB">
              <w:rPr>
                <w:rStyle w:val="MTextChar"/>
                <w:rFonts w:eastAsiaTheme="minorEastAsia"/>
              </w:rPr>
              <w:t>Data on the sub-indicators are collected periodically (until now every 5 years) by FAO’s Global Forest Resources Assessment (FRA) programme. All data are provided to FAO by countries in the form of a country report following a standard format, which includes the original data and reference sources and descriptions</w:t>
            </w:r>
            <w:r w:rsidRPr="00282BF7">
              <w:rPr>
                <w:rFonts w:asciiTheme="minorHAnsi" w:hAnsiTheme="minorHAnsi" w:cstheme="minorHAnsi"/>
                <w:sz w:val="21"/>
                <w:szCs w:val="21"/>
              </w:rPr>
              <w:t xml:space="preserve"> </w:t>
            </w:r>
            <w:r w:rsidRPr="00C952EB">
              <w:rPr>
                <w:rStyle w:val="MTextChar"/>
                <w:rFonts w:eastAsiaTheme="minorEastAsia"/>
              </w:rPr>
              <w:t>of how these have been used to estimate the forest area for different points in time.</w:t>
            </w:r>
            <w:r w:rsidRPr="00282BF7">
              <w:rPr>
                <w:rFonts w:asciiTheme="minorHAnsi" w:hAnsiTheme="minorHAnsi" w:cstheme="minorHAnsi"/>
                <w:sz w:val="21"/>
                <w:szCs w:val="21"/>
              </w:rPr>
              <w:t xml:space="preserve"> </w:t>
            </w:r>
          </w:p>
        </w:tc>
      </w:tr>
      <w:tr w:rsidR="0035311B" w:rsidRPr="00837EC7" w14:paraId="55D8076C"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92AFAD2" w14:textId="77777777"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3.b. Data collection method</w:t>
            </w:r>
          </w:p>
        </w:tc>
        <w:tc>
          <w:tcPr>
            <w:tcW w:w="3246" w:type="pct"/>
            <w:tcBorders>
              <w:top w:val="nil"/>
              <w:left w:val="nil"/>
              <w:bottom w:val="single" w:sz="4" w:space="0" w:color="auto"/>
              <w:right w:val="single" w:sz="4" w:space="0" w:color="auto"/>
            </w:tcBorders>
            <w:shd w:val="clear" w:color="auto" w:fill="auto"/>
          </w:tcPr>
          <w:p w14:paraId="32383381" w14:textId="77777777" w:rsidR="009674F6" w:rsidRPr="00F04A41" w:rsidRDefault="009674F6" w:rsidP="009674F6">
            <w:pPr>
              <w:pStyle w:val="MIndHeader"/>
              <w:rPr>
                <w:b/>
                <w:bCs/>
                <w:i/>
                <w:iCs/>
              </w:rPr>
            </w:pPr>
            <w:r w:rsidRPr="00F04A41">
              <w:rPr>
                <w:b/>
                <w:bCs/>
                <w:i/>
                <w:iCs/>
              </w:rPr>
              <w:t>Sub-indicators 1 to 4</w:t>
            </w:r>
          </w:p>
          <w:p w14:paraId="03D7A9A6" w14:textId="668FAC13" w:rsidR="009674F6" w:rsidRPr="00282BF7" w:rsidRDefault="009674F6" w:rsidP="00C952EB">
            <w:pPr>
              <w:pStyle w:val="MSubHeader"/>
            </w:pPr>
            <w:r w:rsidRPr="00282BF7">
              <w:t xml:space="preserve">Collection process: </w:t>
            </w:r>
          </w:p>
          <w:p w14:paraId="0393E873" w14:textId="3037814D" w:rsidR="009674F6" w:rsidRDefault="009674F6" w:rsidP="00C952EB">
            <w:pPr>
              <w:pStyle w:val="MText"/>
            </w:pPr>
            <w:r w:rsidRPr="00282BF7">
              <w:t xml:space="preserve">Officially nominated national correspondents and their teams prepare the country reports for the assessment. Some prepare more than one report as they also report on dependent territories. For the remaining countries and territories where no </w:t>
            </w:r>
            <w:r w:rsidRPr="00282BF7">
              <w:lastRenderedPageBreak/>
              <w:t xml:space="preserve">information is provided, a report is prepared by FAO using existing information and a literature search. </w:t>
            </w:r>
          </w:p>
          <w:p w14:paraId="5C68210A" w14:textId="77777777" w:rsidR="00F04A41" w:rsidRPr="00282BF7" w:rsidRDefault="00F04A41" w:rsidP="00C952EB">
            <w:pPr>
              <w:pStyle w:val="MText"/>
            </w:pPr>
          </w:p>
          <w:p w14:paraId="1C586FF2" w14:textId="29C4D5BC" w:rsidR="009674F6" w:rsidRDefault="009674F6" w:rsidP="00C952EB">
            <w:pPr>
              <w:pStyle w:val="MText"/>
            </w:pPr>
            <w:r w:rsidRPr="00282BF7">
              <w:t xml:space="preserve">In order to obtain internationally comparable data, countries are requested to provide national categories and definitions, and in case these are different than the FAO categories and definitions, countries are requested to perform a reclassification of national data to correspond to the FAO categories and definitions and to document this step in the country report. Countries are also requested to use interpolation or extrapolation of national data in order to provide estimates for the specific reporting years. </w:t>
            </w:r>
          </w:p>
          <w:p w14:paraId="7F485D77" w14:textId="77777777" w:rsidR="00C952EB" w:rsidRDefault="00C952EB" w:rsidP="00C952EB">
            <w:pPr>
              <w:pStyle w:val="MText"/>
            </w:pPr>
          </w:p>
          <w:p w14:paraId="43F93DC3" w14:textId="77777777" w:rsidR="009674F6" w:rsidRPr="00F04A41" w:rsidRDefault="009674F6" w:rsidP="009674F6">
            <w:pPr>
              <w:pStyle w:val="MIndHeader"/>
              <w:rPr>
                <w:b/>
                <w:bCs/>
                <w:i/>
                <w:iCs/>
              </w:rPr>
            </w:pPr>
            <w:r w:rsidRPr="00F04A41">
              <w:rPr>
                <w:b/>
                <w:bCs/>
                <w:i/>
                <w:iCs/>
              </w:rPr>
              <w:t>Sub-indicator 5</w:t>
            </w:r>
          </w:p>
          <w:p w14:paraId="4BC34771" w14:textId="77777777" w:rsidR="009674F6" w:rsidRDefault="009674F6" w:rsidP="00C952EB">
            <w:pPr>
              <w:pStyle w:val="MText"/>
            </w:pPr>
            <w:r>
              <w:t xml:space="preserve">Data on forest certification is submitted annually to FAO by the head offices of the respective forest certification scheme. Data include the area certified by each scheme, as well as areas that are double-certified by the two main schemes. That allows for estimating the total certified forest area, adjusted for double certified area. </w:t>
            </w:r>
          </w:p>
          <w:p w14:paraId="22199E8C" w14:textId="77777777" w:rsidR="00F04A41" w:rsidRDefault="00F04A41" w:rsidP="00C952EB">
            <w:pPr>
              <w:pStyle w:val="MText"/>
            </w:pPr>
          </w:p>
          <w:p w14:paraId="1D989F95" w14:textId="21C87412" w:rsidR="009674F6" w:rsidRDefault="009674F6" w:rsidP="00C952EB">
            <w:pPr>
              <w:pStyle w:val="MText"/>
            </w:pPr>
            <w:r>
              <w:t xml:space="preserve">Currently, forest certification by the Forest Stewardship Council (FSC) and the </w:t>
            </w:r>
            <w:r w:rsidRPr="00156466">
              <w:t>Programme for the Endorsement of Forest Certification (PEFC)</w:t>
            </w:r>
            <w:r>
              <w:t xml:space="preserve"> are included in the data submissions. The latter includes several national/regional certification schemes that have been endorsed according to the PEFC standards. </w:t>
            </w:r>
          </w:p>
          <w:p w14:paraId="60E54013" w14:textId="67AF87F1" w:rsidR="0035311B" w:rsidRPr="00837EC7" w:rsidRDefault="009674F6" w:rsidP="00C952EB">
            <w:pPr>
              <w:pStyle w:val="MText"/>
            </w:pPr>
            <w:r>
              <w:t xml:space="preserve">Data reported by the certification bodies and consolidated into estimates of total certified forest area are made available to the countries through an online platform where country officials can view the data that are being submitted. </w:t>
            </w:r>
          </w:p>
        </w:tc>
      </w:tr>
      <w:tr w:rsidR="0035311B" w:rsidRPr="00837EC7" w14:paraId="41E9E146"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BA19100" w14:textId="14D4E567" w:rsidR="0035311B" w:rsidRPr="00837EC7" w:rsidRDefault="0035311B" w:rsidP="004E5702">
            <w:pPr>
              <w:spacing w:after="0" w:line="240" w:lineRule="auto"/>
              <w:ind w:left="160"/>
              <w:rPr>
                <w:rFonts w:ascii="Calibri" w:eastAsia="Times New Roman" w:hAnsi="Calibri" w:cs="Calibri"/>
                <w:color w:val="000000"/>
              </w:rPr>
            </w:pPr>
            <w:r w:rsidRPr="00837EC7">
              <w:lastRenderedPageBreak/>
              <w:t>3.</w:t>
            </w:r>
            <w:r w:rsidR="006B0FA2" w:rsidRPr="00837EC7">
              <w:t>c</w:t>
            </w:r>
            <w:r w:rsidRPr="00837EC7">
              <w:t>. Data collection calendar</w:t>
            </w:r>
          </w:p>
        </w:tc>
        <w:tc>
          <w:tcPr>
            <w:tcW w:w="3246" w:type="pct"/>
            <w:tcBorders>
              <w:top w:val="nil"/>
              <w:left w:val="nil"/>
              <w:bottom w:val="single" w:sz="4" w:space="0" w:color="auto"/>
              <w:right w:val="single" w:sz="4" w:space="0" w:color="auto"/>
            </w:tcBorders>
            <w:shd w:val="clear" w:color="auto" w:fill="auto"/>
          </w:tcPr>
          <w:p w14:paraId="08EB2D29" w14:textId="77777777" w:rsidR="00C73536" w:rsidRPr="00282BF7" w:rsidRDefault="00C73536" w:rsidP="00C73536">
            <w:pPr>
              <w:pStyle w:val="MHeader"/>
              <w:rPr>
                <w:rFonts w:cstheme="minorHAnsi"/>
              </w:rPr>
            </w:pPr>
            <w:r w:rsidRPr="00282BF7">
              <w:rPr>
                <w:rFonts w:cstheme="minorHAnsi"/>
              </w:rPr>
              <w:t xml:space="preserve">Calendar </w:t>
            </w:r>
          </w:p>
          <w:p w14:paraId="413032A5" w14:textId="77777777" w:rsidR="00C73536" w:rsidRPr="00282BF7" w:rsidRDefault="00C73536" w:rsidP="00C952EB">
            <w:pPr>
              <w:pStyle w:val="MSubHeader"/>
            </w:pPr>
            <w:r w:rsidRPr="00282BF7">
              <w:t xml:space="preserve">Data collection: </w:t>
            </w:r>
          </w:p>
          <w:p w14:paraId="604493E0" w14:textId="2A65C425" w:rsidR="0035311B" w:rsidRPr="00837EC7" w:rsidRDefault="00C73536" w:rsidP="00C952EB">
            <w:pPr>
              <w:pStyle w:val="MText"/>
            </w:pPr>
            <w:r w:rsidRPr="00282BF7">
              <w:t xml:space="preserve">Source </w:t>
            </w:r>
            <w:r>
              <w:t xml:space="preserve">data </w:t>
            </w:r>
            <w:r w:rsidRPr="00282BF7">
              <w:t xml:space="preserve">collection </w:t>
            </w:r>
            <w:r>
              <w:t>was initiated in</w:t>
            </w:r>
            <w:r w:rsidRPr="00282BF7">
              <w:t xml:space="preserve"> 2018</w:t>
            </w:r>
            <w:r>
              <w:t xml:space="preserve"> and will conclude in 2019</w:t>
            </w:r>
            <w:r w:rsidRPr="00282BF7">
              <w:t xml:space="preserve">. </w:t>
            </w:r>
          </w:p>
        </w:tc>
      </w:tr>
      <w:tr w:rsidR="0035311B" w:rsidRPr="00837EC7" w14:paraId="3A39476E"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4741FA8" w14:textId="07C2DD4E"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d</w:t>
            </w:r>
            <w:r w:rsidRPr="00837EC7">
              <w:rPr>
                <w:rFonts w:ascii="Calibri" w:eastAsia="Times New Roman" w:hAnsi="Calibri" w:cs="Calibri"/>
              </w:rPr>
              <w:t>. Data release calendar</w:t>
            </w:r>
          </w:p>
        </w:tc>
        <w:tc>
          <w:tcPr>
            <w:tcW w:w="3246" w:type="pct"/>
            <w:tcBorders>
              <w:top w:val="nil"/>
              <w:left w:val="nil"/>
              <w:bottom w:val="single" w:sz="4" w:space="0" w:color="auto"/>
              <w:right w:val="single" w:sz="4" w:space="0" w:color="auto"/>
            </w:tcBorders>
            <w:shd w:val="clear" w:color="auto" w:fill="auto"/>
          </w:tcPr>
          <w:p w14:paraId="74C77B06" w14:textId="77777777" w:rsidR="00C73536" w:rsidRPr="00282BF7" w:rsidRDefault="00C73536" w:rsidP="00C952EB">
            <w:pPr>
              <w:pStyle w:val="MSubHeader"/>
            </w:pPr>
            <w:r w:rsidRPr="00282BF7">
              <w:t xml:space="preserve">Data release: </w:t>
            </w:r>
          </w:p>
          <w:p w14:paraId="35EF5915" w14:textId="7D8516AB" w:rsidR="0035311B" w:rsidRPr="00837EC7" w:rsidRDefault="00C73536" w:rsidP="00C952EB">
            <w:pPr>
              <w:pStyle w:val="MText"/>
            </w:pPr>
            <w:r w:rsidRPr="00282BF7">
              <w:t>Expected dates of release of new data: 20</w:t>
            </w:r>
            <w:r>
              <w:t>20</w:t>
            </w:r>
            <w:r w:rsidRPr="00282BF7">
              <w:t xml:space="preserve"> </w:t>
            </w:r>
          </w:p>
        </w:tc>
      </w:tr>
      <w:tr w:rsidR="0035311B" w:rsidRPr="00837EC7" w14:paraId="44531EAA"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27627C5" w14:textId="3144F1A3"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e.</w:t>
            </w:r>
            <w:r w:rsidRPr="00837EC7">
              <w:rPr>
                <w:rFonts w:ascii="Calibri" w:eastAsia="Times New Roman" w:hAnsi="Calibri" w:cs="Calibri"/>
              </w:rPr>
              <w:t xml:space="preserve"> Data providers</w:t>
            </w:r>
          </w:p>
        </w:tc>
        <w:tc>
          <w:tcPr>
            <w:tcW w:w="3246" w:type="pct"/>
            <w:tcBorders>
              <w:top w:val="nil"/>
              <w:left w:val="nil"/>
              <w:bottom w:val="single" w:sz="4" w:space="0" w:color="auto"/>
              <w:right w:val="single" w:sz="4" w:space="0" w:color="auto"/>
            </w:tcBorders>
            <w:shd w:val="clear" w:color="auto" w:fill="auto"/>
          </w:tcPr>
          <w:p w14:paraId="5E490270" w14:textId="77777777" w:rsidR="00C73536" w:rsidRPr="00282BF7" w:rsidRDefault="00C73536" w:rsidP="00C73536">
            <w:pPr>
              <w:pStyle w:val="MHeader"/>
              <w:rPr>
                <w:rFonts w:cstheme="minorHAnsi"/>
              </w:rPr>
            </w:pPr>
            <w:r w:rsidRPr="00282BF7">
              <w:rPr>
                <w:rFonts w:cstheme="minorHAnsi"/>
              </w:rPr>
              <w:t xml:space="preserve">Data providers </w:t>
            </w:r>
          </w:p>
          <w:p w14:paraId="31EF6D3D" w14:textId="77777777" w:rsidR="00C73536" w:rsidRDefault="00C73536" w:rsidP="00C952EB">
            <w:pPr>
              <w:pStyle w:val="MText"/>
            </w:pPr>
            <w:r w:rsidRPr="00282BF7">
              <w:t xml:space="preserve">National Forest Authorities, through officially nominated National Correspondents to FRA. </w:t>
            </w:r>
          </w:p>
          <w:p w14:paraId="49E07E1E" w14:textId="13F0C3CC" w:rsidR="0035311B" w:rsidRPr="00837EC7" w:rsidRDefault="00C73536" w:rsidP="00C952EB">
            <w:pPr>
              <w:pStyle w:val="MText"/>
            </w:pPr>
            <w:r>
              <w:t>Head offices of respective forest certification scheme.</w:t>
            </w:r>
          </w:p>
        </w:tc>
      </w:tr>
      <w:tr w:rsidR="0035311B" w:rsidRPr="00837EC7" w14:paraId="4A4B2D17"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3CC2A76" w14:textId="639F555A"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f</w:t>
            </w:r>
            <w:r w:rsidRPr="00837EC7">
              <w:rPr>
                <w:rFonts w:ascii="Calibri" w:eastAsia="Times New Roman" w:hAnsi="Calibri" w:cs="Calibri"/>
              </w:rPr>
              <w:t>. Data compilers</w:t>
            </w:r>
          </w:p>
        </w:tc>
        <w:tc>
          <w:tcPr>
            <w:tcW w:w="3246" w:type="pct"/>
            <w:tcBorders>
              <w:top w:val="nil"/>
              <w:left w:val="nil"/>
              <w:bottom w:val="single" w:sz="4" w:space="0" w:color="auto"/>
              <w:right w:val="single" w:sz="4" w:space="0" w:color="auto"/>
            </w:tcBorders>
            <w:shd w:val="clear" w:color="auto" w:fill="auto"/>
          </w:tcPr>
          <w:p w14:paraId="63B475AE" w14:textId="77777777" w:rsidR="00C73536" w:rsidRPr="00282BF7" w:rsidRDefault="00C73536" w:rsidP="00C73536">
            <w:pPr>
              <w:pStyle w:val="MHeader"/>
              <w:rPr>
                <w:rFonts w:cstheme="minorHAnsi"/>
              </w:rPr>
            </w:pPr>
            <w:r w:rsidRPr="00282BF7">
              <w:rPr>
                <w:rFonts w:cstheme="minorHAnsi"/>
              </w:rPr>
              <w:t xml:space="preserve">Data compilers </w:t>
            </w:r>
          </w:p>
          <w:p w14:paraId="0A85CE62" w14:textId="38ADD7AB" w:rsidR="0035311B" w:rsidRPr="00837EC7" w:rsidRDefault="00C73536" w:rsidP="00C952EB">
            <w:pPr>
              <w:pStyle w:val="MText"/>
              <w:rPr>
                <w:rFonts w:cstheme="minorHAnsi"/>
              </w:rPr>
            </w:pPr>
            <w:r w:rsidRPr="00282BF7">
              <w:lastRenderedPageBreak/>
              <w:t xml:space="preserve">Food and Agriculture Organisation of the United Nations (FAO) </w:t>
            </w:r>
          </w:p>
        </w:tc>
      </w:tr>
      <w:tr w:rsidR="0035311B" w:rsidRPr="00837EC7" w14:paraId="7A06D88B"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10D9AA1" w14:textId="24005589"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3.</w:t>
            </w:r>
            <w:r w:rsidR="006B0FA2" w:rsidRPr="00837EC7">
              <w:rPr>
                <w:rFonts w:ascii="Calibri" w:eastAsia="Times New Roman" w:hAnsi="Calibri" w:cs="Calibri"/>
              </w:rPr>
              <w:t>g</w:t>
            </w:r>
            <w:r w:rsidRPr="00837EC7">
              <w:rPr>
                <w:rFonts w:ascii="Calibri" w:eastAsia="Times New Roman" w:hAnsi="Calibri" w:cs="Calibri"/>
              </w:rPr>
              <w:t>. Institutional mandate</w:t>
            </w:r>
          </w:p>
        </w:tc>
        <w:tc>
          <w:tcPr>
            <w:tcW w:w="3246" w:type="pct"/>
            <w:tcBorders>
              <w:top w:val="nil"/>
              <w:left w:val="nil"/>
              <w:bottom w:val="single" w:sz="4" w:space="0" w:color="auto"/>
              <w:right w:val="single" w:sz="4" w:space="0" w:color="auto"/>
            </w:tcBorders>
            <w:shd w:val="clear" w:color="auto" w:fill="auto"/>
          </w:tcPr>
          <w:p w14:paraId="41F1F312" w14:textId="77777777" w:rsidR="0035311B" w:rsidRPr="00837EC7" w:rsidRDefault="0035311B" w:rsidP="0051738B">
            <w:pPr>
              <w:spacing w:after="0" w:line="240" w:lineRule="auto"/>
              <w:rPr>
                <w:rFonts w:ascii="Calibri" w:eastAsia="Times New Roman" w:hAnsi="Calibri" w:cs="Calibri"/>
                <w:color w:val="000000"/>
              </w:rPr>
            </w:pPr>
          </w:p>
        </w:tc>
      </w:tr>
    </w:tbl>
    <w:p w14:paraId="1FCAF280" w14:textId="5D8F45DD" w:rsidR="00F07040" w:rsidRDefault="00F07040">
      <w:pPr>
        <w:pBdr>
          <w:bottom w:val="single" w:sz="6" w:space="1" w:color="auto"/>
        </w:pBdr>
      </w:pPr>
    </w:p>
    <w:p w14:paraId="567EE7CB" w14:textId="77777777" w:rsidR="00EB4457" w:rsidRPr="00837EC7" w:rsidRDefault="00EB4457"/>
    <w:tbl>
      <w:tblPr>
        <w:tblW w:w="4792" w:type="pct"/>
        <w:tblLayout w:type="fixed"/>
        <w:tblLook w:val="04A0" w:firstRow="1" w:lastRow="0" w:firstColumn="1" w:lastColumn="0" w:noHBand="0" w:noVBand="1"/>
      </w:tblPr>
      <w:tblGrid>
        <w:gridCol w:w="3120"/>
        <w:gridCol w:w="5851"/>
      </w:tblGrid>
      <w:tr w:rsidR="007F2D9F" w:rsidRPr="00837EC7" w14:paraId="084C0BA7" w14:textId="77777777" w:rsidTr="00057BB3">
        <w:trPr>
          <w:trHeight w:val="470"/>
        </w:trPr>
        <w:tc>
          <w:tcPr>
            <w:tcW w:w="5000" w:type="pct"/>
            <w:gridSpan w:val="2"/>
            <w:tcBorders>
              <w:top w:val="nil"/>
              <w:left w:val="nil"/>
              <w:bottom w:val="nil"/>
              <w:right w:val="nil"/>
            </w:tcBorders>
            <w:shd w:val="clear" w:color="auto" w:fill="auto"/>
            <w:noWrap/>
            <w:vAlign w:val="bottom"/>
            <w:hideMark/>
          </w:tcPr>
          <w:p w14:paraId="15A57A28" w14:textId="77777777" w:rsidR="007F2D9F" w:rsidRPr="00837EC7" w:rsidRDefault="007F2D9F" w:rsidP="007F2D9F">
            <w:pPr>
              <w:pStyle w:val="Heading2"/>
              <w:rPr>
                <w:rFonts w:ascii="Times New Roman" w:hAnsi="Times New Roman"/>
                <w:sz w:val="32"/>
                <w:szCs w:val="32"/>
              </w:rPr>
            </w:pPr>
            <w:bookmarkStart w:id="19" w:name="_Toc36655612"/>
            <w:bookmarkStart w:id="20" w:name="_Toc36812575"/>
            <w:bookmarkStart w:id="21" w:name="_Toc36812688"/>
            <w:bookmarkStart w:id="22" w:name="_Toc36813075"/>
            <w:bookmarkStart w:id="23" w:name="_Toc37932747"/>
            <w:r w:rsidRPr="00837EC7">
              <w:rPr>
                <w:sz w:val="32"/>
                <w:szCs w:val="32"/>
              </w:rPr>
              <w:t>4. Other methodological considerations</w:t>
            </w:r>
            <w:bookmarkEnd w:id="19"/>
            <w:bookmarkEnd w:id="20"/>
            <w:bookmarkEnd w:id="21"/>
            <w:bookmarkEnd w:id="22"/>
            <w:bookmarkEnd w:id="23"/>
          </w:p>
        </w:tc>
      </w:tr>
      <w:tr w:rsidR="007F2D9F" w:rsidRPr="00837EC7" w14:paraId="18D8D453" w14:textId="77777777" w:rsidTr="00057BB3">
        <w:trPr>
          <w:trHeight w:val="300"/>
        </w:trPr>
        <w:tc>
          <w:tcPr>
            <w:tcW w:w="1739" w:type="pct"/>
            <w:tcBorders>
              <w:top w:val="nil"/>
              <w:left w:val="nil"/>
              <w:bottom w:val="nil"/>
              <w:right w:val="nil"/>
            </w:tcBorders>
            <w:shd w:val="clear" w:color="000000" w:fill="D9E1F2"/>
            <w:noWrap/>
            <w:vAlign w:val="bottom"/>
            <w:hideMark/>
          </w:tcPr>
          <w:p w14:paraId="6867C534" w14:textId="77777777" w:rsidR="007F2D9F" w:rsidRPr="00837EC7" w:rsidRDefault="007F2D9F"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61" w:type="pct"/>
            <w:tcBorders>
              <w:top w:val="nil"/>
              <w:left w:val="nil"/>
              <w:bottom w:val="nil"/>
              <w:right w:val="nil"/>
            </w:tcBorders>
            <w:shd w:val="clear" w:color="000000" w:fill="D9E1F2"/>
            <w:noWrap/>
            <w:vAlign w:val="bottom"/>
          </w:tcPr>
          <w:p w14:paraId="70055D4A" w14:textId="77777777" w:rsidR="007F2D9F" w:rsidRPr="00837EC7" w:rsidRDefault="007F2D9F"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7F2D9F" w:rsidRPr="00837EC7" w14:paraId="525C6FFA" w14:textId="77777777" w:rsidTr="00057BB3">
        <w:tc>
          <w:tcPr>
            <w:tcW w:w="1739" w:type="pct"/>
            <w:tcBorders>
              <w:top w:val="single" w:sz="4" w:space="0" w:color="auto"/>
              <w:left w:val="nil"/>
              <w:bottom w:val="single" w:sz="4" w:space="0" w:color="auto"/>
              <w:right w:val="single" w:sz="4" w:space="0" w:color="auto"/>
            </w:tcBorders>
            <w:shd w:val="clear" w:color="auto" w:fill="E7E6E6" w:themeFill="background2"/>
          </w:tcPr>
          <w:p w14:paraId="5156321E" w14:textId="77777777" w:rsidR="007F2D9F" w:rsidRPr="00837EC7" w:rsidRDefault="007F2D9F" w:rsidP="00057BB3">
            <w:pPr>
              <w:spacing w:after="0" w:line="240" w:lineRule="auto"/>
              <w:rPr>
                <w:rFonts w:ascii="Calibri" w:eastAsia="Times New Roman" w:hAnsi="Calibri" w:cs="Calibri"/>
                <w:b/>
                <w:bCs/>
              </w:rPr>
            </w:pPr>
            <w:r w:rsidRPr="00837EC7">
              <w:rPr>
                <w:rFonts w:ascii="Calibri" w:eastAsia="Times New Roman" w:hAnsi="Calibri" w:cs="Calibri"/>
              </w:rPr>
              <w:t>4. Other methodological considerations</w:t>
            </w:r>
          </w:p>
        </w:tc>
        <w:tc>
          <w:tcPr>
            <w:tcW w:w="3261" w:type="pct"/>
            <w:tcBorders>
              <w:top w:val="single" w:sz="4" w:space="0" w:color="auto"/>
              <w:left w:val="nil"/>
              <w:bottom w:val="single" w:sz="4" w:space="0" w:color="auto"/>
              <w:right w:val="single" w:sz="4" w:space="0" w:color="auto"/>
            </w:tcBorders>
            <w:shd w:val="clear" w:color="auto" w:fill="auto"/>
          </w:tcPr>
          <w:p w14:paraId="72CD8B0D" w14:textId="77777777" w:rsidR="007F2D9F" w:rsidRPr="00837EC7" w:rsidRDefault="007F2D9F" w:rsidP="00057BB3">
            <w:pPr>
              <w:pStyle w:val="Default"/>
              <w:rPr>
                <w:rFonts w:asciiTheme="minorHAnsi" w:hAnsiTheme="minorHAnsi" w:cstheme="minorHAnsi"/>
                <w:sz w:val="21"/>
                <w:szCs w:val="21"/>
              </w:rPr>
            </w:pPr>
          </w:p>
        </w:tc>
      </w:tr>
      <w:tr w:rsidR="007F2D9F" w:rsidRPr="00837EC7" w14:paraId="45D9E1D9" w14:textId="77777777" w:rsidTr="00057BB3">
        <w:tc>
          <w:tcPr>
            <w:tcW w:w="1739" w:type="pct"/>
            <w:tcBorders>
              <w:top w:val="single" w:sz="4" w:space="0" w:color="auto"/>
              <w:left w:val="nil"/>
              <w:bottom w:val="single" w:sz="4" w:space="0" w:color="auto"/>
              <w:right w:val="single" w:sz="4" w:space="0" w:color="auto"/>
            </w:tcBorders>
            <w:shd w:val="clear" w:color="auto" w:fill="E7E6E6" w:themeFill="background2"/>
            <w:hideMark/>
          </w:tcPr>
          <w:p w14:paraId="3F40A635"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4.a. Rationale</w:t>
            </w:r>
          </w:p>
        </w:tc>
        <w:tc>
          <w:tcPr>
            <w:tcW w:w="3261" w:type="pct"/>
            <w:tcBorders>
              <w:top w:val="single" w:sz="4" w:space="0" w:color="auto"/>
              <w:left w:val="nil"/>
              <w:bottom w:val="single" w:sz="4" w:space="0" w:color="auto"/>
              <w:right w:val="single" w:sz="4" w:space="0" w:color="auto"/>
            </w:tcBorders>
            <w:shd w:val="clear" w:color="auto" w:fill="auto"/>
          </w:tcPr>
          <w:p w14:paraId="502BAB3F" w14:textId="77777777" w:rsidR="009674F6" w:rsidRPr="00282BF7" w:rsidRDefault="009674F6" w:rsidP="00C952EB">
            <w:pPr>
              <w:pStyle w:val="MSubHeader"/>
            </w:pPr>
            <w:r w:rsidRPr="00282BF7">
              <w:t xml:space="preserve">Rationale: </w:t>
            </w:r>
          </w:p>
          <w:p w14:paraId="36556A2D" w14:textId="25EE4B73" w:rsidR="009674F6" w:rsidRDefault="009674F6" w:rsidP="00C952EB">
            <w:pPr>
              <w:pStyle w:val="MText"/>
            </w:pPr>
            <w:r w:rsidRPr="00282BF7">
              <w:t xml:space="preserve">The definition of SFM by the UN General Assembly contains several key aspects, notably that sustainable forest management is a concept which varies over time and between countries, whose circumstances – ecological, social and economic – vary widely, but that it should always address a wide range of forest values, including economic, social and environmental values, and take intergenerational equity into account. </w:t>
            </w:r>
          </w:p>
          <w:p w14:paraId="41D14183" w14:textId="77777777" w:rsidR="00C952EB" w:rsidRPr="00282BF7" w:rsidRDefault="00C952EB" w:rsidP="00C952EB">
            <w:pPr>
              <w:pStyle w:val="MText"/>
            </w:pPr>
          </w:p>
          <w:p w14:paraId="05D720EF" w14:textId="13CB040D" w:rsidR="009674F6" w:rsidRDefault="009674F6" w:rsidP="00C952EB">
            <w:pPr>
              <w:pStyle w:val="MText"/>
            </w:pPr>
            <w:r w:rsidRPr="00282BF7">
              <w:t>Clearly a simple measure of forest area</w:t>
            </w:r>
            <w:r>
              <w:t xml:space="preserve"> </w:t>
            </w:r>
            <w:r w:rsidRPr="00282BF7">
              <w:t xml:space="preserve">is insufficient to monitor sustainable forest management as a whole. The significance of the five sub-indicators can be briefly explained as follows: </w:t>
            </w:r>
          </w:p>
          <w:p w14:paraId="6E6728CF" w14:textId="77777777" w:rsidR="00C952EB" w:rsidRPr="00282BF7" w:rsidRDefault="00C952EB" w:rsidP="00C952EB">
            <w:pPr>
              <w:pStyle w:val="MText"/>
            </w:pPr>
          </w:p>
          <w:p w14:paraId="29172979" w14:textId="165E078F" w:rsidR="009674F6" w:rsidRDefault="009674F6" w:rsidP="00C952EB">
            <w:pPr>
              <w:pStyle w:val="MText"/>
              <w:numPr>
                <w:ilvl w:val="0"/>
                <w:numId w:val="6"/>
              </w:numPr>
            </w:pPr>
            <w:r w:rsidRPr="00C952EB">
              <w:t xml:space="preserve">Trends in forest area are crucial for monitoring SFM. The first sub-indicator focuses on both the direction of change (whether there is a loss or gain in forest area) and how the change rate is changing over time; the latter is important in order to capture progress among countries that are losing forest area, but have managed to reduce the rate of annual forest area loss. </w:t>
            </w:r>
          </w:p>
          <w:p w14:paraId="3054AB4D" w14:textId="77777777" w:rsidR="00C952EB" w:rsidRPr="00C952EB" w:rsidRDefault="00C952EB" w:rsidP="00C952EB">
            <w:pPr>
              <w:pStyle w:val="MText"/>
              <w:ind w:left="360"/>
            </w:pPr>
          </w:p>
          <w:p w14:paraId="0CE5500A" w14:textId="77777777" w:rsidR="00BE6584" w:rsidRDefault="009674F6" w:rsidP="002666FC">
            <w:pPr>
              <w:pStyle w:val="Default"/>
              <w:numPr>
                <w:ilvl w:val="0"/>
                <w:numId w:val="6"/>
              </w:numPr>
              <w:spacing w:after="120" w:line="276" w:lineRule="auto"/>
              <w:rPr>
                <w:rFonts w:asciiTheme="minorHAnsi" w:hAnsiTheme="minorHAnsi" w:cstheme="minorHAnsi"/>
                <w:sz w:val="21"/>
                <w:szCs w:val="21"/>
              </w:rPr>
            </w:pPr>
            <w:r w:rsidRPr="00BE6584">
              <w:rPr>
                <w:rStyle w:val="MTextChar"/>
                <w:rFonts w:eastAsiaTheme="minorEastAsia"/>
              </w:rPr>
              <w:t>Changes in the above-ground biomass stock in forest indicate the balance between gains in biomass stock due to forest growth and losses due to wood removals, natural losses, fire, wind, pests and diseases. At country level and over a longer period, sustainable forest management would imply a stable or increasing biomass stock per hectare, while a long-term reduction of biomass stock per hectare would imply either</w:t>
            </w:r>
            <w:r w:rsidRPr="00BE6584">
              <w:rPr>
                <w:rFonts w:asciiTheme="minorHAnsi" w:hAnsiTheme="minorHAnsi" w:cstheme="minorHAnsi"/>
                <w:sz w:val="21"/>
                <w:szCs w:val="21"/>
              </w:rPr>
              <w:t xml:space="preserve"> unsustainable management of the forests and degradation or unexpected major losses due to fire, wind, pests or diseases. </w:t>
            </w:r>
          </w:p>
          <w:p w14:paraId="7E3A70C8" w14:textId="0BC15D8A" w:rsidR="009674F6" w:rsidRDefault="009674F6" w:rsidP="00BE6584">
            <w:pPr>
              <w:pStyle w:val="MText"/>
              <w:numPr>
                <w:ilvl w:val="0"/>
                <w:numId w:val="6"/>
              </w:numPr>
            </w:pPr>
            <w:r w:rsidRPr="00BE6584">
              <w:t xml:space="preserve">The change in forest area within legally protected areas is a proxy for trends in conservation of forest biodiversity as well as cultural and spiritual values of forests and thus a clear </w:t>
            </w:r>
            <w:r w:rsidRPr="00BE6584">
              <w:lastRenderedPageBreak/>
              <w:t xml:space="preserve">indication of the political will to protect and conserve forests. This indicator is related to the CBD Aichi Target 11 which calls for each country to conserve at least 17 per cent of terrestrial and inland water areas. </w:t>
            </w:r>
          </w:p>
          <w:p w14:paraId="142E1DBA" w14:textId="77777777" w:rsidR="00BE6584" w:rsidRPr="00BE6584" w:rsidRDefault="00BE6584" w:rsidP="00BE6584">
            <w:pPr>
              <w:pStyle w:val="MText"/>
              <w:ind w:left="360"/>
            </w:pPr>
          </w:p>
          <w:p w14:paraId="2305B73F" w14:textId="1CB660ED" w:rsidR="009674F6" w:rsidRDefault="009674F6" w:rsidP="00BE6584">
            <w:pPr>
              <w:pStyle w:val="MText"/>
              <w:numPr>
                <w:ilvl w:val="0"/>
                <w:numId w:val="6"/>
              </w:numPr>
            </w:pPr>
            <w:r w:rsidRPr="00282BF7">
              <w:t xml:space="preserve">The fourth sub-indicator looks at the forest area that is under a </w:t>
            </w:r>
            <w:proofErr w:type="gramStart"/>
            <w:r w:rsidRPr="00282BF7">
              <w:t>long term</w:t>
            </w:r>
            <w:proofErr w:type="gramEnd"/>
            <w:r w:rsidRPr="00282BF7">
              <w:t xml:space="preserve"> forest management plan. The existence of a documented forest management plan is the basis for long term and sustainable management of the forest resources for a variety of management objectives such as for wood and non-wood forest products, protection of soil and water, biodiversity conservation, social and cultural use, and a combination of two or several of these. An increasing area under forest management plan is therefore an indicator of progress towards sustainable forest management. </w:t>
            </w:r>
          </w:p>
          <w:p w14:paraId="1BB11ED8" w14:textId="77777777" w:rsidR="00BE6584" w:rsidRPr="00282BF7" w:rsidRDefault="00BE6584" w:rsidP="00BE6584">
            <w:pPr>
              <w:pStyle w:val="MText"/>
            </w:pPr>
          </w:p>
          <w:p w14:paraId="2E3517AC" w14:textId="4619C8EB" w:rsidR="007F2D9F" w:rsidRPr="00837EC7" w:rsidRDefault="009674F6" w:rsidP="002932FE">
            <w:pPr>
              <w:pStyle w:val="MText"/>
              <w:numPr>
                <w:ilvl w:val="0"/>
                <w:numId w:val="6"/>
              </w:numPr>
              <w:rPr>
                <w:rFonts w:cstheme="minorHAnsi"/>
              </w:rPr>
            </w:pPr>
            <w:r w:rsidRPr="00282BF7">
              <w:t xml:space="preserve">The fifth sub-indicator is the forest area that is certified by an independently verified forest management certification scheme. Such certification schemes apply standards that generally are higher than those established by the countries’ own normative frameworks, and compliance is verified by an independent and accredited certifier. An increase in certified forest area therefore provides an additional indication of progress towards sustainable forest management. It should however be noted that there are significant areas of sustainably managed forest which are not certified, either because their owners have chosen not to seek certification (which is voluntary and market-based) or because no credible or affordable certification scheme is in place for that area. </w:t>
            </w:r>
          </w:p>
        </w:tc>
      </w:tr>
      <w:tr w:rsidR="007F2D9F" w:rsidRPr="00837EC7" w14:paraId="27D67748"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52BA1CCB"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4.b. Comment and limitations</w:t>
            </w:r>
          </w:p>
        </w:tc>
        <w:tc>
          <w:tcPr>
            <w:tcW w:w="3261" w:type="pct"/>
            <w:tcBorders>
              <w:top w:val="nil"/>
              <w:left w:val="nil"/>
              <w:bottom w:val="single" w:sz="4" w:space="0" w:color="auto"/>
              <w:right w:val="single" w:sz="4" w:space="0" w:color="auto"/>
            </w:tcBorders>
            <w:shd w:val="clear" w:color="auto" w:fill="auto"/>
          </w:tcPr>
          <w:p w14:paraId="0CC4E9CC" w14:textId="77777777" w:rsidR="009674F6" w:rsidRPr="00282BF7" w:rsidRDefault="009674F6" w:rsidP="002932FE">
            <w:pPr>
              <w:pStyle w:val="MSubHeader"/>
            </w:pPr>
            <w:r w:rsidRPr="00282BF7">
              <w:t xml:space="preserve">Comments and limitations: </w:t>
            </w:r>
          </w:p>
          <w:p w14:paraId="7949FD2A" w14:textId="77777777" w:rsidR="009674F6" w:rsidRDefault="009674F6" w:rsidP="002932FE">
            <w:pPr>
              <w:pStyle w:val="MText"/>
            </w:pPr>
            <w:r w:rsidRPr="002932FE">
              <w:rPr>
                <w:rStyle w:val="MTextChar"/>
              </w:rPr>
              <w:t>The five sub-indicators chosen to illustrate progress towards sustainable forest management do not fully cover all aspects of sustainable forest management. In particular, social and economic aspects are summarized under the sub-indicators on areas under sustainable forest management plans. Furthermore, as the trends are calculated using only those countries which</w:t>
            </w:r>
            <w:r>
              <w:t xml:space="preserve"> have data complete time series, different sub-indicators may reflect </w:t>
            </w:r>
            <w:r w:rsidRPr="00282BF7">
              <w:t xml:space="preserve">different sets of countries. </w:t>
            </w:r>
          </w:p>
          <w:p w14:paraId="26822E18" w14:textId="77777777" w:rsidR="009674F6" w:rsidRDefault="009674F6" w:rsidP="002932FE">
            <w:pPr>
              <w:pStyle w:val="MText"/>
            </w:pPr>
          </w:p>
          <w:p w14:paraId="48EF8537" w14:textId="5EF19560" w:rsidR="007F2D9F" w:rsidRPr="00837EC7" w:rsidRDefault="009674F6" w:rsidP="002932FE">
            <w:pPr>
              <w:pStyle w:val="MText"/>
              <w:rPr>
                <w:rFonts w:cstheme="minorHAnsi"/>
              </w:rPr>
            </w:pPr>
            <w:r w:rsidRPr="00282BF7">
              <w:t xml:space="preserve">While the dashboard illustrates the progress on the individual sub-indicators, there is no weighting of the relative importance of the sub-indicators. </w:t>
            </w:r>
          </w:p>
        </w:tc>
      </w:tr>
      <w:tr w:rsidR="007F2D9F" w:rsidRPr="00837EC7" w14:paraId="58DFCED6"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69AAD900"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4.c. Method of computation</w:t>
            </w:r>
          </w:p>
        </w:tc>
        <w:tc>
          <w:tcPr>
            <w:tcW w:w="3261" w:type="pct"/>
            <w:tcBorders>
              <w:top w:val="nil"/>
              <w:left w:val="nil"/>
              <w:bottom w:val="single" w:sz="4" w:space="0" w:color="auto"/>
              <w:right w:val="single" w:sz="4" w:space="0" w:color="auto"/>
            </w:tcBorders>
            <w:shd w:val="clear" w:color="auto" w:fill="auto"/>
          </w:tcPr>
          <w:p w14:paraId="277B5EFB" w14:textId="77777777" w:rsidR="009674F6" w:rsidRPr="00282BF7" w:rsidRDefault="009674F6" w:rsidP="009674F6">
            <w:pPr>
              <w:pStyle w:val="MHeader"/>
              <w:rPr>
                <w:rFonts w:cstheme="minorHAnsi"/>
              </w:rPr>
            </w:pPr>
            <w:r w:rsidRPr="00282BF7">
              <w:rPr>
                <w:rFonts w:cstheme="minorHAnsi"/>
              </w:rPr>
              <w:t xml:space="preserve">Methodology </w:t>
            </w:r>
          </w:p>
          <w:p w14:paraId="42F77FCD" w14:textId="122DD570" w:rsidR="009674F6" w:rsidRPr="00282BF7" w:rsidRDefault="009674F6" w:rsidP="002932FE">
            <w:pPr>
              <w:pStyle w:val="MSubHeader"/>
            </w:pPr>
            <w:r w:rsidRPr="00282BF7">
              <w:t xml:space="preserve">Computation </w:t>
            </w:r>
            <w:r w:rsidR="002932FE">
              <w:t>m</w:t>
            </w:r>
            <w:r w:rsidRPr="00282BF7">
              <w:t xml:space="preserve">ethod: </w:t>
            </w:r>
          </w:p>
          <w:p w14:paraId="2BEEB34A" w14:textId="70EC077A" w:rsidR="009674F6" w:rsidRDefault="009674F6" w:rsidP="002932FE">
            <w:pPr>
              <w:pStyle w:val="MText"/>
            </w:pPr>
            <w:r>
              <w:t>National data on</w:t>
            </w:r>
            <w:r w:rsidRPr="00282BF7">
              <w:t xml:space="preserve"> forest area, biomass stock, forest area within protected areas,</w:t>
            </w:r>
            <w:r>
              <w:t xml:space="preserve"> and</w:t>
            </w:r>
            <w:r w:rsidRPr="00282BF7">
              <w:t xml:space="preserve"> forest area under management plan are reported directly</w:t>
            </w:r>
            <w:r>
              <w:t xml:space="preserve"> by countries</w:t>
            </w:r>
            <w:r w:rsidRPr="00282BF7">
              <w:t xml:space="preserve"> to FAO for pre-established reference years.</w:t>
            </w:r>
            <w:r>
              <w:t xml:space="preserve"> </w:t>
            </w:r>
            <w:r w:rsidRPr="00282BF7">
              <w:t>Based on the country reported data, FAO then makes country-level estimates of the forest area net change rate using the compound interest formula</w:t>
            </w:r>
            <w:r>
              <w:t>. T</w:t>
            </w:r>
            <w:r w:rsidRPr="00282BF7">
              <w:t>he proportion of forest area within protected area and under management plan</w:t>
            </w:r>
            <w:r>
              <w:t xml:space="preserve"> is calculated using the reported areas and the official FAOSTAT land area for reference year 2015. Data on </w:t>
            </w:r>
            <w:bookmarkStart w:id="24" w:name="_Hlk887761"/>
            <w:r w:rsidRPr="00282BF7">
              <w:t>forest area under an independently verified forest management certification scheme</w:t>
            </w:r>
            <w:bookmarkEnd w:id="24"/>
            <w:r w:rsidRPr="00282BF7">
              <w:t xml:space="preserve"> </w:t>
            </w:r>
            <w:r>
              <w:t xml:space="preserve">are reported to FAO by the head offices of respective forest certification scheme, who are jointly adjusting the figures to remove any double accounting. </w:t>
            </w:r>
          </w:p>
          <w:p w14:paraId="29E7BFE5" w14:textId="77777777" w:rsidR="002932FE" w:rsidRPr="00282BF7" w:rsidRDefault="002932FE" w:rsidP="002932FE">
            <w:pPr>
              <w:pStyle w:val="MText"/>
            </w:pPr>
          </w:p>
          <w:p w14:paraId="5A53B8A7" w14:textId="52FE1A6E" w:rsidR="007F2D9F" w:rsidRPr="00837EC7" w:rsidRDefault="009674F6" w:rsidP="004738FA">
            <w:pPr>
              <w:pStyle w:val="MText"/>
            </w:pPr>
            <w:r w:rsidRPr="00282BF7">
              <w:t xml:space="preserve">No dashboard traffic lights are made at country level. </w:t>
            </w:r>
          </w:p>
        </w:tc>
      </w:tr>
      <w:tr w:rsidR="007F2D9F" w:rsidRPr="00837EC7" w14:paraId="5CACC290"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1D0EBE5D"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4.d. Validation</w:t>
            </w:r>
          </w:p>
        </w:tc>
        <w:tc>
          <w:tcPr>
            <w:tcW w:w="3261" w:type="pct"/>
            <w:tcBorders>
              <w:top w:val="nil"/>
              <w:left w:val="nil"/>
              <w:bottom w:val="single" w:sz="4" w:space="0" w:color="auto"/>
              <w:right w:val="single" w:sz="4" w:space="0" w:color="auto"/>
            </w:tcBorders>
            <w:shd w:val="clear" w:color="auto" w:fill="auto"/>
          </w:tcPr>
          <w:p w14:paraId="59A9A85C"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59475AF8"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6AB0F2CA"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4.e. Adjustments</w:t>
            </w:r>
          </w:p>
        </w:tc>
        <w:tc>
          <w:tcPr>
            <w:tcW w:w="3261" w:type="pct"/>
            <w:tcBorders>
              <w:top w:val="nil"/>
              <w:left w:val="nil"/>
              <w:bottom w:val="single" w:sz="4" w:space="0" w:color="auto"/>
              <w:right w:val="single" w:sz="4" w:space="0" w:color="auto"/>
            </w:tcBorders>
            <w:shd w:val="clear" w:color="auto" w:fill="auto"/>
          </w:tcPr>
          <w:p w14:paraId="215F1F7A"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67DAA1D3"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2179B928"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4.f. Treatment of missing values (</w:t>
            </w:r>
            <w:proofErr w:type="spellStart"/>
            <w:r w:rsidRPr="00837EC7">
              <w:rPr>
                <w:rFonts w:ascii="Calibri" w:eastAsia="Times New Roman" w:hAnsi="Calibri" w:cs="Calibri"/>
              </w:rPr>
              <w:t>i</w:t>
            </w:r>
            <w:proofErr w:type="spellEnd"/>
            <w:r w:rsidRPr="00837EC7">
              <w:rPr>
                <w:rFonts w:ascii="Calibri" w:eastAsia="Times New Roman" w:hAnsi="Calibri" w:cs="Calibri"/>
              </w:rPr>
              <w:t>) at country level and (ii) at regional level</w:t>
            </w:r>
          </w:p>
        </w:tc>
        <w:tc>
          <w:tcPr>
            <w:tcW w:w="3261" w:type="pct"/>
            <w:tcBorders>
              <w:top w:val="nil"/>
              <w:left w:val="nil"/>
              <w:bottom w:val="single" w:sz="4" w:space="0" w:color="auto"/>
              <w:right w:val="single" w:sz="4" w:space="0" w:color="auto"/>
            </w:tcBorders>
            <w:shd w:val="clear" w:color="auto" w:fill="auto"/>
          </w:tcPr>
          <w:p w14:paraId="2360BB9A" w14:textId="77777777" w:rsidR="009674F6" w:rsidRPr="00282BF7" w:rsidRDefault="009674F6" w:rsidP="00655A5C">
            <w:pPr>
              <w:pStyle w:val="MSubHeader"/>
            </w:pPr>
            <w:r w:rsidRPr="00282BF7">
              <w:t xml:space="preserve">Treatment of missing values: </w:t>
            </w:r>
          </w:p>
          <w:p w14:paraId="5109D84A" w14:textId="772A5237" w:rsidR="009674F6" w:rsidRPr="00F04A41" w:rsidRDefault="009674F6" w:rsidP="00F04A41">
            <w:pPr>
              <w:pStyle w:val="MText"/>
              <w:numPr>
                <w:ilvl w:val="0"/>
                <w:numId w:val="18"/>
              </w:numPr>
              <w:rPr>
                <w:b/>
                <w:bCs/>
                <w:i/>
                <w:iCs/>
              </w:rPr>
            </w:pPr>
            <w:r w:rsidRPr="00F04A41">
              <w:rPr>
                <w:b/>
                <w:bCs/>
                <w:i/>
                <w:iCs/>
              </w:rPr>
              <w:t>At country level</w:t>
            </w:r>
            <w:r w:rsidR="00F04A41" w:rsidRPr="00F04A41">
              <w:rPr>
                <w:b/>
                <w:bCs/>
                <w:i/>
                <w:iCs/>
              </w:rPr>
              <w:t>:</w:t>
            </w:r>
          </w:p>
          <w:p w14:paraId="01BB6474" w14:textId="5F4B328C" w:rsidR="009674F6" w:rsidRDefault="009674F6" w:rsidP="00655A5C">
            <w:pPr>
              <w:pStyle w:val="MText"/>
            </w:pPr>
            <w:r w:rsidRPr="00282BF7">
              <w:t xml:space="preserve">For countries and territories where no information was provided to FAO for FRA 2015 (79 countries and territories representing 1.2 percent of the global forest area), a report was prepared by FAO using existing information from previous assessments and literature search. </w:t>
            </w:r>
          </w:p>
          <w:p w14:paraId="62DF182C" w14:textId="77777777" w:rsidR="00655A5C" w:rsidRPr="00282BF7" w:rsidRDefault="00655A5C" w:rsidP="00655A5C">
            <w:pPr>
              <w:pStyle w:val="MText"/>
            </w:pPr>
          </w:p>
          <w:p w14:paraId="0D097A41" w14:textId="4D5AF176" w:rsidR="009674F6" w:rsidRPr="00F04A41" w:rsidRDefault="009674F6" w:rsidP="00F04A41">
            <w:pPr>
              <w:pStyle w:val="MText"/>
              <w:numPr>
                <w:ilvl w:val="0"/>
                <w:numId w:val="18"/>
              </w:numPr>
              <w:rPr>
                <w:b/>
                <w:bCs/>
                <w:i/>
                <w:iCs/>
              </w:rPr>
            </w:pPr>
            <w:r w:rsidRPr="00F04A41">
              <w:rPr>
                <w:b/>
                <w:bCs/>
                <w:i/>
                <w:iCs/>
              </w:rPr>
              <w:t>At regional and global levels</w:t>
            </w:r>
            <w:r w:rsidR="00F04A41" w:rsidRPr="00F04A41">
              <w:rPr>
                <w:b/>
                <w:bCs/>
                <w:i/>
                <w:iCs/>
              </w:rPr>
              <w:t>:</w:t>
            </w:r>
            <w:r w:rsidRPr="00F04A41">
              <w:rPr>
                <w:b/>
                <w:bCs/>
                <w:i/>
                <w:iCs/>
              </w:rPr>
              <w:t xml:space="preserve"> </w:t>
            </w:r>
          </w:p>
          <w:p w14:paraId="55C0FDEF" w14:textId="407DABE0" w:rsidR="007F2D9F" w:rsidRPr="00837EC7" w:rsidRDefault="009674F6" w:rsidP="00F04A41">
            <w:pPr>
              <w:pStyle w:val="MText"/>
              <w:rPr>
                <w:rFonts w:cstheme="minorHAnsi"/>
              </w:rPr>
            </w:pPr>
            <w:r w:rsidRPr="00282BF7">
              <w:t xml:space="preserve">See above. </w:t>
            </w:r>
          </w:p>
        </w:tc>
      </w:tr>
      <w:tr w:rsidR="007F2D9F" w:rsidRPr="00837EC7" w14:paraId="3D44243E"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97EF9FD"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4.g. Regional aggregations</w:t>
            </w:r>
          </w:p>
        </w:tc>
        <w:tc>
          <w:tcPr>
            <w:tcW w:w="3261" w:type="pct"/>
            <w:tcBorders>
              <w:top w:val="nil"/>
              <w:left w:val="nil"/>
              <w:bottom w:val="single" w:sz="4" w:space="0" w:color="auto"/>
              <w:right w:val="single" w:sz="4" w:space="0" w:color="auto"/>
            </w:tcBorders>
            <w:shd w:val="clear" w:color="auto" w:fill="auto"/>
          </w:tcPr>
          <w:p w14:paraId="605A6A39" w14:textId="77777777" w:rsidR="009674F6" w:rsidRPr="00282BF7" w:rsidRDefault="009674F6" w:rsidP="00655A5C">
            <w:pPr>
              <w:pStyle w:val="MSubHeader"/>
            </w:pPr>
            <w:r w:rsidRPr="00282BF7">
              <w:t xml:space="preserve">Regional aggregates: </w:t>
            </w:r>
          </w:p>
          <w:p w14:paraId="27492CB0" w14:textId="49A7AE7E" w:rsidR="007F2D9F" w:rsidRPr="00837EC7" w:rsidRDefault="009674F6" w:rsidP="00655A5C">
            <w:pPr>
              <w:pStyle w:val="Default"/>
              <w:spacing w:after="120" w:line="276" w:lineRule="auto"/>
              <w:rPr>
                <w:rFonts w:asciiTheme="minorHAnsi" w:hAnsiTheme="minorHAnsi" w:cstheme="minorHAnsi"/>
                <w:sz w:val="21"/>
                <w:szCs w:val="21"/>
              </w:rPr>
            </w:pPr>
            <w:r w:rsidRPr="00655A5C">
              <w:rPr>
                <w:rStyle w:val="MTextChar"/>
                <w:rFonts w:eastAsiaTheme="minorEastAsia"/>
              </w:rPr>
              <w:t>See Annex 2 – Methodology. It should be noted that for those sub-indicators where there are gaps in the data set, only the countries that reported a complete time series are included in the</w:t>
            </w:r>
            <w:r w:rsidRPr="00282BF7">
              <w:rPr>
                <w:rFonts w:asciiTheme="minorHAnsi" w:hAnsiTheme="minorHAnsi" w:cstheme="minorHAnsi"/>
                <w:sz w:val="21"/>
                <w:szCs w:val="21"/>
              </w:rPr>
              <w:t xml:space="preserve"> </w:t>
            </w:r>
            <w:r w:rsidRPr="00655A5C">
              <w:rPr>
                <w:rStyle w:val="MTextChar"/>
                <w:rFonts w:eastAsiaTheme="minorEastAsia"/>
              </w:rPr>
              <w:t>regional and global aggregates. Annex 2 also shows how the dashboard traffic lights are applied at global and regional level.</w:t>
            </w:r>
            <w:r w:rsidRPr="00282BF7">
              <w:rPr>
                <w:rFonts w:asciiTheme="minorHAnsi" w:hAnsiTheme="minorHAnsi" w:cstheme="minorHAnsi"/>
                <w:sz w:val="21"/>
                <w:szCs w:val="21"/>
              </w:rPr>
              <w:t xml:space="preserve"> </w:t>
            </w:r>
          </w:p>
        </w:tc>
      </w:tr>
      <w:tr w:rsidR="007F2D9F" w:rsidRPr="00837EC7" w14:paraId="75C9711D"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7A2F4339"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4.h. Methods and guidance available to countries for the compilation of the data at the national level</w:t>
            </w:r>
          </w:p>
        </w:tc>
        <w:tc>
          <w:tcPr>
            <w:tcW w:w="3261" w:type="pct"/>
            <w:tcBorders>
              <w:top w:val="nil"/>
              <w:left w:val="nil"/>
              <w:bottom w:val="single" w:sz="4" w:space="0" w:color="auto"/>
              <w:right w:val="single" w:sz="4" w:space="0" w:color="auto"/>
            </w:tcBorders>
            <w:shd w:val="clear" w:color="auto" w:fill="auto"/>
          </w:tcPr>
          <w:p w14:paraId="28BE0204" w14:textId="77777777" w:rsidR="009674F6" w:rsidRPr="00282BF7" w:rsidRDefault="009674F6" w:rsidP="00655A5C">
            <w:pPr>
              <w:pStyle w:val="MSubHeader"/>
            </w:pPr>
            <w:r w:rsidRPr="00282BF7">
              <w:t xml:space="preserve">Methods and guidance available to countries for the compilation of the data at the national level: </w:t>
            </w:r>
          </w:p>
          <w:p w14:paraId="1C602919" w14:textId="66CF0479" w:rsidR="009674F6" w:rsidRDefault="009674F6" w:rsidP="00655A5C">
            <w:pPr>
              <w:pStyle w:val="MText"/>
            </w:pPr>
            <w:r w:rsidRPr="00282BF7">
              <w:t xml:space="preserve">Data on sub-indicators </w:t>
            </w:r>
            <w:r>
              <w:t xml:space="preserve">1 to 4 </w:t>
            </w:r>
            <w:r w:rsidRPr="00282BF7">
              <w:t xml:space="preserve">are provided to FAO by countries in the form of a country report following a standard format, which includes the original data and reference sources and descriptions of how these have been used to estimate the forest area for different points in time. </w:t>
            </w:r>
          </w:p>
          <w:p w14:paraId="2EEB9184" w14:textId="77777777" w:rsidR="00655A5C" w:rsidRPr="00282BF7" w:rsidRDefault="00655A5C" w:rsidP="00655A5C">
            <w:pPr>
              <w:pStyle w:val="MText"/>
            </w:pPr>
          </w:p>
          <w:p w14:paraId="0232E6B5" w14:textId="3166C5D5" w:rsidR="007F2D9F" w:rsidRPr="00837EC7" w:rsidRDefault="009674F6" w:rsidP="00655A5C">
            <w:pPr>
              <w:pStyle w:val="MText"/>
              <w:rPr>
                <w:rFonts w:cstheme="minorHAnsi"/>
              </w:rPr>
            </w:pPr>
            <w:r w:rsidRPr="00282BF7">
              <w:t xml:space="preserve">Detailed methodology and guidance on how to prepare the country reports and to convert national data according to national categories and definitions to FAO’s global categories and definitions is found in the document “Guide for country reporting for FRA 2015”, </w:t>
            </w:r>
            <w:hyperlink r:id="rId8" w:history="1">
              <w:r w:rsidRPr="00282BF7">
                <w:rPr>
                  <w:rStyle w:val="Hyperlink"/>
                  <w:rFonts w:cstheme="minorHAnsi"/>
                </w:rPr>
                <w:t>http://www.fao.org/3/a-au190e.pdf</w:t>
              </w:r>
            </w:hyperlink>
            <w:r w:rsidRPr="00282BF7">
              <w:t xml:space="preserve">. </w:t>
            </w:r>
          </w:p>
        </w:tc>
      </w:tr>
      <w:tr w:rsidR="007F2D9F" w:rsidRPr="00837EC7" w14:paraId="1D5AFCE9"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C054AB1"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4.i. Quality management</w:t>
            </w:r>
          </w:p>
        </w:tc>
        <w:tc>
          <w:tcPr>
            <w:tcW w:w="3261" w:type="pct"/>
            <w:tcBorders>
              <w:top w:val="nil"/>
              <w:left w:val="nil"/>
              <w:bottom w:val="single" w:sz="4" w:space="0" w:color="auto"/>
              <w:right w:val="single" w:sz="4" w:space="0" w:color="auto"/>
            </w:tcBorders>
            <w:shd w:val="clear" w:color="auto" w:fill="auto"/>
          </w:tcPr>
          <w:p w14:paraId="020F3B1A" w14:textId="77777777" w:rsidR="007F2D9F" w:rsidRPr="00837EC7" w:rsidRDefault="007F2D9F" w:rsidP="00057BB3">
            <w:pPr>
              <w:pStyle w:val="Default"/>
              <w:rPr>
                <w:rFonts w:asciiTheme="minorHAnsi" w:hAnsiTheme="minorHAnsi" w:cstheme="minorHAnsi"/>
                <w:sz w:val="21"/>
                <w:szCs w:val="21"/>
              </w:rPr>
            </w:pPr>
          </w:p>
        </w:tc>
      </w:tr>
      <w:tr w:rsidR="007F2D9F" w:rsidRPr="00837EC7" w14:paraId="3D492DB3"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6A52D6B"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4.j Quality assurance</w:t>
            </w:r>
          </w:p>
        </w:tc>
        <w:tc>
          <w:tcPr>
            <w:tcW w:w="3261" w:type="pct"/>
            <w:tcBorders>
              <w:top w:val="nil"/>
              <w:left w:val="nil"/>
              <w:bottom w:val="single" w:sz="4" w:space="0" w:color="auto"/>
              <w:right w:val="single" w:sz="4" w:space="0" w:color="auto"/>
            </w:tcBorders>
            <w:shd w:val="clear" w:color="auto" w:fill="auto"/>
          </w:tcPr>
          <w:p w14:paraId="757D5793" w14:textId="77777777" w:rsidR="009674F6" w:rsidRPr="00282BF7" w:rsidRDefault="009674F6" w:rsidP="00655A5C">
            <w:pPr>
              <w:pStyle w:val="MSubHeader"/>
            </w:pPr>
            <w:r w:rsidRPr="00282BF7">
              <w:t xml:space="preserve">Quality assurance </w:t>
            </w:r>
          </w:p>
          <w:p w14:paraId="649596D7" w14:textId="6DEB91AD" w:rsidR="009674F6" w:rsidRDefault="009674F6" w:rsidP="00655A5C">
            <w:pPr>
              <w:pStyle w:val="MText"/>
            </w:pPr>
            <w:r w:rsidRPr="00282BF7">
              <w:t xml:space="preserve">Once received, the country reports undergo a rigorous review process to ensure correct use of definitions and methodology as well as internal consistency. A comparison is made with past assessments and other existing data sources. Regular contacts between national correspondents and FAO staff by e-mail and regional/sub-regional review workshops form part of this review process. </w:t>
            </w:r>
          </w:p>
          <w:p w14:paraId="014079E9" w14:textId="77777777" w:rsidR="00655A5C" w:rsidRPr="00282BF7" w:rsidRDefault="00655A5C" w:rsidP="00655A5C">
            <w:pPr>
              <w:pStyle w:val="MText"/>
            </w:pPr>
          </w:p>
          <w:p w14:paraId="49CC4A3F" w14:textId="3F2BDE27" w:rsidR="007F2D9F" w:rsidRPr="00837EC7" w:rsidRDefault="009674F6" w:rsidP="00655A5C">
            <w:pPr>
              <w:pStyle w:val="MText"/>
              <w:rPr>
                <w:rFonts w:ascii="Calibri" w:hAnsi="Calibri" w:cs="Calibri"/>
                <w:color w:val="000000"/>
              </w:rPr>
            </w:pPr>
            <w:r w:rsidRPr="00282BF7">
              <w:t xml:space="preserve">All country reports (including those prepared by FAO) are sent to the respective Head of Forestry for validation before finalization and publishing of data. The data are then aggregated at sub-regional, regional and global levels by the FRA team at FAO. </w:t>
            </w:r>
          </w:p>
        </w:tc>
      </w:tr>
      <w:tr w:rsidR="007F2D9F" w:rsidRPr="00837EC7" w14:paraId="73BA7DDE"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3B6B0B90"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4.k Quality assessment</w:t>
            </w:r>
          </w:p>
        </w:tc>
        <w:tc>
          <w:tcPr>
            <w:tcW w:w="3261" w:type="pct"/>
            <w:tcBorders>
              <w:top w:val="nil"/>
              <w:left w:val="nil"/>
              <w:bottom w:val="single" w:sz="4" w:space="0" w:color="auto"/>
              <w:right w:val="single" w:sz="4" w:space="0" w:color="auto"/>
            </w:tcBorders>
            <w:shd w:val="clear" w:color="auto" w:fill="auto"/>
          </w:tcPr>
          <w:p w14:paraId="14A75D7F" w14:textId="77777777" w:rsidR="007F2D9F" w:rsidRPr="00837EC7" w:rsidRDefault="007F2D9F" w:rsidP="00057BB3">
            <w:pPr>
              <w:spacing w:after="0" w:line="240" w:lineRule="auto"/>
              <w:rPr>
                <w:rFonts w:ascii="Calibri" w:eastAsia="Times New Roman" w:hAnsi="Calibri" w:cs="Calibri"/>
                <w:color w:val="000000"/>
              </w:rPr>
            </w:pPr>
          </w:p>
        </w:tc>
      </w:tr>
    </w:tbl>
    <w:p w14:paraId="4DC54E1F" w14:textId="4D1149DF" w:rsidR="007F2D9F" w:rsidRDefault="007F2D9F">
      <w:pPr>
        <w:pBdr>
          <w:bottom w:val="single" w:sz="6" w:space="1" w:color="auto"/>
        </w:pBdr>
      </w:pPr>
    </w:p>
    <w:p w14:paraId="773BD2C2" w14:textId="77777777" w:rsidR="00EB4457" w:rsidRPr="00837EC7" w:rsidRDefault="00EB4457"/>
    <w:tbl>
      <w:tblPr>
        <w:tblW w:w="4833" w:type="pct"/>
        <w:tblLayout w:type="fixed"/>
        <w:tblLook w:val="04A0" w:firstRow="1" w:lastRow="0" w:firstColumn="1" w:lastColumn="0" w:noHBand="0" w:noVBand="1"/>
      </w:tblPr>
      <w:tblGrid>
        <w:gridCol w:w="3020"/>
        <w:gridCol w:w="6027"/>
      </w:tblGrid>
      <w:tr w:rsidR="00776312" w:rsidRPr="00837EC7" w14:paraId="4C14301C" w14:textId="77777777" w:rsidTr="00057BB3">
        <w:trPr>
          <w:trHeight w:val="470"/>
        </w:trPr>
        <w:tc>
          <w:tcPr>
            <w:tcW w:w="5000" w:type="pct"/>
            <w:gridSpan w:val="2"/>
            <w:tcBorders>
              <w:top w:val="nil"/>
              <w:left w:val="nil"/>
              <w:bottom w:val="nil"/>
              <w:right w:val="nil"/>
            </w:tcBorders>
            <w:shd w:val="clear" w:color="auto" w:fill="auto"/>
            <w:noWrap/>
            <w:vAlign w:val="bottom"/>
            <w:hideMark/>
          </w:tcPr>
          <w:p w14:paraId="53F3D3E1" w14:textId="77777777" w:rsidR="00776312" w:rsidRPr="00837EC7" w:rsidRDefault="00776312" w:rsidP="00776312">
            <w:pPr>
              <w:pStyle w:val="Heading2"/>
              <w:rPr>
                <w:rFonts w:ascii="Times New Roman" w:hAnsi="Times New Roman"/>
                <w:sz w:val="32"/>
                <w:szCs w:val="32"/>
              </w:rPr>
            </w:pPr>
            <w:bookmarkStart w:id="25" w:name="_Toc36655613"/>
            <w:bookmarkStart w:id="26" w:name="_Toc36812576"/>
            <w:bookmarkStart w:id="27" w:name="_Toc36812689"/>
            <w:bookmarkStart w:id="28" w:name="_Toc36813076"/>
            <w:bookmarkStart w:id="29" w:name="_Toc37932748"/>
            <w:r w:rsidRPr="00837EC7">
              <w:rPr>
                <w:sz w:val="32"/>
                <w:szCs w:val="32"/>
              </w:rPr>
              <w:t>5. Data availability and disaggregation</w:t>
            </w:r>
            <w:bookmarkEnd w:id="25"/>
            <w:bookmarkEnd w:id="26"/>
            <w:bookmarkEnd w:id="27"/>
            <w:bookmarkEnd w:id="28"/>
            <w:bookmarkEnd w:id="29"/>
          </w:p>
        </w:tc>
      </w:tr>
      <w:tr w:rsidR="00776312" w:rsidRPr="00837EC7" w14:paraId="3C128F94" w14:textId="77777777" w:rsidTr="00057BB3">
        <w:trPr>
          <w:trHeight w:val="300"/>
        </w:trPr>
        <w:tc>
          <w:tcPr>
            <w:tcW w:w="1669" w:type="pct"/>
            <w:tcBorders>
              <w:top w:val="nil"/>
              <w:left w:val="nil"/>
              <w:bottom w:val="nil"/>
              <w:right w:val="nil"/>
            </w:tcBorders>
            <w:shd w:val="clear" w:color="000000" w:fill="D9E1F2"/>
            <w:noWrap/>
            <w:vAlign w:val="bottom"/>
            <w:hideMark/>
          </w:tcPr>
          <w:p w14:paraId="3D86860D" w14:textId="77777777" w:rsidR="00776312" w:rsidRPr="00837EC7" w:rsidRDefault="00776312"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331" w:type="pct"/>
            <w:tcBorders>
              <w:top w:val="nil"/>
              <w:left w:val="nil"/>
              <w:bottom w:val="nil"/>
              <w:right w:val="nil"/>
            </w:tcBorders>
            <w:shd w:val="clear" w:color="000000" w:fill="D9E1F2"/>
            <w:noWrap/>
            <w:vAlign w:val="bottom"/>
            <w:hideMark/>
          </w:tcPr>
          <w:p w14:paraId="6CD17F6E" w14:textId="77777777" w:rsidR="00776312" w:rsidRPr="00837EC7" w:rsidRDefault="00776312" w:rsidP="00057BB3">
            <w:pPr>
              <w:spacing w:after="0" w:line="240" w:lineRule="auto"/>
              <w:ind w:right="-3475"/>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776312" w:rsidRPr="00837EC7" w14:paraId="76C66722" w14:textId="77777777" w:rsidTr="00057BB3">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2F1AFAE8" w14:textId="77777777" w:rsidR="00776312" w:rsidRPr="00837EC7" w:rsidRDefault="00776312" w:rsidP="00057BB3">
            <w:pPr>
              <w:spacing w:after="0" w:line="240" w:lineRule="auto"/>
              <w:rPr>
                <w:rFonts w:ascii="Calibri" w:eastAsia="Times New Roman" w:hAnsi="Calibri" w:cs="Calibri"/>
                <w:color w:val="000000"/>
              </w:rPr>
            </w:pPr>
            <w:r w:rsidRPr="00837EC7">
              <w:rPr>
                <w:rFonts w:ascii="Calibri" w:eastAsia="Times New Roman" w:hAnsi="Calibri" w:cs="Calibri"/>
              </w:rPr>
              <w:t>5. Data availability and disaggregation</w:t>
            </w:r>
          </w:p>
        </w:tc>
        <w:tc>
          <w:tcPr>
            <w:tcW w:w="3331" w:type="pct"/>
            <w:tcBorders>
              <w:top w:val="single" w:sz="4" w:space="0" w:color="auto"/>
              <w:left w:val="nil"/>
              <w:bottom w:val="single" w:sz="4" w:space="0" w:color="auto"/>
              <w:right w:val="single" w:sz="4" w:space="0" w:color="auto"/>
            </w:tcBorders>
            <w:shd w:val="clear" w:color="auto" w:fill="auto"/>
          </w:tcPr>
          <w:p w14:paraId="4333E63C" w14:textId="437252B0" w:rsidR="00C73536" w:rsidRPr="00282BF7" w:rsidRDefault="00C73536" w:rsidP="00C73536">
            <w:pPr>
              <w:pStyle w:val="MHeader"/>
              <w:rPr>
                <w:rFonts w:cstheme="minorHAnsi"/>
              </w:rPr>
            </w:pPr>
            <w:r w:rsidRPr="00282BF7">
              <w:rPr>
                <w:rFonts w:cstheme="minorHAnsi"/>
              </w:rPr>
              <w:t xml:space="preserve">Data </w:t>
            </w:r>
            <w:r w:rsidR="00993546">
              <w:rPr>
                <w:rFonts w:cstheme="minorHAnsi"/>
              </w:rPr>
              <w:t>a</w:t>
            </w:r>
            <w:r w:rsidRPr="00282BF7">
              <w:rPr>
                <w:rFonts w:cstheme="minorHAnsi"/>
              </w:rPr>
              <w:t xml:space="preserve">vailability </w:t>
            </w:r>
          </w:p>
          <w:p w14:paraId="39145FCB" w14:textId="77777777" w:rsidR="00C73536" w:rsidRPr="00282BF7" w:rsidRDefault="00C73536" w:rsidP="00993546">
            <w:pPr>
              <w:pStyle w:val="MSubHeader"/>
            </w:pPr>
            <w:r w:rsidRPr="00282BF7">
              <w:t xml:space="preserve">Description: </w:t>
            </w:r>
          </w:p>
          <w:p w14:paraId="08EB3A9A" w14:textId="53A256B7" w:rsidR="00C73536" w:rsidRDefault="00C73536" w:rsidP="00993546">
            <w:pPr>
              <w:pStyle w:val="MText"/>
              <w:rPr>
                <w:rFonts w:cstheme="minorHAnsi"/>
                <w:b/>
                <w:bCs/>
              </w:rPr>
            </w:pPr>
            <w:r w:rsidRPr="00282BF7">
              <w:t xml:space="preserve">Breakdown of the number of countries covered by region and by sub-indicator is as follows: </w:t>
            </w:r>
          </w:p>
          <w:p w14:paraId="733DC865" w14:textId="686D5586" w:rsidR="00C73536" w:rsidRDefault="00B52301" w:rsidP="009674F6">
            <w:pPr>
              <w:pStyle w:val="Default"/>
              <w:spacing w:before="120" w:after="120" w:line="276" w:lineRule="auto"/>
              <w:contextualSpacing/>
              <w:rPr>
                <w:rFonts w:asciiTheme="minorHAnsi" w:hAnsiTheme="minorHAnsi" w:cstheme="minorHAnsi"/>
                <w:b/>
                <w:bCs/>
                <w:sz w:val="21"/>
                <w:szCs w:val="21"/>
              </w:rPr>
            </w:pPr>
            <w:r>
              <w:rPr>
                <w:rFonts w:asciiTheme="minorHAnsi" w:hAnsiTheme="minorHAnsi" w:cstheme="minorHAnsi"/>
                <w:noProof/>
              </w:rPr>
              <w:lastRenderedPageBreak/>
              <w:drawing>
                <wp:inline distT="0" distB="0" distL="0" distR="0" wp14:anchorId="58EE1DA1" wp14:editId="2D887E98">
                  <wp:extent cx="3689350" cy="412115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89350" cy="4121150"/>
                          </a:xfrm>
                          <a:prstGeom prst="rect">
                            <a:avLst/>
                          </a:prstGeom>
                          <a:noFill/>
                          <a:ln>
                            <a:noFill/>
                          </a:ln>
                        </pic:spPr>
                      </pic:pic>
                    </a:graphicData>
                  </a:graphic>
                </wp:inline>
              </w:drawing>
            </w:r>
          </w:p>
          <w:p w14:paraId="771CC51F" w14:textId="3BE41966" w:rsidR="00C73536" w:rsidRDefault="00C73536" w:rsidP="009674F6">
            <w:pPr>
              <w:pStyle w:val="Default"/>
              <w:spacing w:before="120" w:after="120" w:line="276" w:lineRule="auto"/>
              <w:contextualSpacing/>
              <w:rPr>
                <w:rFonts w:asciiTheme="minorHAnsi" w:hAnsiTheme="minorHAnsi" w:cstheme="minorHAnsi"/>
                <w:b/>
                <w:bCs/>
                <w:sz w:val="21"/>
                <w:szCs w:val="21"/>
              </w:rPr>
            </w:pPr>
          </w:p>
          <w:p w14:paraId="34288790" w14:textId="77777777" w:rsidR="00C73536" w:rsidRPr="00282BF7" w:rsidRDefault="00C73536" w:rsidP="00993546">
            <w:pPr>
              <w:pStyle w:val="MSubHeader"/>
            </w:pPr>
            <w:r>
              <w:t>T</w:t>
            </w:r>
            <w:r w:rsidRPr="00282BF7">
              <w:t xml:space="preserve">ime series: </w:t>
            </w:r>
          </w:p>
          <w:p w14:paraId="11E57AE1" w14:textId="77777777" w:rsidR="00C73536" w:rsidRDefault="00C73536" w:rsidP="00993546">
            <w:pPr>
              <w:pStyle w:val="MText"/>
            </w:pPr>
            <w:r w:rsidRPr="00282BF7">
              <w:t xml:space="preserve">2000, 2005, 2010, 2015 </w:t>
            </w:r>
          </w:p>
          <w:p w14:paraId="38AF3246" w14:textId="491EC9A4" w:rsidR="00C73536" w:rsidRDefault="00C73536" w:rsidP="00993546">
            <w:pPr>
              <w:pStyle w:val="MText"/>
            </w:pPr>
            <w:r>
              <w:t>After next data release (2020) annual data will be available from 2015 and onwards.</w:t>
            </w:r>
          </w:p>
          <w:p w14:paraId="3D2A6515" w14:textId="77777777" w:rsidR="00993546" w:rsidRPr="00993546" w:rsidRDefault="00993546" w:rsidP="00993546">
            <w:pPr>
              <w:pStyle w:val="MText"/>
            </w:pPr>
          </w:p>
          <w:p w14:paraId="296A82C9" w14:textId="05BB990D" w:rsidR="009674F6" w:rsidRPr="00282BF7" w:rsidRDefault="009674F6" w:rsidP="00993546">
            <w:pPr>
              <w:pStyle w:val="MSubHeader"/>
            </w:pPr>
            <w:r w:rsidRPr="00282BF7">
              <w:t xml:space="preserve">Disaggregation: </w:t>
            </w:r>
          </w:p>
          <w:p w14:paraId="39185D77" w14:textId="25ECF947" w:rsidR="00776312" w:rsidRPr="00837EC7" w:rsidRDefault="009674F6" w:rsidP="00993546">
            <w:pPr>
              <w:pStyle w:val="MText"/>
              <w:rPr>
                <w:rFonts w:cstheme="minorHAnsi"/>
              </w:rPr>
            </w:pPr>
            <w:r w:rsidRPr="00282BF7">
              <w:t xml:space="preserve">No further disaggregation of this indicator. </w:t>
            </w:r>
          </w:p>
        </w:tc>
      </w:tr>
    </w:tbl>
    <w:p w14:paraId="75925A71" w14:textId="73918EAC" w:rsidR="007F2D9F" w:rsidRDefault="007F2D9F">
      <w:pPr>
        <w:pBdr>
          <w:bottom w:val="single" w:sz="6" w:space="1" w:color="auto"/>
        </w:pBdr>
      </w:pPr>
    </w:p>
    <w:p w14:paraId="2497EDFB" w14:textId="77777777" w:rsidR="00EB4457" w:rsidRPr="00837EC7" w:rsidRDefault="00EB4457"/>
    <w:tbl>
      <w:tblPr>
        <w:tblW w:w="4833" w:type="pct"/>
        <w:tblLayout w:type="fixed"/>
        <w:tblLook w:val="04A0" w:firstRow="1" w:lastRow="0" w:firstColumn="1" w:lastColumn="0" w:noHBand="0" w:noVBand="1"/>
      </w:tblPr>
      <w:tblGrid>
        <w:gridCol w:w="3121"/>
        <w:gridCol w:w="5926"/>
      </w:tblGrid>
      <w:tr w:rsidR="00DC4AE7" w:rsidRPr="00837EC7" w14:paraId="7A6CB310" w14:textId="77777777" w:rsidTr="004F4616">
        <w:trPr>
          <w:trHeight w:val="290"/>
        </w:trPr>
        <w:tc>
          <w:tcPr>
            <w:tcW w:w="5000" w:type="pct"/>
            <w:gridSpan w:val="2"/>
            <w:tcBorders>
              <w:top w:val="nil"/>
              <w:left w:val="nil"/>
              <w:bottom w:val="nil"/>
              <w:right w:val="nil"/>
            </w:tcBorders>
            <w:shd w:val="clear" w:color="auto" w:fill="auto"/>
            <w:noWrap/>
            <w:vAlign w:val="bottom"/>
          </w:tcPr>
          <w:p w14:paraId="0F3B8BBE" w14:textId="189861EE" w:rsidR="00416A6D" w:rsidRPr="00837EC7" w:rsidRDefault="00D17114" w:rsidP="00416A6D">
            <w:pPr>
              <w:pStyle w:val="Heading2"/>
              <w:rPr>
                <w:sz w:val="32"/>
                <w:szCs w:val="32"/>
              </w:rPr>
            </w:pPr>
            <w:bookmarkStart w:id="30" w:name="_Toc36655614"/>
            <w:bookmarkStart w:id="31" w:name="_Toc36812577"/>
            <w:bookmarkStart w:id="32" w:name="_Toc36812690"/>
            <w:bookmarkStart w:id="33" w:name="_Toc37932749"/>
            <w:bookmarkStart w:id="34" w:name="_Hlk36654534"/>
            <w:r w:rsidRPr="00837EC7">
              <w:rPr>
                <w:sz w:val="32"/>
                <w:szCs w:val="32"/>
              </w:rPr>
              <w:t>6</w:t>
            </w:r>
            <w:r w:rsidR="00DC4AE7" w:rsidRPr="00837EC7">
              <w:rPr>
                <w:sz w:val="32"/>
                <w:szCs w:val="32"/>
              </w:rPr>
              <w:t>. Comparability/</w:t>
            </w:r>
            <w:r w:rsidRPr="00837EC7">
              <w:rPr>
                <w:sz w:val="32"/>
                <w:szCs w:val="32"/>
              </w:rPr>
              <w:t>d</w:t>
            </w:r>
            <w:r w:rsidR="00DC4AE7" w:rsidRPr="00837EC7">
              <w:rPr>
                <w:sz w:val="32"/>
                <w:szCs w:val="32"/>
              </w:rPr>
              <w:t xml:space="preserve">eviation from </w:t>
            </w:r>
            <w:r w:rsidRPr="00837EC7">
              <w:rPr>
                <w:sz w:val="32"/>
                <w:szCs w:val="32"/>
              </w:rPr>
              <w:t>i</w:t>
            </w:r>
            <w:r w:rsidR="00DC4AE7" w:rsidRPr="00837EC7">
              <w:rPr>
                <w:sz w:val="32"/>
                <w:szCs w:val="32"/>
              </w:rPr>
              <w:t xml:space="preserve">nternational </w:t>
            </w:r>
            <w:r w:rsidRPr="00837EC7">
              <w:rPr>
                <w:sz w:val="32"/>
                <w:szCs w:val="32"/>
              </w:rPr>
              <w:t>s</w:t>
            </w:r>
            <w:r w:rsidR="00DC4AE7" w:rsidRPr="00837EC7">
              <w:rPr>
                <w:sz w:val="32"/>
                <w:szCs w:val="32"/>
              </w:rPr>
              <w:t>tandards</w:t>
            </w:r>
            <w:bookmarkEnd w:id="30"/>
            <w:bookmarkEnd w:id="31"/>
            <w:bookmarkEnd w:id="32"/>
            <w:bookmarkEnd w:id="33"/>
          </w:p>
        </w:tc>
      </w:tr>
      <w:tr w:rsidR="004F4616" w:rsidRPr="00837EC7" w14:paraId="3E1135A5" w14:textId="77777777" w:rsidTr="004F4616">
        <w:trPr>
          <w:trHeight w:val="300"/>
        </w:trPr>
        <w:tc>
          <w:tcPr>
            <w:tcW w:w="1725" w:type="pct"/>
            <w:tcBorders>
              <w:top w:val="nil"/>
              <w:left w:val="nil"/>
              <w:bottom w:val="nil"/>
              <w:right w:val="nil"/>
            </w:tcBorders>
            <w:shd w:val="clear" w:color="000000" w:fill="D9E1F2"/>
            <w:noWrap/>
            <w:vAlign w:val="bottom"/>
            <w:hideMark/>
          </w:tcPr>
          <w:p w14:paraId="252F212E" w14:textId="50A6022C" w:rsidR="004F4616" w:rsidRPr="00837EC7" w:rsidRDefault="00C47725" w:rsidP="004D68B6">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w:t>
            </w:r>
            <w:r w:rsidR="00522827" w:rsidRPr="00837EC7">
              <w:rPr>
                <w:rFonts w:ascii="Calibri" w:eastAsia="Times New Roman" w:hAnsi="Calibri" w:cs="Calibri"/>
                <w:color w:val="000000"/>
              </w:rPr>
              <w:t xml:space="preserve"> n</w:t>
            </w:r>
            <w:r w:rsidR="004F4616" w:rsidRPr="00837EC7">
              <w:rPr>
                <w:rFonts w:ascii="Calibri" w:eastAsia="Times New Roman" w:hAnsi="Calibri" w:cs="Calibri"/>
                <w:color w:val="000000"/>
              </w:rPr>
              <w:t>ame</w:t>
            </w:r>
          </w:p>
        </w:tc>
        <w:tc>
          <w:tcPr>
            <w:tcW w:w="3275" w:type="pct"/>
            <w:tcBorders>
              <w:top w:val="nil"/>
              <w:left w:val="nil"/>
              <w:bottom w:val="nil"/>
              <w:right w:val="nil"/>
            </w:tcBorders>
            <w:shd w:val="clear" w:color="000000" w:fill="D9E1F2"/>
            <w:noWrap/>
            <w:vAlign w:val="bottom"/>
            <w:hideMark/>
          </w:tcPr>
          <w:p w14:paraId="77597603" w14:textId="629454BA" w:rsidR="004F4616" w:rsidRPr="00837EC7" w:rsidRDefault="00A92C73" w:rsidP="004D68B6">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4F4616" w:rsidRPr="00837EC7" w14:paraId="08EC89B4" w14:textId="77777777" w:rsidTr="004F4616">
        <w:tc>
          <w:tcPr>
            <w:tcW w:w="1725" w:type="pct"/>
            <w:tcBorders>
              <w:top w:val="single" w:sz="4" w:space="0" w:color="auto"/>
              <w:left w:val="nil"/>
              <w:bottom w:val="single" w:sz="4" w:space="0" w:color="auto"/>
              <w:right w:val="single" w:sz="4" w:space="0" w:color="auto"/>
            </w:tcBorders>
            <w:shd w:val="clear" w:color="auto" w:fill="E7E6E6" w:themeFill="background2"/>
            <w:hideMark/>
          </w:tcPr>
          <w:p w14:paraId="04EDDDDA" w14:textId="5A961BF7" w:rsidR="004F4616" w:rsidRPr="00837EC7" w:rsidRDefault="004F4616" w:rsidP="004D68B6">
            <w:pPr>
              <w:spacing w:after="0" w:line="240" w:lineRule="auto"/>
              <w:rPr>
                <w:rFonts w:ascii="Calibri" w:eastAsia="Times New Roman" w:hAnsi="Calibri" w:cs="Calibri"/>
                <w:color w:val="000000"/>
              </w:rPr>
            </w:pPr>
            <w:r w:rsidRPr="00837EC7">
              <w:rPr>
                <w:rFonts w:ascii="Calibri" w:eastAsia="Times New Roman" w:hAnsi="Calibri" w:cs="Calibri"/>
              </w:rPr>
              <w:t>6. Comparability/deviation from international standards</w:t>
            </w:r>
          </w:p>
        </w:tc>
        <w:tc>
          <w:tcPr>
            <w:tcW w:w="3275" w:type="pct"/>
            <w:tcBorders>
              <w:top w:val="single" w:sz="4" w:space="0" w:color="auto"/>
              <w:left w:val="nil"/>
              <w:bottom w:val="single" w:sz="4" w:space="0" w:color="auto"/>
              <w:right w:val="single" w:sz="4" w:space="0" w:color="auto"/>
            </w:tcBorders>
            <w:shd w:val="clear" w:color="auto" w:fill="auto"/>
            <w:hideMark/>
          </w:tcPr>
          <w:p w14:paraId="7E895AB9" w14:textId="77777777" w:rsidR="009674F6" w:rsidRPr="00282BF7" w:rsidRDefault="009674F6" w:rsidP="00993546">
            <w:pPr>
              <w:pStyle w:val="MSubHeader"/>
            </w:pPr>
            <w:r w:rsidRPr="00282BF7">
              <w:t xml:space="preserve">Sources of discrepancies: </w:t>
            </w:r>
          </w:p>
          <w:p w14:paraId="766A694F" w14:textId="17BD3AB6" w:rsidR="009674F6" w:rsidRDefault="009674F6" w:rsidP="00993546">
            <w:pPr>
              <w:pStyle w:val="MText"/>
            </w:pPr>
            <w:r w:rsidRPr="00282BF7">
              <w:t xml:space="preserve">The national figures in the database are reported by the countries themselves following a standardized format, definitions and reporting years, thus eliminating any discrepancies between global and national figures. The reporting format ensures that countries provide the full reference for original data sources as well as national definitions and terminology. Separate sections in the </w:t>
            </w:r>
            <w:r w:rsidRPr="00282BF7">
              <w:lastRenderedPageBreak/>
              <w:t xml:space="preserve">reporting format (country reports) deal with the analysis of data (including any assumptions made and the methods used for estimates and projections to the common reporting years); calibration of data to the official land area as held by FAO; and reclassification of data to the classes used in FAO’s Global Forest Resources Assessments. </w:t>
            </w:r>
          </w:p>
          <w:p w14:paraId="51821D46" w14:textId="77777777" w:rsidR="00993546" w:rsidRDefault="00993546" w:rsidP="00993546">
            <w:pPr>
              <w:pStyle w:val="MText"/>
            </w:pPr>
          </w:p>
          <w:p w14:paraId="5D8AFF9E" w14:textId="77777777" w:rsidR="009674F6" w:rsidRDefault="009674F6" w:rsidP="00993546">
            <w:pPr>
              <w:pStyle w:val="MText"/>
              <w:rPr>
                <w:rFonts w:cstheme="minorHAnsi"/>
              </w:rPr>
            </w:pPr>
            <w:r>
              <w:rPr>
                <w:rFonts w:cstheme="minorHAnsi"/>
              </w:rPr>
              <w:t xml:space="preserve">Regarding the data on </w:t>
            </w:r>
            <w:r w:rsidRPr="00282BF7">
              <w:rPr>
                <w:rFonts w:cstheme="minorHAnsi"/>
              </w:rPr>
              <w:t>forest area under an independently verified forest management certification scheme</w:t>
            </w:r>
            <w:r>
              <w:rPr>
                <w:rFonts w:cstheme="minorHAnsi"/>
              </w:rPr>
              <w:t xml:space="preserve">, these are usually not part of official national statistics, and are maintained by local offices of the respective certification schemes. They in turn report their data to their head offices. As certified forest area is dynamic and can change monthly as some certificates expire and new certificates come. </w:t>
            </w:r>
          </w:p>
          <w:p w14:paraId="38762D8B" w14:textId="77777777" w:rsidR="009674F6" w:rsidRDefault="009674F6" w:rsidP="00993546">
            <w:pPr>
              <w:pStyle w:val="MText"/>
              <w:rPr>
                <w:rFonts w:cstheme="minorHAnsi"/>
              </w:rPr>
            </w:pPr>
          </w:p>
          <w:p w14:paraId="13CF0B2D" w14:textId="387D42BD" w:rsidR="004F4616" w:rsidRPr="00837EC7" w:rsidRDefault="009674F6" w:rsidP="00993546">
            <w:pPr>
              <w:pStyle w:val="MText"/>
            </w:pPr>
            <w:r>
              <w:rPr>
                <w:rFonts w:cstheme="minorHAnsi"/>
              </w:rPr>
              <w:t>Therefore, the data are requested to correspond to the end of June each year. However, the data are not always reported by the local offices according to that date.</w:t>
            </w:r>
          </w:p>
        </w:tc>
      </w:tr>
      <w:bookmarkEnd w:id="34"/>
    </w:tbl>
    <w:p w14:paraId="36833D3E" w14:textId="03A93FD7" w:rsidR="004D68B6" w:rsidRDefault="004D68B6">
      <w:pPr>
        <w:pBdr>
          <w:bottom w:val="single" w:sz="6" w:space="1" w:color="auto"/>
        </w:pBdr>
      </w:pPr>
    </w:p>
    <w:p w14:paraId="7238AF48" w14:textId="77777777" w:rsidR="00EB4457" w:rsidRPr="00837EC7" w:rsidRDefault="00EB4457"/>
    <w:tbl>
      <w:tblPr>
        <w:tblW w:w="4833" w:type="pct"/>
        <w:tblLayout w:type="fixed"/>
        <w:tblLook w:val="04A0" w:firstRow="1" w:lastRow="0" w:firstColumn="1" w:lastColumn="0" w:noHBand="0" w:noVBand="1"/>
      </w:tblPr>
      <w:tblGrid>
        <w:gridCol w:w="3119"/>
        <w:gridCol w:w="5928"/>
      </w:tblGrid>
      <w:tr w:rsidR="00D17114" w:rsidRPr="00837EC7" w14:paraId="0A6A0069" w14:textId="77777777" w:rsidTr="007B2E39">
        <w:trPr>
          <w:trHeight w:val="470"/>
        </w:trPr>
        <w:tc>
          <w:tcPr>
            <w:tcW w:w="5000" w:type="pct"/>
            <w:gridSpan w:val="2"/>
            <w:tcBorders>
              <w:top w:val="nil"/>
              <w:left w:val="nil"/>
              <w:bottom w:val="nil"/>
              <w:right w:val="nil"/>
            </w:tcBorders>
            <w:shd w:val="clear" w:color="auto" w:fill="auto"/>
            <w:noWrap/>
            <w:vAlign w:val="bottom"/>
            <w:hideMark/>
          </w:tcPr>
          <w:p w14:paraId="586A8B2C" w14:textId="79F6D734" w:rsidR="00D17114" w:rsidRPr="00837EC7" w:rsidRDefault="00D17114" w:rsidP="002806B7">
            <w:pPr>
              <w:pStyle w:val="Heading2"/>
              <w:rPr>
                <w:rFonts w:ascii="Times New Roman" w:hAnsi="Times New Roman"/>
                <w:sz w:val="32"/>
                <w:szCs w:val="32"/>
              </w:rPr>
            </w:pPr>
            <w:bookmarkStart w:id="35" w:name="_Toc36655615"/>
            <w:bookmarkStart w:id="36" w:name="_Toc36812578"/>
            <w:bookmarkStart w:id="37" w:name="_Toc36812691"/>
            <w:bookmarkStart w:id="38" w:name="_Toc37932750"/>
            <w:r w:rsidRPr="00837EC7">
              <w:rPr>
                <w:sz w:val="32"/>
                <w:szCs w:val="32"/>
              </w:rPr>
              <w:t>7. References and documentation</w:t>
            </w:r>
            <w:bookmarkEnd w:id="35"/>
            <w:bookmarkEnd w:id="36"/>
            <w:bookmarkEnd w:id="37"/>
            <w:bookmarkEnd w:id="38"/>
          </w:p>
        </w:tc>
      </w:tr>
      <w:tr w:rsidR="007B2E39" w:rsidRPr="00837EC7" w14:paraId="7EA36A92" w14:textId="77777777" w:rsidTr="007B2E39">
        <w:trPr>
          <w:trHeight w:val="300"/>
        </w:trPr>
        <w:tc>
          <w:tcPr>
            <w:tcW w:w="1724" w:type="pct"/>
            <w:tcBorders>
              <w:top w:val="nil"/>
              <w:left w:val="nil"/>
              <w:bottom w:val="nil"/>
              <w:right w:val="nil"/>
            </w:tcBorders>
            <w:shd w:val="clear" w:color="000000" w:fill="D9E1F2"/>
            <w:noWrap/>
            <w:vAlign w:val="bottom"/>
            <w:hideMark/>
          </w:tcPr>
          <w:p w14:paraId="18147782" w14:textId="720B985F" w:rsidR="007B2E39" w:rsidRPr="00837EC7" w:rsidRDefault="00522827" w:rsidP="004D68B6">
            <w:pPr>
              <w:spacing w:after="0" w:line="240" w:lineRule="auto"/>
              <w:rPr>
                <w:rFonts w:ascii="Calibri" w:eastAsia="Times New Roman" w:hAnsi="Calibri" w:cs="Calibri"/>
                <w:color w:val="000000"/>
              </w:rPr>
            </w:pPr>
            <w:r w:rsidRPr="00837EC7">
              <w:rPr>
                <w:rFonts w:ascii="Calibri" w:eastAsia="Times New Roman" w:hAnsi="Calibri" w:cs="Calibri"/>
                <w:color w:val="000000"/>
              </w:rPr>
              <w:t>Detailed concept n</w:t>
            </w:r>
            <w:r w:rsidR="007B2E39" w:rsidRPr="00837EC7">
              <w:rPr>
                <w:rFonts w:ascii="Calibri" w:eastAsia="Times New Roman" w:hAnsi="Calibri" w:cs="Calibri"/>
                <w:color w:val="000000"/>
              </w:rPr>
              <w:t>ame</w:t>
            </w:r>
          </w:p>
        </w:tc>
        <w:tc>
          <w:tcPr>
            <w:tcW w:w="3276" w:type="pct"/>
            <w:tcBorders>
              <w:top w:val="nil"/>
              <w:left w:val="nil"/>
              <w:bottom w:val="nil"/>
              <w:right w:val="nil"/>
            </w:tcBorders>
            <w:shd w:val="clear" w:color="000000" w:fill="D9E1F2"/>
            <w:noWrap/>
            <w:vAlign w:val="bottom"/>
            <w:hideMark/>
          </w:tcPr>
          <w:p w14:paraId="086DFD84" w14:textId="6F835A55" w:rsidR="007B2E39" w:rsidRPr="00837EC7" w:rsidRDefault="00A92C73" w:rsidP="004D68B6">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7B2E39" w:rsidRPr="004D68B6" w14:paraId="79E6253E" w14:textId="77777777" w:rsidTr="007B2E39">
        <w:tc>
          <w:tcPr>
            <w:tcW w:w="1724" w:type="pct"/>
            <w:tcBorders>
              <w:top w:val="single" w:sz="4" w:space="0" w:color="auto"/>
              <w:left w:val="nil"/>
              <w:bottom w:val="single" w:sz="4" w:space="0" w:color="auto"/>
              <w:right w:val="single" w:sz="4" w:space="0" w:color="auto"/>
            </w:tcBorders>
            <w:shd w:val="clear" w:color="auto" w:fill="E7E6E6" w:themeFill="background2"/>
            <w:hideMark/>
          </w:tcPr>
          <w:p w14:paraId="4BE38846" w14:textId="7A1AB9FD" w:rsidR="007B2E39" w:rsidRPr="004E5702" w:rsidRDefault="007B2E39" w:rsidP="004D68B6">
            <w:pPr>
              <w:spacing w:after="0" w:line="240" w:lineRule="auto"/>
              <w:rPr>
                <w:rFonts w:ascii="Calibri" w:eastAsia="Times New Roman" w:hAnsi="Calibri" w:cs="Calibri"/>
                <w:color w:val="000000"/>
              </w:rPr>
            </w:pPr>
            <w:r w:rsidRPr="00837EC7">
              <w:rPr>
                <w:rFonts w:ascii="Calibri" w:eastAsia="Times New Roman" w:hAnsi="Calibri" w:cs="Calibri"/>
              </w:rPr>
              <w:t>7. References and Documentation</w:t>
            </w:r>
          </w:p>
        </w:tc>
        <w:tc>
          <w:tcPr>
            <w:tcW w:w="3276" w:type="pct"/>
            <w:tcBorders>
              <w:top w:val="single" w:sz="4" w:space="0" w:color="auto"/>
              <w:left w:val="nil"/>
              <w:bottom w:val="single" w:sz="4" w:space="0" w:color="auto"/>
              <w:right w:val="single" w:sz="4" w:space="0" w:color="auto"/>
            </w:tcBorders>
            <w:shd w:val="clear" w:color="auto" w:fill="auto"/>
            <w:hideMark/>
          </w:tcPr>
          <w:p w14:paraId="6E13263A" w14:textId="77777777" w:rsidR="00C73536" w:rsidRPr="00993546" w:rsidRDefault="00C73536" w:rsidP="00993546">
            <w:pPr>
              <w:pStyle w:val="MHeader"/>
            </w:pPr>
            <w:r w:rsidRPr="00993546">
              <w:t xml:space="preserve">References </w:t>
            </w:r>
          </w:p>
          <w:p w14:paraId="680ACE8A" w14:textId="77777777" w:rsidR="00993546" w:rsidRDefault="00C73536" w:rsidP="00993546">
            <w:pPr>
              <w:pStyle w:val="MSubHeader"/>
            </w:pPr>
            <w:r w:rsidRPr="00422595">
              <w:t xml:space="preserve">URL: </w:t>
            </w:r>
          </w:p>
          <w:p w14:paraId="22FFF6F1" w14:textId="77777777" w:rsidR="00993546" w:rsidRDefault="00F04A41" w:rsidP="00993546">
            <w:pPr>
              <w:pStyle w:val="MText"/>
            </w:pPr>
            <w:hyperlink r:id="rId10" w:history="1">
              <w:r w:rsidR="00993546" w:rsidRPr="00863700">
                <w:rPr>
                  <w:rStyle w:val="Hyperlink"/>
                  <w:rFonts w:cstheme="minorHAnsi"/>
                  <w:lang w:val="es-419"/>
                </w:rPr>
                <w:t>http://www.fao.org/forest-resources-assessment/en/</w:t>
              </w:r>
            </w:hyperlink>
            <w:r w:rsidR="00C73536">
              <w:t xml:space="preserve"> </w:t>
            </w:r>
            <w:r w:rsidR="00C73536" w:rsidRPr="00422595">
              <w:t xml:space="preserve"> </w:t>
            </w:r>
          </w:p>
          <w:p w14:paraId="3D9035BA" w14:textId="77777777" w:rsidR="00993546" w:rsidRDefault="00993546" w:rsidP="00993546">
            <w:pPr>
              <w:pStyle w:val="MText"/>
              <w:rPr>
                <w:b/>
              </w:rPr>
            </w:pPr>
          </w:p>
          <w:p w14:paraId="4B6DEFC2" w14:textId="521BE907" w:rsidR="00993546" w:rsidRPr="00282BF7" w:rsidRDefault="00C73536" w:rsidP="00227C1B">
            <w:pPr>
              <w:pStyle w:val="MHeader"/>
              <w:rPr>
                <w:rFonts w:cstheme="minorHAnsi"/>
                <w:b/>
                <w:sz w:val="28"/>
              </w:rPr>
            </w:pPr>
            <w:r w:rsidRPr="00422595">
              <w:rPr>
                <w:rFonts w:cstheme="minorHAnsi"/>
                <w:b/>
                <w:sz w:val="28"/>
                <w:lang w:val="es-419"/>
              </w:rPr>
              <w:br w:type="page"/>
            </w:r>
            <w:r w:rsidR="00993546" w:rsidRPr="00227C1B">
              <w:rPr>
                <w:rStyle w:val="MHeaderChar"/>
                <w:rFonts w:eastAsiaTheme="minorHAnsi"/>
              </w:rPr>
              <w:t>Annex 1 – Terms and Definitions</w:t>
            </w:r>
            <w:r w:rsidR="00227C1B">
              <w:rPr>
                <w:rStyle w:val="MHeaderChar"/>
                <w:rFonts w:eastAsiaTheme="minorHAnsi"/>
              </w:rPr>
              <w:t xml:space="preserve"> </w:t>
            </w:r>
            <w:r w:rsidR="00993546" w:rsidRPr="00227C1B">
              <w:rPr>
                <w:rStyle w:val="FootnoteReference"/>
                <w:rFonts w:cstheme="minorHAnsi"/>
                <w:bCs/>
                <w:sz w:val="28"/>
              </w:rPr>
              <w:footnoteReference w:id="1"/>
            </w:r>
            <w:r w:rsidR="00993546" w:rsidRPr="00227C1B">
              <w:rPr>
                <w:rFonts w:cstheme="minorHAnsi"/>
                <w:bCs/>
                <w:sz w:val="28"/>
              </w:rPr>
              <w:t xml:space="preserve"> </w:t>
            </w:r>
          </w:p>
          <w:p w14:paraId="5393CA41" w14:textId="77777777" w:rsidR="00993546" w:rsidRDefault="00993546" w:rsidP="00993546">
            <w:pPr>
              <w:pStyle w:val="MText"/>
              <w:rPr>
                <w:b/>
                <w:bCs/>
                <w:i/>
                <w:iCs/>
              </w:rPr>
            </w:pPr>
            <w:r w:rsidRPr="008D7A9D">
              <w:rPr>
                <w:b/>
                <w:bCs/>
                <w:i/>
                <w:iCs/>
              </w:rPr>
              <w:t>FOREST</w:t>
            </w:r>
          </w:p>
          <w:p w14:paraId="67C30537" w14:textId="77777777" w:rsidR="00993546" w:rsidRDefault="00993546" w:rsidP="00993546">
            <w:pPr>
              <w:pStyle w:val="MText"/>
              <w:rPr>
                <w:rFonts w:cstheme="minorHAnsi"/>
                <w:b/>
                <w:color w:val="000000"/>
                <w:sz w:val="18"/>
                <w:szCs w:val="20"/>
              </w:rPr>
            </w:pPr>
            <w:r w:rsidRPr="008D7A9D">
              <w:rPr>
                <w:rStyle w:val="MTextChar"/>
              </w:rPr>
              <w:t xml:space="preserve">Land spanning more than 0.5 hectares with trees higher than 5 meters and a canopy cover of more than 10 percent, or trees able to reach these thresholds </w:t>
            </w:r>
            <w:r w:rsidRPr="008D7A9D">
              <w:rPr>
                <w:rStyle w:val="MTextChar"/>
                <w:i/>
                <w:iCs/>
              </w:rPr>
              <w:t>in situ</w:t>
            </w:r>
            <w:r w:rsidRPr="008D7A9D">
              <w:rPr>
                <w:rStyle w:val="MTextChar"/>
              </w:rPr>
              <w:t>. It does not include land that is predominantly under agricultural or urban land use</w:t>
            </w:r>
            <w:r w:rsidRPr="00282BF7">
              <w:rPr>
                <w:rFonts w:cstheme="minorHAnsi"/>
                <w:b/>
                <w:color w:val="000000"/>
                <w:sz w:val="18"/>
                <w:szCs w:val="20"/>
              </w:rPr>
              <w:t xml:space="preserve">. </w:t>
            </w:r>
          </w:p>
          <w:p w14:paraId="3FABF482" w14:textId="77777777" w:rsidR="00993546" w:rsidRPr="00B0772D" w:rsidRDefault="00993546" w:rsidP="00993546">
            <w:pPr>
              <w:pStyle w:val="MText"/>
              <w:rPr>
                <w:b/>
                <w:bCs/>
                <w:i/>
                <w:iCs/>
              </w:rPr>
            </w:pPr>
          </w:p>
          <w:p w14:paraId="42CFFDC9" w14:textId="77777777" w:rsidR="00993546" w:rsidRPr="008D7A9D" w:rsidRDefault="00993546" w:rsidP="00993546">
            <w:pPr>
              <w:pStyle w:val="MText"/>
              <w:rPr>
                <w:u w:val="single"/>
              </w:rPr>
            </w:pPr>
            <w:r w:rsidRPr="008D7A9D">
              <w:rPr>
                <w:u w:val="single"/>
              </w:rPr>
              <w:t>Explanatory notes</w:t>
            </w:r>
          </w:p>
          <w:p w14:paraId="4047EAB3" w14:textId="77777777" w:rsidR="00993546" w:rsidRPr="008D7A9D" w:rsidRDefault="00993546" w:rsidP="00993546">
            <w:pPr>
              <w:pStyle w:val="MText"/>
              <w:numPr>
                <w:ilvl w:val="0"/>
                <w:numId w:val="13"/>
              </w:numPr>
            </w:pPr>
            <w:r w:rsidRPr="008D7A9D">
              <w:t xml:space="preserve">Forest is determined both by the presence of trees and the absence of other predominant land uses. The trees should be able to reach a minimum height of 5 meters. </w:t>
            </w:r>
          </w:p>
          <w:p w14:paraId="2203B756" w14:textId="77777777" w:rsidR="00993546" w:rsidRPr="008D7A9D" w:rsidRDefault="00993546" w:rsidP="00993546">
            <w:pPr>
              <w:pStyle w:val="MText"/>
              <w:numPr>
                <w:ilvl w:val="0"/>
                <w:numId w:val="13"/>
              </w:numPr>
            </w:pPr>
            <w:r w:rsidRPr="008D7A9D">
              <w:lastRenderedPageBreak/>
              <w:t>Includes areas with young trees that have not yet reached but which are expected to reach a canopy cover of at least 10 percent and tree height of 5 meters or more. It also includes areas that are temporarily unstocked due to clear-cutting as part of a forest management practice or natural disasters, and which are expected to be regenerated within 5 years. Local conditions may, in exceptional cases, justify that a longer time frame is used.</w:t>
            </w:r>
          </w:p>
          <w:p w14:paraId="039D1DB6" w14:textId="77777777" w:rsidR="00993546" w:rsidRPr="00282BF7" w:rsidRDefault="00993546" w:rsidP="00993546">
            <w:pPr>
              <w:pStyle w:val="MText"/>
              <w:numPr>
                <w:ilvl w:val="0"/>
                <w:numId w:val="13"/>
              </w:numPr>
            </w:pPr>
            <w:r w:rsidRPr="00282BF7">
              <w:t>Includes forest roads, firebreaks and other small open areas; forest in national parks, nature reserves and other protected areas such as those of specific environmental, scientific, historical, cultural or spiritual interest.</w:t>
            </w:r>
          </w:p>
          <w:p w14:paraId="3D897CD3" w14:textId="77777777" w:rsidR="00993546" w:rsidRPr="00282BF7" w:rsidRDefault="00993546" w:rsidP="00993546">
            <w:pPr>
              <w:pStyle w:val="MText"/>
              <w:numPr>
                <w:ilvl w:val="0"/>
                <w:numId w:val="13"/>
              </w:numPr>
            </w:pPr>
            <w:r w:rsidRPr="00282BF7">
              <w:t>Includes windbreaks, shelterbelts and corridors of trees with an area of more than 0.5 hectares and width of more than 20 meters.</w:t>
            </w:r>
          </w:p>
          <w:p w14:paraId="5E867CD9" w14:textId="77777777" w:rsidR="00993546" w:rsidRPr="00282BF7" w:rsidRDefault="00993546" w:rsidP="00993546">
            <w:pPr>
              <w:pStyle w:val="MText"/>
              <w:numPr>
                <w:ilvl w:val="0"/>
                <w:numId w:val="13"/>
              </w:numPr>
            </w:pPr>
            <w:r w:rsidRPr="00282BF7">
              <w:t>Includes abandoned shifting cultivation land with a regeneration of trees that have, or are expected to reach, a canopy cover of at least 10 percent and tree height of at least 5 meters.</w:t>
            </w:r>
          </w:p>
          <w:p w14:paraId="687074A2" w14:textId="77777777" w:rsidR="00993546" w:rsidRPr="00282BF7" w:rsidRDefault="00993546" w:rsidP="00993546">
            <w:pPr>
              <w:pStyle w:val="MText"/>
              <w:numPr>
                <w:ilvl w:val="0"/>
                <w:numId w:val="13"/>
              </w:numPr>
            </w:pPr>
            <w:r w:rsidRPr="00282BF7">
              <w:t>Includes areas with mangroves in tidal zones, regardless whether this area is classified as land area or not.</w:t>
            </w:r>
          </w:p>
          <w:p w14:paraId="3D3768F5" w14:textId="77777777" w:rsidR="00993546" w:rsidRPr="00282BF7" w:rsidRDefault="00993546" w:rsidP="00993546">
            <w:pPr>
              <w:pStyle w:val="MText"/>
              <w:numPr>
                <w:ilvl w:val="0"/>
                <w:numId w:val="13"/>
              </w:numPr>
            </w:pPr>
            <w:r w:rsidRPr="00282BF7">
              <w:t xml:space="preserve">Includes rubberwood, cork oak and Christmas tree plantations. </w:t>
            </w:r>
          </w:p>
          <w:p w14:paraId="11C24D62" w14:textId="77777777" w:rsidR="00993546" w:rsidRPr="00282BF7" w:rsidRDefault="00993546" w:rsidP="00993546">
            <w:pPr>
              <w:pStyle w:val="MText"/>
              <w:numPr>
                <w:ilvl w:val="0"/>
                <w:numId w:val="13"/>
              </w:numPr>
            </w:pPr>
            <w:r w:rsidRPr="00282BF7">
              <w:t>Includes areas with bamboo and palms provided that land use, height and canopy cover criteria are met.</w:t>
            </w:r>
          </w:p>
          <w:p w14:paraId="661F5BED" w14:textId="77777777" w:rsidR="00993546" w:rsidRPr="00282BF7" w:rsidRDefault="00993546" w:rsidP="00993546">
            <w:pPr>
              <w:pStyle w:val="MText"/>
              <w:numPr>
                <w:ilvl w:val="0"/>
                <w:numId w:val="13"/>
              </w:numPr>
            </w:pPr>
            <w:r w:rsidRPr="00282BF7">
              <w:rPr>
                <w:u w:val="single"/>
              </w:rPr>
              <w:t>Excludes</w:t>
            </w:r>
            <w:r w:rsidRPr="00282BF7">
              <w:t xml:space="preserve"> tree stands in agricultural production systems, such as fruit tree plantations, oil palm plantations, olive orchards and agroforestry systems when crops are grown under tree cover.</w:t>
            </w:r>
            <w:r>
              <w:t xml:space="preserve"> </w:t>
            </w:r>
            <w:r w:rsidRPr="00282BF7">
              <w:rPr>
                <w:u w:val="single"/>
              </w:rPr>
              <w:t>Note:</w:t>
            </w:r>
            <w:r w:rsidRPr="00282BF7">
              <w:t xml:space="preserve"> Some agroforestry systems such as the “</w:t>
            </w:r>
            <w:proofErr w:type="spellStart"/>
            <w:r w:rsidRPr="00282BF7">
              <w:t>Taungya</w:t>
            </w:r>
            <w:proofErr w:type="spellEnd"/>
            <w:r w:rsidRPr="00282BF7">
              <w:t>” system where crops are grown only during the first years of the forest rotation should be classified as forest.</w:t>
            </w:r>
          </w:p>
          <w:p w14:paraId="5C167D32" w14:textId="77777777" w:rsidR="00993546" w:rsidRPr="00282BF7" w:rsidRDefault="00993546" w:rsidP="00993546">
            <w:pPr>
              <w:rPr>
                <w:rFonts w:cstheme="minorHAnsi"/>
              </w:rPr>
            </w:pPr>
          </w:p>
          <w:p w14:paraId="65CDC8CB" w14:textId="77777777" w:rsidR="00993546" w:rsidRPr="00B0772D" w:rsidRDefault="00993546" w:rsidP="00993546">
            <w:pPr>
              <w:pStyle w:val="MText"/>
              <w:rPr>
                <w:b/>
                <w:bCs/>
                <w:i/>
                <w:iCs/>
              </w:rPr>
            </w:pPr>
            <w:r w:rsidRPr="00B0772D">
              <w:rPr>
                <w:b/>
                <w:bCs/>
                <w:i/>
                <w:iCs/>
              </w:rPr>
              <w:t>ABOVE-GROUND BIOMASS</w:t>
            </w:r>
          </w:p>
          <w:p w14:paraId="229D0796" w14:textId="77777777" w:rsidR="00993546" w:rsidRDefault="00993546" w:rsidP="00993546">
            <w:pPr>
              <w:pStyle w:val="MText"/>
            </w:pPr>
            <w:r w:rsidRPr="00282BF7">
              <w:t>All living biomass above the soil including stem, stump, branches, bark, seeds, and foliage.</w:t>
            </w:r>
          </w:p>
          <w:p w14:paraId="7D38D849" w14:textId="77777777" w:rsidR="00993546" w:rsidRPr="00282BF7" w:rsidRDefault="00993546" w:rsidP="00993546">
            <w:pPr>
              <w:pStyle w:val="MText"/>
            </w:pPr>
          </w:p>
          <w:p w14:paraId="08CE5DB6" w14:textId="77777777" w:rsidR="00993546" w:rsidRPr="007C5707" w:rsidRDefault="00993546" w:rsidP="00993546">
            <w:pPr>
              <w:pStyle w:val="MText"/>
              <w:rPr>
                <w:u w:val="single"/>
              </w:rPr>
            </w:pPr>
            <w:r w:rsidRPr="007C5707">
              <w:rPr>
                <w:u w:val="single"/>
              </w:rPr>
              <w:t xml:space="preserve">Explanatory note </w:t>
            </w:r>
          </w:p>
          <w:p w14:paraId="6FEDC5E3" w14:textId="77777777" w:rsidR="00993546" w:rsidRDefault="00993546" w:rsidP="00993546">
            <w:pPr>
              <w:pStyle w:val="MText"/>
              <w:numPr>
                <w:ilvl w:val="0"/>
                <w:numId w:val="15"/>
              </w:numPr>
            </w:pPr>
            <w:r w:rsidRPr="00282BF7">
              <w:t>In cases where forest understorey is a relatively small component of the aboveground biomass carbon pool, it is acceptable to exclude it, provided this is done in a consistent manner throughout the inventory time series.</w:t>
            </w:r>
          </w:p>
          <w:p w14:paraId="0FCD8D34" w14:textId="77777777" w:rsidR="00993546" w:rsidRPr="00282BF7" w:rsidRDefault="00993546" w:rsidP="00993546">
            <w:pPr>
              <w:pStyle w:val="MText"/>
              <w:ind w:left="360"/>
            </w:pPr>
          </w:p>
          <w:p w14:paraId="5BAEC18E" w14:textId="77777777" w:rsidR="00993546" w:rsidRPr="007C5707" w:rsidRDefault="00993546" w:rsidP="00993546">
            <w:pPr>
              <w:pStyle w:val="MText"/>
              <w:rPr>
                <w:b/>
                <w:bCs/>
                <w:i/>
                <w:iCs/>
              </w:rPr>
            </w:pPr>
            <w:r w:rsidRPr="007C5707">
              <w:rPr>
                <w:b/>
                <w:bCs/>
                <w:i/>
                <w:iCs/>
              </w:rPr>
              <w:t>PROTECTED AREAS</w:t>
            </w:r>
          </w:p>
          <w:p w14:paraId="5A44513B" w14:textId="77777777" w:rsidR="00993546" w:rsidRDefault="00993546" w:rsidP="00993546">
            <w:pPr>
              <w:pStyle w:val="MText"/>
            </w:pPr>
            <w:r w:rsidRPr="007C5707">
              <w:lastRenderedPageBreak/>
              <w:t>Areas especially dedicated to the protection and maintenance of biological diversity, and of natural and associated cultural resources, and managed through legal or other effective means.</w:t>
            </w:r>
          </w:p>
          <w:p w14:paraId="12EE226C" w14:textId="3459972B" w:rsidR="00C73536" w:rsidRDefault="00C73536" w:rsidP="00993546">
            <w:pPr>
              <w:pStyle w:val="MText"/>
              <w:rPr>
                <w:rFonts w:cstheme="minorHAnsi"/>
                <w:b/>
                <w:sz w:val="28"/>
                <w:lang w:val="es-419"/>
              </w:rPr>
            </w:pPr>
          </w:p>
          <w:p w14:paraId="3B773BE4" w14:textId="77777777" w:rsidR="00993546" w:rsidRPr="007C5707" w:rsidRDefault="00993546" w:rsidP="00993546">
            <w:pPr>
              <w:pStyle w:val="MText"/>
              <w:rPr>
                <w:b/>
                <w:bCs/>
                <w:i/>
                <w:iCs/>
              </w:rPr>
            </w:pPr>
            <w:r w:rsidRPr="007C5707">
              <w:rPr>
                <w:b/>
                <w:bCs/>
                <w:i/>
                <w:iCs/>
              </w:rPr>
              <w:t>FOREST AREA WITHIN PROTECTED AREAS</w:t>
            </w:r>
          </w:p>
          <w:p w14:paraId="68415D90" w14:textId="77777777" w:rsidR="00993546" w:rsidRDefault="00993546" w:rsidP="00993546">
            <w:pPr>
              <w:pStyle w:val="MText"/>
            </w:pPr>
            <w:r w:rsidRPr="007C5707">
              <w:t xml:space="preserve">Forest area within formally established protected areas independently of the purpose for which the protected areas were established. </w:t>
            </w:r>
          </w:p>
          <w:p w14:paraId="2EAF3EF2" w14:textId="77777777" w:rsidR="00993546" w:rsidRPr="007C5707" w:rsidRDefault="00993546" w:rsidP="00993546">
            <w:pPr>
              <w:pStyle w:val="MText"/>
            </w:pPr>
          </w:p>
          <w:p w14:paraId="140E9765" w14:textId="77777777" w:rsidR="00993546" w:rsidRPr="007C5707" w:rsidRDefault="00993546" w:rsidP="00993546">
            <w:pPr>
              <w:pStyle w:val="MText"/>
              <w:rPr>
                <w:u w:val="single"/>
              </w:rPr>
            </w:pPr>
            <w:r w:rsidRPr="007C5707">
              <w:rPr>
                <w:u w:val="single"/>
              </w:rPr>
              <w:t>Explanatory notes</w:t>
            </w:r>
          </w:p>
          <w:p w14:paraId="0ED2AA21" w14:textId="77777777" w:rsidR="00993546" w:rsidRPr="007C5707" w:rsidRDefault="00993546" w:rsidP="00993546">
            <w:pPr>
              <w:pStyle w:val="MText"/>
              <w:numPr>
                <w:ilvl w:val="0"/>
                <w:numId w:val="16"/>
              </w:numPr>
            </w:pPr>
            <w:r w:rsidRPr="007C5707">
              <w:t>Includes IUCN Categories I – IV</w:t>
            </w:r>
          </w:p>
          <w:p w14:paraId="42D55C73" w14:textId="77777777" w:rsidR="00993546" w:rsidRDefault="00993546" w:rsidP="00993546">
            <w:pPr>
              <w:pStyle w:val="MText"/>
              <w:numPr>
                <w:ilvl w:val="0"/>
                <w:numId w:val="16"/>
              </w:numPr>
            </w:pPr>
            <w:r w:rsidRPr="007C5707">
              <w:rPr>
                <w:u w:val="single"/>
              </w:rPr>
              <w:t>Excludes</w:t>
            </w:r>
            <w:r w:rsidRPr="007C5707">
              <w:t xml:space="preserve"> IUCN Categories V-VI</w:t>
            </w:r>
          </w:p>
          <w:p w14:paraId="0E4884EB" w14:textId="77777777" w:rsidR="00993546" w:rsidRPr="007C5707" w:rsidRDefault="00993546" w:rsidP="00993546">
            <w:pPr>
              <w:pStyle w:val="MText"/>
            </w:pPr>
          </w:p>
          <w:p w14:paraId="0F1FD662" w14:textId="77777777" w:rsidR="00993546" w:rsidRPr="007C5707" w:rsidRDefault="00993546" w:rsidP="00993546">
            <w:pPr>
              <w:pStyle w:val="MText"/>
              <w:rPr>
                <w:b/>
                <w:bCs/>
                <w:i/>
                <w:iCs/>
              </w:rPr>
            </w:pPr>
            <w:r w:rsidRPr="007C5707">
              <w:rPr>
                <w:b/>
                <w:bCs/>
                <w:i/>
                <w:iCs/>
              </w:rPr>
              <w:t>FOREST AREA WITH MANAGEMENT PLAN</w:t>
            </w:r>
          </w:p>
          <w:p w14:paraId="53702B1E" w14:textId="77777777" w:rsidR="00993546" w:rsidRDefault="00993546" w:rsidP="00993546">
            <w:pPr>
              <w:pStyle w:val="MText"/>
            </w:pPr>
            <w:r w:rsidRPr="007C5707">
              <w:t xml:space="preserve">Forest area that has a long-term documented management plan, aiming at defined management goals, which is periodically revised. </w:t>
            </w:r>
          </w:p>
          <w:p w14:paraId="1132FC9C" w14:textId="77777777" w:rsidR="00993546" w:rsidRPr="007C5707" w:rsidRDefault="00993546" w:rsidP="00993546">
            <w:pPr>
              <w:pStyle w:val="MText"/>
            </w:pPr>
          </w:p>
          <w:p w14:paraId="6C11B6EC" w14:textId="77777777" w:rsidR="00993546" w:rsidRPr="007C5707" w:rsidRDefault="00993546" w:rsidP="00993546">
            <w:pPr>
              <w:pStyle w:val="MText"/>
              <w:rPr>
                <w:u w:val="single"/>
              </w:rPr>
            </w:pPr>
            <w:r w:rsidRPr="007C5707">
              <w:rPr>
                <w:u w:val="single"/>
              </w:rPr>
              <w:t>Explanatory notes</w:t>
            </w:r>
          </w:p>
          <w:p w14:paraId="7EA37C28" w14:textId="77777777" w:rsidR="00993546" w:rsidRPr="007C5707" w:rsidRDefault="00993546" w:rsidP="00993546">
            <w:pPr>
              <w:pStyle w:val="MText"/>
              <w:numPr>
                <w:ilvl w:val="0"/>
                <w:numId w:val="17"/>
              </w:numPr>
            </w:pPr>
            <w:r w:rsidRPr="007C5707">
              <w:t>A forest area with management plan may refer to forest management unit level or aggregated forest management unit level (forest blocks, farms, enterprises, watersheds, municipalities, or wider units).</w:t>
            </w:r>
          </w:p>
          <w:p w14:paraId="60DF179F" w14:textId="77777777" w:rsidR="00993546" w:rsidRPr="00500508" w:rsidRDefault="00993546" w:rsidP="00993546">
            <w:pPr>
              <w:pStyle w:val="MText"/>
              <w:numPr>
                <w:ilvl w:val="0"/>
                <w:numId w:val="17"/>
              </w:numPr>
            </w:pPr>
            <w:r w:rsidRPr="007C5707">
              <w:t xml:space="preserve">A management plan must include adequate detail on operations planned for individual operational units (stands or compartments) but may also provide general strategies </w:t>
            </w:r>
            <w:r w:rsidRPr="00500508">
              <w:t>and activities planned to reach management goals.</w:t>
            </w:r>
          </w:p>
          <w:p w14:paraId="699A09CC" w14:textId="77777777" w:rsidR="00993546" w:rsidRPr="00500508" w:rsidRDefault="00993546" w:rsidP="00993546">
            <w:pPr>
              <w:pStyle w:val="MText"/>
              <w:numPr>
                <w:ilvl w:val="0"/>
                <w:numId w:val="17"/>
              </w:numPr>
              <w:snapToGrid w:val="0"/>
              <w:rPr>
                <w:rFonts w:cstheme="minorHAnsi"/>
                <w:color w:val="385623" w:themeColor="accent6" w:themeShade="80"/>
                <w:sz w:val="20"/>
                <w:szCs w:val="20"/>
              </w:rPr>
            </w:pPr>
            <w:r w:rsidRPr="00500508">
              <w:t>Includes forest area in protected areas with management plan.</w:t>
            </w:r>
          </w:p>
          <w:p w14:paraId="5BA0CF27" w14:textId="77777777" w:rsidR="00993546" w:rsidRPr="00500508" w:rsidRDefault="00993546" w:rsidP="00993546">
            <w:pPr>
              <w:pStyle w:val="MText"/>
              <w:snapToGrid w:val="0"/>
              <w:ind w:left="360"/>
              <w:rPr>
                <w:rFonts w:cstheme="minorHAnsi"/>
                <w:b/>
                <w:color w:val="385623" w:themeColor="accent6" w:themeShade="80"/>
                <w:sz w:val="20"/>
                <w:szCs w:val="20"/>
              </w:rPr>
            </w:pPr>
          </w:p>
          <w:p w14:paraId="4337E455" w14:textId="77777777" w:rsidR="00993546" w:rsidRPr="00500508" w:rsidRDefault="00993546" w:rsidP="00993546">
            <w:pPr>
              <w:pStyle w:val="MText"/>
              <w:rPr>
                <w:b/>
                <w:bCs/>
                <w:i/>
                <w:iCs/>
              </w:rPr>
            </w:pPr>
            <w:r w:rsidRPr="00500508">
              <w:rPr>
                <w:b/>
                <w:bCs/>
                <w:i/>
                <w:iCs/>
              </w:rPr>
              <w:t>INDEPENDENTLY VERIFIED FOREST MANAGEMENT CERTIFICATION</w:t>
            </w:r>
          </w:p>
          <w:p w14:paraId="6C091B4B" w14:textId="2003F8CE" w:rsidR="00993546" w:rsidRDefault="00993546" w:rsidP="00993546">
            <w:pPr>
              <w:pStyle w:val="MText"/>
            </w:pPr>
            <w:r w:rsidRPr="00500508">
              <w:t>Forest area certified under a forest management certification scheme with published standards and is independently verified by a third-party.</w:t>
            </w:r>
          </w:p>
          <w:p w14:paraId="536CB493" w14:textId="0C585F05" w:rsidR="004738FA" w:rsidRDefault="004738FA" w:rsidP="00993546">
            <w:pPr>
              <w:pStyle w:val="MText"/>
              <w:rPr>
                <w:b/>
              </w:rPr>
            </w:pPr>
          </w:p>
          <w:p w14:paraId="6EF8A01B" w14:textId="77777777" w:rsidR="004738FA" w:rsidRPr="00670F4A" w:rsidRDefault="004738FA" w:rsidP="004738FA">
            <w:pPr>
              <w:pStyle w:val="MHeader"/>
            </w:pPr>
            <w:r w:rsidRPr="00282BF7">
              <w:t>Annex 2 – Methodology</w:t>
            </w:r>
          </w:p>
          <w:p w14:paraId="53231D5D" w14:textId="77777777" w:rsidR="004738FA" w:rsidRPr="00670F4A" w:rsidRDefault="004738FA" w:rsidP="004738FA">
            <w:pPr>
              <w:pStyle w:val="MText"/>
              <w:rPr>
                <w:rFonts w:eastAsia="Calibri"/>
                <w:b/>
                <w:bCs/>
                <w:i/>
                <w:iCs/>
              </w:rPr>
            </w:pPr>
            <w:r w:rsidRPr="00670F4A">
              <w:rPr>
                <w:rFonts w:eastAsia="Calibri"/>
                <w:b/>
                <w:bCs/>
                <w:i/>
                <w:iCs/>
              </w:rPr>
              <w:t>Sub-indicator 1 - Forest area annual net change rate</w:t>
            </w:r>
          </w:p>
          <w:p w14:paraId="052A4A16" w14:textId="77777777" w:rsidR="004738FA" w:rsidRDefault="004738FA" w:rsidP="004738FA">
            <w:pPr>
              <w:pStyle w:val="MText"/>
              <w:rPr>
                <w:rFonts w:eastAsia="Calibri"/>
              </w:rPr>
            </w:pPr>
            <w:r w:rsidRPr="00282BF7">
              <w:rPr>
                <w:rFonts w:eastAsia="Calibri"/>
                <w:u w:val="single"/>
              </w:rPr>
              <w:t>Unit</w:t>
            </w:r>
            <w:r w:rsidRPr="00282BF7">
              <w:rPr>
                <w:rFonts w:eastAsia="Calibri"/>
              </w:rPr>
              <w:t>:</w:t>
            </w:r>
            <w:r>
              <w:rPr>
                <w:rFonts w:eastAsia="Calibri"/>
              </w:rPr>
              <w:t xml:space="preserve"> </w:t>
            </w:r>
            <w:r w:rsidRPr="00282BF7">
              <w:rPr>
                <w:rFonts w:eastAsia="Calibri"/>
              </w:rPr>
              <w:t>Percent</w:t>
            </w:r>
          </w:p>
          <w:p w14:paraId="4268E48A" w14:textId="77777777" w:rsidR="004738FA" w:rsidRPr="00282BF7" w:rsidRDefault="004738FA" w:rsidP="004738FA">
            <w:pPr>
              <w:pStyle w:val="MText"/>
              <w:rPr>
                <w:rFonts w:eastAsia="Calibri"/>
              </w:rPr>
            </w:pPr>
          </w:p>
          <w:p w14:paraId="4D1464F6" w14:textId="77777777" w:rsidR="004738FA" w:rsidRPr="00282BF7" w:rsidRDefault="004738FA" w:rsidP="004738FA">
            <w:pPr>
              <w:pStyle w:val="MText"/>
              <w:rPr>
                <w:rFonts w:eastAsia="Calibri"/>
              </w:rPr>
            </w:pPr>
            <w:r w:rsidRPr="00282BF7">
              <w:rPr>
                <w:rFonts w:eastAsia="Calibri"/>
                <w:u w:val="single"/>
              </w:rPr>
              <w:t>Reference period:</w:t>
            </w:r>
            <w:r>
              <w:rPr>
                <w:rFonts w:eastAsia="Calibri"/>
              </w:rPr>
              <w:t xml:space="preserve"> </w:t>
            </w:r>
            <w:r w:rsidRPr="00282BF7">
              <w:rPr>
                <w:rFonts w:eastAsia="Calibri"/>
              </w:rPr>
              <w:t>Most recent period</w:t>
            </w:r>
          </w:p>
          <w:p w14:paraId="2272219D" w14:textId="77777777" w:rsidR="004738FA" w:rsidRDefault="004738FA" w:rsidP="004738FA">
            <w:pPr>
              <w:pStyle w:val="MText"/>
              <w:rPr>
                <w:rFonts w:eastAsia="Calibri"/>
                <w:u w:val="single"/>
              </w:rPr>
            </w:pPr>
          </w:p>
          <w:p w14:paraId="0F803B43" w14:textId="77777777" w:rsidR="004738FA" w:rsidRPr="00282BF7" w:rsidRDefault="004738FA" w:rsidP="004738FA">
            <w:pPr>
              <w:pStyle w:val="MText"/>
              <w:rPr>
                <w:rFonts w:eastAsia="Calibri"/>
              </w:rPr>
            </w:pPr>
            <w:r w:rsidRPr="00282BF7">
              <w:rPr>
                <w:rFonts w:eastAsia="Calibri"/>
                <w:u w:val="single"/>
              </w:rPr>
              <w:t>Method of estimation:</w:t>
            </w:r>
            <w:r>
              <w:rPr>
                <w:rFonts w:eastAsia="Calibri"/>
              </w:rPr>
              <w:t xml:space="preserve"> </w:t>
            </w:r>
            <w:r w:rsidRPr="00282BF7">
              <w:rPr>
                <w:rFonts w:eastAsia="Calibri"/>
              </w:rPr>
              <w:t>Compound interest formula</w:t>
            </w:r>
          </w:p>
          <w:p w14:paraId="456E27CC" w14:textId="77777777" w:rsidR="004738FA" w:rsidRDefault="004738FA" w:rsidP="004738FA">
            <w:pPr>
              <w:pStyle w:val="MText"/>
              <w:rPr>
                <w:rFonts w:eastAsia="Calibri"/>
                <w:u w:val="single"/>
              </w:rPr>
            </w:pPr>
          </w:p>
          <w:p w14:paraId="2DF98844" w14:textId="77777777" w:rsidR="004738FA" w:rsidRPr="00282BF7" w:rsidRDefault="004738FA" w:rsidP="004738FA">
            <w:pPr>
              <w:pStyle w:val="MText"/>
              <w:rPr>
                <w:rFonts w:eastAsia="Calibri"/>
                <w:u w:val="single"/>
              </w:rPr>
            </w:pPr>
            <w:r w:rsidRPr="00282BF7">
              <w:rPr>
                <w:rFonts w:eastAsia="Calibri"/>
                <w:u w:val="single"/>
              </w:rPr>
              <w:t>Translation to dashboard/traffic light:</w:t>
            </w:r>
          </w:p>
          <w:p w14:paraId="58ED534C" w14:textId="77777777" w:rsidR="004738FA" w:rsidRPr="00282BF7" w:rsidRDefault="004738FA" w:rsidP="004738FA">
            <w:pPr>
              <w:pStyle w:val="MText"/>
              <w:rPr>
                <w:rFonts w:eastAsia="Calibri"/>
              </w:rPr>
            </w:pPr>
            <w:r w:rsidRPr="00282BF7">
              <w:rPr>
                <w:rFonts w:eastAsia="Calibri"/>
              </w:rPr>
              <w:t>The following flowchart explains the logic behind the translation of this indicator to a dashboard/traffic light:</w:t>
            </w:r>
          </w:p>
          <w:p w14:paraId="0A085106" w14:textId="517F99F6" w:rsidR="009D5A02" w:rsidRPr="00282BF7" w:rsidRDefault="009D5A02" w:rsidP="004738FA">
            <w:pPr>
              <w:ind w:left="360"/>
              <w:rPr>
                <w:rFonts w:eastAsia="Calibri" w:cstheme="minorHAnsi"/>
              </w:rPr>
            </w:pPr>
            <w:r>
              <w:rPr>
                <w:rFonts w:eastAsia="Calibri" w:cstheme="minorHAnsi"/>
                <w:noProof/>
              </w:rPr>
              <w:drawing>
                <wp:inline distT="0" distB="0" distL="0" distR="0" wp14:anchorId="705AA131" wp14:editId="7D3ABD5D">
                  <wp:extent cx="2486025" cy="28289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86025" cy="2828925"/>
                          </a:xfrm>
                          <a:prstGeom prst="rect">
                            <a:avLst/>
                          </a:prstGeom>
                          <a:noFill/>
                          <a:ln>
                            <a:noFill/>
                          </a:ln>
                        </pic:spPr>
                      </pic:pic>
                    </a:graphicData>
                  </a:graphic>
                </wp:inline>
              </w:drawing>
            </w:r>
          </w:p>
          <w:p w14:paraId="01D69E9C" w14:textId="77777777" w:rsidR="004738FA" w:rsidRDefault="004738FA" w:rsidP="004738FA">
            <w:pPr>
              <w:pStyle w:val="MText"/>
              <w:rPr>
                <w:rFonts w:eastAsia="Calibri"/>
                <w:u w:val="single"/>
              </w:rPr>
            </w:pPr>
            <w:r w:rsidRPr="00282BF7">
              <w:rPr>
                <w:rFonts w:eastAsia="Calibri"/>
              </w:rPr>
              <w:t>The forest area change direction is determined by examining the value of the forest area change rate for the most recent period, a negative value indicate a loss of forest area, a zero value means that forest area is stable and a positive value means that forest area has increased.</w:t>
            </w:r>
            <w:r>
              <w:rPr>
                <w:rFonts w:eastAsia="Calibri"/>
              </w:rPr>
              <w:t xml:space="preserve"> </w:t>
            </w:r>
            <w:r w:rsidRPr="00282BF7">
              <w:rPr>
                <w:rFonts w:eastAsia="Calibri"/>
              </w:rPr>
              <w:t xml:space="preserve">The change in forest area loss rate is based on a comparison of the current forest area net change rate with the </w:t>
            </w:r>
            <w:r w:rsidRPr="00282BF7">
              <w:rPr>
                <w:rFonts w:eastAsia="Calibri"/>
                <w:u w:val="single"/>
              </w:rPr>
              <w:t>baseline forest area net change rate for the period 2010-2015.</w:t>
            </w:r>
          </w:p>
          <w:p w14:paraId="218F6BC3" w14:textId="77777777" w:rsidR="004738FA" w:rsidRPr="00282BF7" w:rsidRDefault="004738FA" w:rsidP="004738FA">
            <w:pPr>
              <w:pStyle w:val="MText"/>
              <w:rPr>
                <w:rFonts w:eastAsia="Calibri"/>
              </w:rPr>
            </w:pPr>
          </w:p>
          <w:p w14:paraId="1625EE50" w14:textId="77777777" w:rsidR="004738FA" w:rsidRPr="00655A5C" w:rsidRDefault="004738FA" w:rsidP="004738FA">
            <w:pPr>
              <w:pStyle w:val="MText"/>
              <w:rPr>
                <w:rFonts w:eastAsia="Calibri"/>
                <w:u w:val="single"/>
              </w:rPr>
            </w:pPr>
            <w:r w:rsidRPr="00655A5C">
              <w:rPr>
                <w:rFonts w:eastAsia="Calibri"/>
                <w:u w:val="single"/>
              </w:rPr>
              <w:t>Comments:</w:t>
            </w:r>
          </w:p>
          <w:p w14:paraId="48342EB5" w14:textId="77777777" w:rsidR="004738FA" w:rsidRDefault="004738FA" w:rsidP="004738FA">
            <w:pPr>
              <w:pStyle w:val="MText"/>
              <w:rPr>
                <w:rFonts w:eastAsia="Calibri"/>
              </w:rPr>
            </w:pPr>
            <w:r w:rsidRPr="00282BF7">
              <w:rPr>
                <w:rFonts w:eastAsia="Calibri"/>
              </w:rPr>
              <w:t>This traffic light takes into consideration both the direction of forest area change (if forest area increases or decreases) as well as changes in the rate of forest area loss – the latter important in order to indicate progress among countries that are losing forest area but manage to reduce the loss rate.</w:t>
            </w:r>
            <w:r>
              <w:rPr>
                <w:rFonts w:eastAsia="Calibri"/>
              </w:rPr>
              <w:t xml:space="preserve"> </w:t>
            </w:r>
          </w:p>
          <w:p w14:paraId="14F09FB6" w14:textId="77777777" w:rsidR="004738FA" w:rsidRPr="00282BF7" w:rsidRDefault="004738FA" w:rsidP="004738FA">
            <w:pPr>
              <w:pStyle w:val="MText"/>
              <w:rPr>
                <w:rFonts w:eastAsia="Calibri"/>
              </w:rPr>
            </w:pPr>
          </w:p>
          <w:p w14:paraId="6E2BC74E" w14:textId="77777777" w:rsidR="004738FA" w:rsidRDefault="004738FA" w:rsidP="004738FA">
            <w:pPr>
              <w:pStyle w:val="MText"/>
              <w:rPr>
                <w:rFonts w:eastAsia="Calibri"/>
              </w:rPr>
            </w:pPr>
            <w:r w:rsidRPr="00282BF7">
              <w:rPr>
                <w:rFonts w:eastAsia="Calibri"/>
              </w:rPr>
              <w:t>For annual reporting, FAO can provide countries with imputed values based on previous trends that they can use in case they don’t have new/updated information.</w:t>
            </w:r>
            <w:r>
              <w:rPr>
                <w:rFonts w:eastAsia="Calibri"/>
              </w:rPr>
              <w:t xml:space="preserve"> </w:t>
            </w:r>
            <w:r w:rsidRPr="00282BF7">
              <w:rPr>
                <w:rFonts w:eastAsia="Calibri"/>
              </w:rPr>
              <w:t>The baseline should be updated every 5 years, so in 2020 a new baseline is calculated.</w:t>
            </w:r>
            <w:r>
              <w:rPr>
                <w:rFonts w:eastAsia="Calibri"/>
              </w:rPr>
              <w:t xml:space="preserve"> </w:t>
            </w:r>
            <w:r w:rsidRPr="00282BF7">
              <w:rPr>
                <w:rFonts w:eastAsia="Calibri"/>
              </w:rPr>
              <w:t>Also, at country level, if a country gets new information and updates the historical time series, the baseline for the country will be recalculated, respecting the 2010-2015 period.</w:t>
            </w:r>
          </w:p>
          <w:p w14:paraId="2089F266" w14:textId="77777777" w:rsidR="004738FA" w:rsidRPr="00282BF7" w:rsidRDefault="004738FA" w:rsidP="004738FA">
            <w:pPr>
              <w:pStyle w:val="MText"/>
              <w:rPr>
                <w:rFonts w:eastAsia="Calibri"/>
              </w:rPr>
            </w:pPr>
          </w:p>
          <w:p w14:paraId="6724FEA8" w14:textId="77777777" w:rsidR="004738FA" w:rsidRDefault="004738FA" w:rsidP="004738FA">
            <w:pPr>
              <w:pStyle w:val="MText"/>
              <w:rPr>
                <w:rFonts w:eastAsia="Calibri"/>
                <w:b/>
                <w:bCs/>
                <w:i/>
                <w:iCs/>
              </w:rPr>
            </w:pPr>
            <w:r w:rsidRPr="00655A5C">
              <w:rPr>
                <w:rFonts w:eastAsia="Calibri"/>
                <w:b/>
                <w:bCs/>
                <w:i/>
                <w:iCs/>
              </w:rPr>
              <w:t xml:space="preserve">Sub-indicator 2 – Above-ground biomass stock in forest </w:t>
            </w:r>
          </w:p>
          <w:p w14:paraId="114A5770" w14:textId="77777777" w:rsidR="004738FA" w:rsidRPr="00655A5C" w:rsidRDefault="004738FA" w:rsidP="004738FA">
            <w:pPr>
              <w:pStyle w:val="MText"/>
              <w:rPr>
                <w:rFonts w:eastAsia="Calibri"/>
                <w:b/>
                <w:bCs/>
                <w:i/>
                <w:iCs/>
              </w:rPr>
            </w:pPr>
          </w:p>
          <w:p w14:paraId="6C092672" w14:textId="77777777" w:rsidR="004738FA" w:rsidRDefault="004738FA" w:rsidP="004738FA">
            <w:pPr>
              <w:pStyle w:val="MText"/>
              <w:rPr>
                <w:rFonts w:eastAsia="Calibri"/>
              </w:rPr>
            </w:pPr>
            <w:r w:rsidRPr="00282BF7">
              <w:rPr>
                <w:rFonts w:eastAsia="Calibri"/>
                <w:u w:val="single"/>
              </w:rPr>
              <w:t>Unit</w:t>
            </w:r>
            <w:r w:rsidRPr="00282BF7">
              <w:rPr>
                <w:rFonts w:eastAsia="Calibri"/>
              </w:rPr>
              <w:t>:</w:t>
            </w:r>
            <w:r>
              <w:rPr>
                <w:rFonts w:eastAsia="Calibri"/>
              </w:rPr>
              <w:t xml:space="preserve"> </w:t>
            </w:r>
            <w:r w:rsidRPr="00282BF7">
              <w:rPr>
                <w:rFonts w:eastAsia="Calibri"/>
              </w:rPr>
              <w:t>tonnes/hectare</w:t>
            </w:r>
          </w:p>
          <w:p w14:paraId="3614DD8C" w14:textId="77777777" w:rsidR="004738FA" w:rsidRPr="00282BF7" w:rsidRDefault="004738FA" w:rsidP="004738FA">
            <w:pPr>
              <w:pStyle w:val="MText"/>
              <w:rPr>
                <w:rFonts w:eastAsia="Calibri"/>
              </w:rPr>
            </w:pPr>
          </w:p>
          <w:p w14:paraId="598420B2" w14:textId="77777777" w:rsidR="004738FA" w:rsidRPr="00282BF7" w:rsidRDefault="004738FA" w:rsidP="004738FA">
            <w:pPr>
              <w:pStyle w:val="MText"/>
              <w:rPr>
                <w:rFonts w:eastAsia="Calibri"/>
              </w:rPr>
            </w:pPr>
            <w:r w:rsidRPr="00282BF7">
              <w:rPr>
                <w:rFonts w:eastAsia="Calibri"/>
                <w:u w:val="single"/>
              </w:rPr>
              <w:t>Reference year:</w:t>
            </w:r>
            <w:r>
              <w:rPr>
                <w:rFonts w:eastAsia="Calibri"/>
              </w:rPr>
              <w:t xml:space="preserve"> </w:t>
            </w:r>
            <w:r w:rsidRPr="00282BF7">
              <w:rPr>
                <w:rFonts w:eastAsia="Calibri"/>
              </w:rPr>
              <w:t>Latest reporting year</w:t>
            </w:r>
          </w:p>
          <w:p w14:paraId="3CE72887" w14:textId="77777777" w:rsidR="004738FA" w:rsidRDefault="004738FA" w:rsidP="004738FA">
            <w:pPr>
              <w:pStyle w:val="MText"/>
              <w:rPr>
                <w:rFonts w:eastAsia="Calibri"/>
              </w:rPr>
            </w:pPr>
            <w:r w:rsidRPr="00282BF7">
              <w:rPr>
                <w:rFonts w:eastAsia="Calibri"/>
                <w:u w:val="single"/>
              </w:rPr>
              <w:t>Method of estimation:</w:t>
            </w:r>
            <w:r>
              <w:rPr>
                <w:rFonts w:eastAsia="Calibri"/>
              </w:rPr>
              <w:t xml:space="preserve"> </w:t>
            </w:r>
            <w:r w:rsidRPr="00282BF7">
              <w:rPr>
                <w:rFonts w:eastAsia="Calibri"/>
              </w:rPr>
              <w:t>Biomass stock in forest (tonnes) / forest area (ha)</w:t>
            </w:r>
          </w:p>
          <w:p w14:paraId="0B0A910C" w14:textId="77777777" w:rsidR="004738FA" w:rsidRPr="00282BF7" w:rsidRDefault="004738FA" w:rsidP="004738FA">
            <w:pPr>
              <w:pStyle w:val="MText"/>
              <w:rPr>
                <w:rFonts w:eastAsia="Calibri"/>
              </w:rPr>
            </w:pPr>
          </w:p>
          <w:p w14:paraId="2F6B3035" w14:textId="77777777" w:rsidR="004738FA" w:rsidRPr="00655A5C" w:rsidRDefault="004738FA" w:rsidP="004738FA">
            <w:pPr>
              <w:pStyle w:val="MText"/>
              <w:rPr>
                <w:rFonts w:eastAsia="Calibri"/>
                <w:u w:val="single"/>
              </w:rPr>
            </w:pPr>
            <w:r w:rsidRPr="00655A5C">
              <w:rPr>
                <w:rFonts w:eastAsia="Calibri"/>
                <w:u w:val="single"/>
              </w:rPr>
              <w:t>Translation to dashboard/traffic light:</w:t>
            </w:r>
          </w:p>
          <w:p w14:paraId="3E253998" w14:textId="77777777" w:rsidR="004738FA" w:rsidRDefault="004738FA" w:rsidP="004738FA">
            <w:pPr>
              <w:pStyle w:val="MText"/>
              <w:rPr>
                <w:rFonts w:eastAsia="Calibri"/>
              </w:rPr>
            </w:pPr>
            <w:r w:rsidRPr="00282BF7">
              <w:rPr>
                <w:rFonts w:eastAsia="Calibri"/>
              </w:rPr>
              <w:t>The indicator value for the latest reporting year is compared with the indicator value for previous reporting year for assessment of continuity of progress since last report.</w:t>
            </w:r>
          </w:p>
          <w:p w14:paraId="351F5BFA" w14:textId="77777777" w:rsidR="004738FA" w:rsidRPr="00282BF7" w:rsidRDefault="004738FA" w:rsidP="004738FA">
            <w:pPr>
              <w:pStyle w:val="MText"/>
              <w:rPr>
                <w:rFonts w:eastAsia="Calibri"/>
              </w:rPr>
            </w:pPr>
          </w:p>
          <w:p w14:paraId="0F1864E8" w14:textId="2C427D9F" w:rsidR="004738FA" w:rsidRDefault="004738FA" w:rsidP="004738FA">
            <w:pPr>
              <w:pStyle w:val="MText"/>
              <w:rPr>
                <w:rFonts w:eastAsia="Calibri"/>
              </w:rPr>
            </w:pPr>
            <w:r w:rsidRPr="00282BF7">
              <w:rPr>
                <w:rFonts w:eastAsia="Calibri"/>
              </w:rPr>
              <w:t xml:space="preserve">The ratio (r) between the current indicator value and the previously reported value is calculated; r&gt;1 means an increase in stock per hectare, r&lt;1 means a decrease while 1 indicates no change. A narrow interval for r has been established to indicate a stable condition, and traffic-light </w:t>
            </w:r>
            <w:proofErr w:type="spellStart"/>
            <w:r w:rsidRPr="00282BF7">
              <w:rPr>
                <w:rFonts w:eastAsia="Calibri"/>
              </w:rPr>
              <w:t>colors</w:t>
            </w:r>
            <w:proofErr w:type="spellEnd"/>
            <w:r w:rsidRPr="00282BF7">
              <w:rPr>
                <w:rFonts w:eastAsia="Calibri"/>
              </w:rPr>
              <w:t xml:space="preserve"> are assigned as follows:</w:t>
            </w:r>
          </w:p>
          <w:p w14:paraId="14166FE0" w14:textId="2ED30559" w:rsidR="009D5A02" w:rsidRPr="00282BF7" w:rsidRDefault="009D5A02" w:rsidP="004738FA">
            <w:pPr>
              <w:ind w:left="360"/>
              <w:rPr>
                <w:rFonts w:eastAsia="Calibri" w:cstheme="minorHAnsi"/>
              </w:rPr>
            </w:pPr>
            <w:r>
              <w:rPr>
                <w:rFonts w:eastAsia="Calibri" w:cstheme="minorHAnsi"/>
                <w:noProof/>
              </w:rPr>
              <w:drawing>
                <wp:inline distT="0" distB="0" distL="0" distR="0" wp14:anchorId="295D4697" wp14:editId="2460C0D9">
                  <wp:extent cx="1885950" cy="7524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85950" cy="752475"/>
                          </a:xfrm>
                          <a:prstGeom prst="rect">
                            <a:avLst/>
                          </a:prstGeom>
                          <a:noFill/>
                          <a:ln>
                            <a:noFill/>
                          </a:ln>
                        </pic:spPr>
                      </pic:pic>
                    </a:graphicData>
                  </a:graphic>
                </wp:inline>
              </w:drawing>
            </w:r>
          </w:p>
          <w:p w14:paraId="770102EA" w14:textId="77777777" w:rsidR="004738FA" w:rsidRDefault="004738FA" w:rsidP="004738FA">
            <w:pPr>
              <w:pStyle w:val="MText"/>
              <w:rPr>
                <w:rFonts w:eastAsia="Calibri"/>
                <w:b/>
                <w:bCs/>
                <w:i/>
                <w:iCs/>
              </w:rPr>
            </w:pPr>
            <w:r w:rsidRPr="00655A5C">
              <w:rPr>
                <w:rFonts w:eastAsia="Calibri"/>
                <w:b/>
                <w:bCs/>
                <w:i/>
                <w:iCs/>
              </w:rPr>
              <w:t>Sub-indicator 3 – Proportion of forest area located within legally established protected areas</w:t>
            </w:r>
          </w:p>
          <w:p w14:paraId="7CD9B2DB" w14:textId="77777777" w:rsidR="004738FA" w:rsidRPr="00655A5C" w:rsidRDefault="004738FA" w:rsidP="004738FA">
            <w:pPr>
              <w:pStyle w:val="MText"/>
              <w:rPr>
                <w:rFonts w:eastAsia="Calibri"/>
                <w:b/>
                <w:bCs/>
                <w:i/>
                <w:iCs/>
              </w:rPr>
            </w:pPr>
          </w:p>
          <w:p w14:paraId="46AF7278" w14:textId="77777777" w:rsidR="004738FA" w:rsidRDefault="004738FA" w:rsidP="004738FA">
            <w:pPr>
              <w:pStyle w:val="MText"/>
              <w:rPr>
                <w:rFonts w:eastAsia="Calibri"/>
              </w:rPr>
            </w:pPr>
            <w:r w:rsidRPr="00282BF7">
              <w:rPr>
                <w:rFonts w:eastAsia="Calibri"/>
                <w:u w:val="single"/>
              </w:rPr>
              <w:t>Unit</w:t>
            </w:r>
            <w:r w:rsidRPr="00282BF7">
              <w:rPr>
                <w:rFonts w:eastAsia="Calibri"/>
              </w:rPr>
              <w:t>:</w:t>
            </w:r>
            <w:r>
              <w:rPr>
                <w:rFonts w:eastAsia="Calibri"/>
              </w:rPr>
              <w:t xml:space="preserve"> </w:t>
            </w:r>
            <w:r w:rsidRPr="00282BF7">
              <w:rPr>
                <w:rFonts w:eastAsia="Calibri"/>
              </w:rPr>
              <w:t>Percent</w:t>
            </w:r>
          </w:p>
          <w:p w14:paraId="53C7499F" w14:textId="77777777" w:rsidR="004738FA" w:rsidRPr="00282BF7" w:rsidRDefault="004738FA" w:rsidP="004738FA">
            <w:pPr>
              <w:pStyle w:val="MText"/>
              <w:rPr>
                <w:rFonts w:eastAsia="Calibri"/>
              </w:rPr>
            </w:pPr>
          </w:p>
          <w:p w14:paraId="1F604569" w14:textId="77777777" w:rsidR="004738FA" w:rsidRPr="00282BF7" w:rsidRDefault="004738FA" w:rsidP="004738FA">
            <w:pPr>
              <w:pStyle w:val="MText"/>
              <w:rPr>
                <w:rFonts w:eastAsia="Calibri"/>
              </w:rPr>
            </w:pPr>
            <w:r w:rsidRPr="00282BF7">
              <w:rPr>
                <w:rFonts w:eastAsia="Calibri"/>
                <w:u w:val="single"/>
              </w:rPr>
              <w:t>Reference year:</w:t>
            </w:r>
            <w:r>
              <w:rPr>
                <w:rFonts w:eastAsia="Calibri"/>
              </w:rPr>
              <w:t xml:space="preserve"> </w:t>
            </w:r>
            <w:r w:rsidRPr="00282BF7">
              <w:rPr>
                <w:rFonts w:eastAsia="Calibri"/>
              </w:rPr>
              <w:t>Latest reporting year</w:t>
            </w:r>
          </w:p>
          <w:p w14:paraId="4B538F28" w14:textId="77777777" w:rsidR="004738FA" w:rsidRDefault="004738FA" w:rsidP="004738FA">
            <w:pPr>
              <w:pStyle w:val="MText"/>
              <w:rPr>
                <w:rFonts w:eastAsia="Calibri"/>
                <w:u w:val="single"/>
              </w:rPr>
            </w:pPr>
          </w:p>
          <w:p w14:paraId="5FA7CC58" w14:textId="77777777" w:rsidR="004738FA" w:rsidRPr="00282BF7" w:rsidRDefault="004738FA" w:rsidP="004738FA">
            <w:pPr>
              <w:pStyle w:val="MText"/>
              <w:rPr>
                <w:rFonts w:eastAsia="Calibri"/>
              </w:rPr>
            </w:pPr>
            <w:r w:rsidRPr="00282BF7">
              <w:rPr>
                <w:rFonts w:eastAsia="Calibri"/>
                <w:u w:val="single"/>
              </w:rPr>
              <w:t>Method of estimation:</w:t>
            </w:r>
            <w:r>
              <w:rPr>
                <w:rFonts w:eastAsia="Calibri"/>
              </w:rPr>
              <w:t xml:space="preserve"> </w:t>
            </w:r>
            <w:r w:rsidRPr="00282BF7">
              <w:rPr>
                <w:rFonts w:eastAsia="Calibri"/>
              </w:rPr>
              <w:t>Forest area within legally established protected areas / forest area 2015 * 100</w:t>
            </w:r>
          </w:p>
          <w:p w14:paraId="43572B81" w14:textId="77777777" w:rsidR="004738FA" w:rsidRDefault="004738FA" w:rsidP="004738FA">
            <w:pPr>
              <w:pStyle w:val="MText"/>
              <w:rPr>
                <w:rFonts w:eastAsia="Calibri"/>
                <w:u w:val="single"/>
              </w:rPr>
            </w:pPr>
          </w:p>
          <w:p w14:paraId="022CBE0C" w14:textId="77777777" w:rsidR="004738FA" w:rsidRPr="00655A5C" w:rsidRDefault="004738FA" w:rsidP="004738FA">
            <w:pPr>
              <w:pStyle w:val="MText"/>
              <w:rPr>
                <w:rFonts w:eastAsia="Calibri"/>
                <w:u w:val="single"/>
              </w:rPr>
            </w:pPr>
            <w:r w:rsidRPr="00655A5C">
              <w:rPr>
                <w:rFonts w:eastAsia="Calibri"/>
                <w:u w:val="single"/>
              </w:rPr>
              <w:t>Translation to dashboard/traffic light:</w:t>
            </w:r>
          </w:p>
          <w:p w14:paraId="09837F18" w14:textId="77777777" w:rsidR="004738FA" w:rsidRDefault="004738FA" w:rsidP="004738FA">
            <w:pPr>
              <w:pStyle w:val="MText"/>
              <w:rPr>
                <w:rFonts w:eastAsia="Calibri"/>
              </w:rPr>
            </w:pPr>
            <w:r w:rsidRPr="00282BF7">
              <w:rPr>
                <w:rFonts w:eastAsia="Calibri"/>
              </w:rPr>
              <w:t>The indicator value for latest reporting year is compared the indicator value for previous reporting year for assessment of continuity of progress since last report.</w:t>
            </w:r>
          </w:p>
          <w:p w14:paraId="14AF800F" w14:textId="77777777" w:rsidR="004738FA" w:rsidRPr="00282BF7" w:rsidRDefault="004738FA" w:rsidP="004738FA">
            <w:pPr>
              <w:pStyle w:val="MText"/>
              <w:rPr>
                <w:rFonts w:eastAsia="Calibri"/>
              </w:rPr>
            </w:pPr>
          </w:p>
          <w:p w14:paraId="67B89E7D" w14:textId="77777777" w:rsidR="009D5A02" w:rsidRDefault="004738FA" w:rsidP="004738FA">
            <w:pPr>
              <w:pStyle w:val="MText"/>
              <w:rPr>
                <w:rFonts w:eastAsia="Calibri"/>
              </w:rPr>
            </w:pPr>
            <w:r w:rsidRPr="00282BF7">
              <w:rPr>
                <w:rFonts w:eastAsia="Calibri"/>
              </w:rPr>
              <w:t xml:space="preserve">The ratio (r) between the current indicator value and the previously reported value is calculated; r&gt;1 means an increase in forest area within protected areas, r&lt;1 means a decrease while 1 indicates no change. A narrow interval for r has been established to indicate a stable condition, and traffic-light </w:t>
            </w:r>
            <w:proofErr w:type="spellStart"/>
            <w:r w:rsidRPr="00282BF7">
              <w:rPr>
                <w:rFonts w:eastAsia="Calibri"/>
              </w:rPr>
              <w:t>colors</w:t>
            </w:r>
            <w:proofErr w:type="spellEnd"/>
            <w:r w:rsidRPr="00282BF7">
              <w:rPr>
                <w:rFonts w:eastAsia="Calibri"/>
              </w:rPr>
              <w:t xml:space="preserve"> are assigned as follows:</w:t>
            </w:r>
          </w:p>
          <w:p w14:paraId="00C55F0E" w14:textId="14932A1C" w:rsidR="009D5A02" w:rsidRDefault="009D5A02" w:rsidP="004738FA">
            <w:pPr>
              <w:pStyle w:val="MText"/>
              <w:rPr>
                <w:rFonts w:eastAsia="Calibri"/>
                <w:u w:val="single"/>
              </w:rPr>
            </w:pPr>
          </w:p>
          <w:p w14:paraId="14C98902" w14:textId="7F806781" w:rsidR="009D5A02" w:rsidRPr="009D5A02" w:rsidRDefault="009D5A02" w:rsidP="004738FA">
            <w:pPr>
              <w:pStyle w:val="MText"/>
              <w:rPr>
                <w:rFonts w:eastAsia="Calibri"/>
              </w:rPr>
            </w:pPr>
            <w:r w:rsidRPr="009D5A02">
              <w:rPr>
                <w:rFonts w:eastAsia="Calibri"/>
                <w:noProof/>
              </w:rPr>
              <w:lastRenderedPageBreak/>
              <w:drawing>
                <wp:inline distT="0" distB="0" distL="0" distR="0" wp14:anchorId="53CBA584" wp14:editId="7796167E">
                  <wp:extent cx="1885950" cy="7524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85950" cy="752475"/>
                          </a:xfrm>
                          <a:prstGeom prst="rect">
                            <a:avLst/>
                          </a:prstGeom>
                          <a:noFill/>
                          <a:ln>
                            <a:noFill/>
                          </a:ln>
                        </pic:spPr>
                      </pic:pic>
                    </a:graphicData>
                  </a:graphic>
                </wp:inline>
              </w:drawing>
            </w:r>
          </w:p>
          <w:p w14:paraId="3557948E" w14:textId="625F657D" w:rsidR="004738FA" w:rsidRPr="00655A5C" w:rsidRDefault="004738FA" w:rsidP="004738FA">
            <w:pPr>
              <w:pStyle w:val="MText"/>
              <w:rPr>
                <w:rFonts w:eastAsia="Calibri"/>
                <w:u w:val="single"/>
              </w:rPr>
            </w:pPr>
            <w:r w:rsidRPr="00655A5C">
              <w:rPr>
                <w:rFonts w:eastAsia="Calibri"/>
                <w:u w:val="single"/>
              </w:rPr>
              <w:t>Comment:</w:t>
            </w:r>
          </w:p>
          <w:p w14:paraId="7BEACE45" w14:textId="77777777" w:rsidR="004738FA" w:rsidRDefault="004738FA" w:rsidP="004738FA">
            <w:pPr>
              <w:pStyle w:val="MText"/>
              <w:rPr>
                <w:rFonts w:eastAsia="Calibri"/>
              </w:rPr>
            </w:pPr>
            <w:r w:rsidRPr="00282BF7">
              <w:rPr>
                <w:rFonts w:eastAsia="Calibri"/>
              </w:rPr>
              <w:t xml:space="preserve">Using forest area in 2015 as denominator for estimating this indicator ensures that the time series of percentages reflect real changes in the forest area within legally established protected areas and is not affected by changes (losses or gains) in total forest area. </w:t>
            </w:r>
          </w:p>
          <w:p w14:paraId="79F8203A" w14:textId="77777777" w:rsidR="004738FA" w:rsidRPr="00282BF7" w:rsidRDefault="004738FA" w:rsidP="004738FA">
            <w:pPr>
              <w:pStyle w:val="MText"/>
              <w:rPr>
                <w:rFonts w:eastAsia="Calibri"/>
              </w:rPr>
            </w:pPr>
          </w:p>
          <w:p w14:paraId="3EF95851" w14:textId="77777777" w:rsidR="004738FA" w:rsidRDefault="004738FA" w:rsidP="004738FA">
            <w:pPr>
              <w:pStyle w:val="MText"/>
              <w:rPr>
                <w:rFonts w:eastAsia="Calibri"/>
                <w:b/>
                <w:bCs/>
                <w:i/>
                <w:iCs/>
              </w:rPr>
            </w:pPr>
            <w:r w:rsidRPr="00655A5C">
              <w:rPr>
                <w:rFonts w:eastAsia="Calibri"/>
                <w:b/>
                <w:bCs/>
                <w:i/>
                <w:iCs/>
              </w:rPr>
              <w:t>Sub-indicator 4 – Proportion of forest area under a long-term forest management plan.</w:t>
            </w:r>
          </w:p>
          <w:p w14:paraId="7EBDF004" w14:textId="77777777" w:rsidR="004738FA" w:rsidRPr="00655A5C" w:rsidRDefault="004738FA" w:rsidP="004738FA">
            <w:pPr>
              <w:pStyle w:val="MText"/>
              <w:rPr>
                <w:rFonts w:eastAsia="Calibri"/>
                <w:b/>
                <w:bCs/>
                <w:i/>
                <w:iCs/>
              </w:rPr>
            </w:pPr>
          </w:p>
          <w:p w14:paraId="57ADCC6D" w14:textId="77777777" w:rsidR="004738FA" w:rsidRDefault="004738FA" w:rsidP="004738FA">
            <w:pPr>
              <w:pStyle w:val="MText"/>
              <w:rPr>
                <w:rFonts w:eastAsia="Calibri"/>
              </w:rPr>
            </w:pPr>
            <w:r w:rsidRPr="00282BF7">
              <w:rPr>
                <w:rFonts w:eastAsia="Calibri"/>
                <w:u w:val="single"/>
              </w:rPr>
              <w:t>Unit</w:t>
            </w:r>
            <w:r w:rsidRPr="00282BF7">
              <w:rPr>
                <w:rFonts w:eastAsia="Calibri"/>
              </w:rPr>
              <w:t>:</w:t>
            </w:r>
            <w:r>
              <w:rPr>
                <w:rFonts w:eastAsia="Calibri"/>
              </w:rPr>
              <w:t xml:space="preserve"> </w:t>
            </w:r>
            <w:r w:rsidRPr="00282BF7">
              <w:rPr>
                <w:rFonts w:eastAsia="Calibri"/>
              </w:rPr>
              <w:t>Percent</w:t>
            </w:r>
          </w:p>
          <w:p w14:paraId="41885EEB" w14:textId="77777777" w:rsidR="004738FA" w:rsidRPr="00282BF7" w:rsidRDefault="004738FA" w:rsidP="004738FA">
            <w:pPr>
              <w:pStyle w:val="MText"/>
              <w:rPr>
                <w:rFonts w:eastAsia="Calibri"/>
              </w:rPr>
            </w:pPr>
          </w:p>
          <w:p w14:paraId="27AE37BD" w14:textId="77777777" w:rsidR="004738FA" w:rsidRDefault="004738FA" w:rsidP="004738FA">
            <w:pPr>
              <w:pStyle w:val="MText"/>
              <w:rPr>
                <w:rFonts w:eastAsia="Calibri"/>
              </w:rPr>
            </w:pPr>
            <w:r w:rsidRPr="00282BF7">
              <w:rPr>
                <w:rFonts w:eastAsia="Calibri"/>
                <w:u w:val="single"/>
              </w:rPr>
              <w:t>Reference year:</w:t>
            </w:r>
            <w:r>
              <w:rPr>
                <w:rFonts w:eastAsia="Calibri"/>
              </w:rPr>
              <w:t xml:space="preserve"> </w:t>
            </w:r>
            <w:r w:rsidRPr="00282BF7">
              <w:rPr>
                <w:rFonts w:eastAsia="Calibri"/>
              </w:rPr>
              <w:t>Latest reporting year</w:t>
            </w:r>
          </w:p>
          <w:p w14:paraId="619D0362" w14:textId="77777777" w:rsidR="004738FA" w:rsidRPr="00282BF7" w:rsidRDefault="004738FA" w:rsidP="004738FA">
            <w:pPr>
              <w:pStyle w:val="MText"/>
              <w:rPr>
                <w:rFonts w:eastAsia="Calibri"/>
              </w:rPr>
            </w:pPr>
          </w:p>
          <w:p w14:paraId="5F97A981" w14:textId="77777777" w:rsidR="004738FA" w:rsidRDefault="004738FA" w:rsidP="004738FA">
            <w:pPr>
              <w:pStyle w:val="MText"/>
              <w:rPr>
                <w:rFonts w:eastAsia="Calibri"/>
              </w:rPr>
            </w:pPr>
            <w:r w:rsidRPr="00282BF7">
              <w:rPr>
                <w:rFonts w:eastAsia="Calibri"/>
                <w:u w:val="single"/>
              </w:rPr>
              <w:t>Method of estimation:</w:t>
            </w:r>
            <w:r>
              <w:rPr>
                <w:rFonts w:eastAsia="Calibri"/>
              </w:rPr>
              <w:t xml:space="preserve"> </w:t>
            </w:r>
            <w:r w:rsidRPr="00282BF7">
              <w:rPr>
                <w:rFonts w:eastAsia="Calibri"/>
              </w:rPr>
              <w:t xml:space="preserve">Forest area under a </w:t>
            </w:r>
            <w:proofErr w:type="gramStart"/>
            <w:r w:rsidRPr="00282BF7">
              <w:rPr>
                <w:rFonts w:eastAsia="Calibri"/>
              </w:rPr>
              <w:t>long term</w:t>
            </w:r>
            <w:proofErr w:type="gramEnd"/>
            <w:r w:rsidRPr="00282BF7">
              <w:rPr>
                <w:rFonts w:eastAsia="Calibri"/>
              </w:rPr>
              <w:t xml:space="preserve"> forest management plan / forest area 2015 * 100</w:t>
            </w:r>
          </w:p>
          <w:p w14:paraId="584EB113" w14:textId="77777777" w:rsidR="004738FA" w:rsidRPr="00282BF7" w:rsidRDefault="004738FA" w:rsidP="004738FA">
            <w:pPr>
              <w:pStyle w:val="MText"/>
              <w:rPr>
                <w:rFonts w:eastAsia="Calibri"/>
              </w:rPr>
            </w:pPr>
          </w:p>
          <w:p w14:paraId="5DEBFF5D" w14:textId="77777777" w:rsidR="004738FA" w:rsidRDefault="004738FA" w:rsidP="004738FA">
            <w:pPr>
              <w:pStyle w:val="MText"/>
              <w:rPr>
                <w:rFonts w:eastAsia="Calibri"/>
              </w:rPr>
            </w:pPr>
            <w:r w:rsidRPr="00282BF7">
              <w:rPr>
                <w:rFonts w:eastAsia="Calibri"/>
                <w:u w:val="single"/>
              </w:rPr>
              <w:t>Translation to dashboard/traffic light:</w:t>
            </w:r>
            <w:r>
              <w:rPr>
                <w:rFonts w:eastAsia="Calibri"/>
                <w:u w:val="single"/>
              </w:rPr>
              <w:t xml:space="preserve"> </w:t>
            </w:r>
            <w:r w:rsidRPr="00282BF7">
              <w:rPr>
                <w:rFonts w:eastAsia="Calibri"/>
              </w:rPr>
              <w:t>The indicator value for latest reporting year is compared with the indicator value for previous reporting year for assessment of continuity of progress since last report.</w:t>
            </w:r>
          </w:p>
          <w:p w14:paraId="41B08E58" w14:textId="77777777" w:rsidR="004738FA" w:rsidRPr="00282BF7" w:rsidRDefault="004738FA" w:rsidP="004738FA">
            <w:pPr>
              <w:pStyle w:val="MText"/>
              <w:rPr>
                <w:rFonts w:eastAsia="Calibri"/>
              </w:rPr>
            </w:pPr>
          </w:p>
          <w:p w14:paraId="75F7A106" w14:textId="17C4484A" w:rsidR="004738FA" w:rsidRDefault="004738FA" w:rsidP="009D5A02">
            <w:pPr>
              <w:pStyle w:val="MText"/>
              <w:rPr>
                <w:rFonts w:eastAsia="Calibri"/>
              </w:rPr>
            </w:pPr>
            <w:r w:rsidRPr="00282BF7">
              <w:rPr>
                <w:rFonts w:eastAsia="Calibri"/>
              </w:rPr>
              <w:t xml:space="preserve">The ratio (r) between the current indicator value and the previously reported value is calculated; r&gt;1 means an increase in areas under forest management plan, r&lt;1 means a decrease while 1 indicates no change. A narrow interval for r has been established to indicate a stable condition, and traffic-light </w:t>
            </w:r>
            <w:proofErr w:type="spellStart"/>
            <w:r w:rsidRPr="00282BF7">
              <w:rPr>
                <w:rFonts w:eastAsia="Calibri"/>
              </w:rPr>
              <w:t>colors</w:t>
            </w:r>
            <w:proofErr w:type="spellEnd"/>
            <w:r w:rsidRPr="00282BF7">
              <w:rPr>
                <w:rFonts w:eastAsia="Calibri"/>
              </w:rPr>
              <w:t xml:space="preserve"> are assigned as follows:</w:t>
            </w:r>
          </w:p>
          <w:p w14:paraId="6015EC96" w14:textId="44222F0D" w:rsidR="009D5A02" w:rsidRDefault="009D5A02" w:rsidP="009D5A02">
            <w:pPr>
              <w:pStyle w:val="MText"/>
              <w:rPr>
                <w:rFonts w:eastAsia="Calibri"/>
                <w:u w:val="single"/>
              </w:rPr>
            </w:pPr>
          </w:p>
          <w:p w14:paraId="6E73E986" w14:textId="28F4B9C6" w:rsidR="009D5A02" w:rsidRPr="009D5A02" w:rsidRDefault="009D5A02" w:rsidP="009D5A02">
            <w:pPr>
              <w:pStyle w:val="MText"/>
              <w:rPr>
                <w:rFonts w:eastAsia="Calibri"/>
              </w:rPr>
            </w:pPr>
            <w:r w:rsidRPr="009D5A02">
              <w:rPr>
                <w:rFonts w:eastAsia="Calibri"/>
                <w:noProof/>
              </w:rPr>
              <w:drawing>
                <wp:inline distT="0" distB="0" distL="0" distR="0" wp14:anchorId="45288D7F" wp14:editId="074CD0D9">
                  <wp:extent cx="1885950" cy="7524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85950" cy="752475"/>
                          </a:xfrm>
                          <a:prstGeom prst="rect">
                            <a:avLst/>
                          </a:prstGeom>
                          <a:noFill/>
                          <a:ln>
                            <a:noFill/>
                          </a:ln>
                        </pic:spPr>
                      </pic:pic>
                    </a:graphicData>
                  </a:graphic>
                </wp:inline>
              </w:drawing>
            </w:r>
          </w:p>
          <w:p w14:paraId="01E16879" w14:textId="3F71A454" w:rsidR="009D5A02" w:rsidRDefault="009D5A02" w:rsidP="009D5A02">
            <w:pPr>
              <w:pStyle w:val="MText"/>
              <w:rPr>
                <w:rFonts w:eastAsia="Calibri"/>
                <w:u w:val="single"/>
              </w:rPr>
            </w:pPr>
          </w:p>
          <w:p w14:paraId="37E96961" w14:textId="77777777" w:rsidR="004738FA" w:rsidRPr="00670F4A" w:rsidRDefault="004738FA" w:rsidP="004738FA">
            <w:pPr>
              <w:pStyle w:val="MText"/>
              <w:rPr>
                <w:rFonts w:eastAsia="Calibri"/>
                <w:u w:val="single"/>
              </w:rPr>
            </w:pPr>
            <w:r w:rsidRPr="00670F4A">
              <w:rPr>
                <w:rFonts w:eastAsia="Calibri"/>
                <w:u w:val="single"/>
              </w:rPr>
              <w:t>Comment:</w:t>
            </w:r>
          </w:p>
          <w:p w14:paraId="107C6E01" w14:textId="77777777" w:rsidR="004738FA" w:rsidRPr="00282BF7" w:rsidRDefault="004738FA" w:rsidP="004738FA">
            <w:pPr>
              <w:pStyle w:val="MText"/>
              <w:rPr>
                <w:rFonts w:eastAsia="Calibri"/>
              </w:rPr>
            </w:pPr>
            <w:r w:rsidRPr="00282BF7">
              <w:rPr>
                <w:rFonts w:eastAsia="Calibri"/>
              </w:rPr>
              <w:t xml:space="preserve">Using forest area in 2015 as denominator for estimating this indicator ensures that the time series of percentages reflect real changes in the forest area under forest management plan and is not affected by changes (losses or gains) in total forest area. </w:t>
            </w:r>
          </w:p>
          <w:p w14:paraId="1094E5F2" w14:textId="77777777" w:rsidR="004738FA" w:rsidRDefault="004738FA" w:rsidP="004738FA">
            <w:pPr>
              <w:pStyle w:val="MText"/>
              <w:rPr>
                <w:rFonts w:eastAsia="Calibri"/>
                <w:b/>
                <w:bCs/>
                <w:i/>
                <w:iCs/>
              </w:rPr>
            </w:pPr>
          </w:p>
          <w:p w14:paraId="3B4636A0" w14:textId="77777777" w:rsidR="004738FA" w:rsidRDefault="004738FA" w:rsidP="004738FA">
            <w:pPr>
              <w:pStyle w:val="MText"/>
              <w:rPr>
                <w:rFonts w:eastAsia="Calibri"/>
                <w:b/>
                <w:bCs/>
                <w:i/>
                <w:iCs/>
              </w:rPr>
            </w:pPr>
            <w:r w:rsidRPr="00670F4A">
              <w:rPr>
                <w:rFonts w:eastAsia="Calibri"/>
                <w:b/>
                <w:bCs/>
                <w:i/>
                <w:iCs/>
              </w:rPr>
              <w:t>Sub-indicator 5 – Forest area under an independently verified forest management certification scheme.</w:t>
            </w:r>
          </w:p>
          <w:p w14:paraId="0FAA7D6E" w14:textId="77777777" w:rsidR="004738FA" w:rsidRPr="00670F4A" w:rsidRDefault="004738FA" w:rsidP="004738FA">
            <w:pPr>
              <w:pStyle w:val="MText"/>
              <w:rPr>
                <w:rFonts w:eastAsia="Calibri"/>
                <w:b/>
                <w:bCs/>
                <w:i/>
                <w:iCs/>
              </w:rPr>
            </w:pPr>
          </w:p>
          <w:p w14:paraId="1A9AAE9E" w14:textId="77777777" w:rsidR="004738FA" w:rsidRDefault="004738FA" w:rsidP="004738FA">
            <w:pPr>
              <w:pStyle w:val="MText"/>
              <w:rPr>
                <w:rFonts w:eastAsia="Calibri"/>
              </w:rPr>
            </w:pPr>
            <w:r w:rsidRPr="00282BF7">
              <w:rPr>
                <w:rFonts w:eastAsia="Calibri"/>
                <w:u w:val="single"/>
              </w:rPr>
              <w:t>Unit</w:t>
            </w:r>
            <w:r w:rsidRPr="00282BF7">
              <w:rPr>
                <w:rFonts w:eastAsia="Calibri"/>
              </w:rPr>
              <w:t>:</w:t>
            </w:r>
            <w:r>
              <w:rPr>
                <w:rFonts w:eastAsia="Calibri"/>
              </w:rPr>
              <w:t xml:space="preserve"> Thousand h</w:t>
            </w:r>
            <w:r w:rsidRPr="00282BF7">
              <w:rPr>
                <w:rFonts w:eastAsia="Calibri"/>
              </w:rPr>
              <w:t>ectares</w:t>
            </w:r>
          </w:p>
          <w:p w14:paraId="3B29AC14" w14:textId="77777777" w:rsidR="004738FA" w:rsidRPr="00282BF7" w:rsidRDefault="004738FA" w:rsidP="004738FA">
            <w:pPr>
              <w:pStyle w:val="MText"/>
              <w:rPr>
                <w:rFonts w:eastAsia="Calibri"/>
              </w:rPr>
            </w:pPr>
          </w:p>
          <w:p w14:paraId="48BB5C73" w14:textId="77777777" w:rsidR="004738FA" w:rsidRDefault="004738FA" w:rsidP="004738FA">
            <w:pPr>
              <w:pStyle w:val="MText"/>
              <w:rPr>
                <w:rFonts w:eastAsia="Calibri"/>
              </w:rPr>
            </w:pPr>
            <w:r w:rsidRPr="00282BF7">
              <w:rPr>
                <w:rFonts w:eastAsia="Calibri"/>
                <w:u w:val="single"/>
              </w:rPr>
              <w:t>Reference year:</w:t>
            </w:r>
            <w:r>
              <w:rPr>
                <w:rFonts w:eastAsia="Calibri"/>
              </w:rPr>
              <w:t xml:space="preserve"> </w:t>
            </w:r>
            <w:r w:rsidRPr="00282BF7">
              <w:rPr>
                <w:rFonts w:eastAsia="Calibri"/>
              </w:rPr>
              <w:t>Latest reporting year (as of June 30)</w:t>
            </w:r>
          </w:p>
          <w:p w14:paraId="56D671CE" w14:textId="77777777" w:rsidR="004738FA" w:rsidRPr="00282BF7" w:rsidRDefault="004738FA" w:rsidP="004738FA">
            <w:pPr>
              <w:pStyle w:val="MText"/>
              <w:rPr>
                <w:rFonts w:eastAsia="Calibri"/>
              </w:rPr>
            </w:pPr>
          </w:p>
          <w:p w14:paraId="7BD8D75B" w14:textId="77777777" w:rsidR="004738FA" w:rsidRDefault="004738FA" w:rsidP="004738FA">
            <w:pPr>
              <w:pStyle w:val="MText"/>
              <w:rPr>
                <w:rFonts w:eastAsia="Calibri"/>
              </w:rPr>
            </w:pPr>
            <w:r w:rsidRPr="00282BF7">
              <w:rPr>
                <w:rFonts w:eastAsia="Calibri"/>
                <w:u w:val="single"/>
              </w:rPr>
              <w:t>Method of estimation:</w:t>
            </w:r>
            <w:r>
              <w:rPr>
                <w:rFonts w:eastAsia="Calibri"/>
              </w:rPr>
              <w:t xml:space="preserve"> </w:t>
            </w:r>
            <w:r w:rsidRPr="00282BF7">
              <w:rPr>
                <w:rFonts w:eastAsia="Calibri"/>
              </w:rPr>
              <w:t>Data is collected directly from the databases of each certification scheme and provided to countries for validation.</w:t>
            </w:r>
          </w:p>
          <w:p w14:paraId="48CAB100" w14:textId="77777777" w:rsidR="004738FA" w:rsidRPr="00282BF7" w:rsidRDefault="004738FA" w:rsidP="004738FA">
            <w:pPr>
              <w:pStyle w:val="MText"/>
              <w:rPr>
                <w:rFonts w:eastAsia="Calibri"/>
              </w:rPr>
            </w:pPr>
          </w:p>
          <w:p w14:paraId="22F5190E" w14:textId="77777777" w:rsidR="004738FA" w:rsidRDefault="004738FA" w:rsidP="004738FA">
            <w:pPr>
              <w:pStyle w:val="MText"/>
              <w:rPr>
                <w:rFonts w:eastAsia="Calibri"/>
              </w:rPr>
            </w:pPr>
            <w:r w:rsidRPr="00282BF7">
              <w:rPr>
                <w:rFonts w:eastAsia="Calibri"/>
                <w:u w:val="single"/>
              </w:rPr>
              <w:t>Translation to dashboard/traffic light:</w:t>
            </w:r>
            <w:r>
              <w:rPr>
                <w:rFonts w:eastAsia="Calibri"/>
                <w:u w:val="single"/>
              </w:rPr>
              <w:t xml:space="preserve"> </w:t>
            </w:r>
            <w:r w:rsidRPr="00282BF7">
              <w:rPr>
                <w:rFonts w:eastAsia="Calibri"/>
              </w:rPr>
              <w:t>The indicator value for latest reporting year is compared with the indicator value for previous reporting year for assessment of continuity of progress since last report.</w:t>
            </w:r>
          </w:p>
          <w:p w14:paraId="2FCEEF93" w14:textId="77777777" w:rsidR="004738FA" w:rsidRPr="00282BF7" w:rsidRDefault="004738FA" w:rsidP="004738FA">
            <w:pPr>
              <w:pStyle w:val="MText"/>
              <w:rPr>
                <w:rFonts w:eastAsia="Calibri"/>
              </w:rPr>
            </w:pPr>
          </w:p>
          <w:p w14:paraId="354200B5" w14:textId="75021A7E" w:rsidR="004738FA" w:rsidRDefault="004738FA" w:rsidP="004738FA">
            <w:pPr>
              <w:pStyle w:val="MText"/>
              <w:rPr>
                <w:rFonts w:eastAsia="Calibri"/>
              </w:rPr>
            </w:pPr>
            <w:r w:rsidRPr="00282BF7">
              <w:rPr>
                <w:rFonts w:eastAsia="Calibri"/>
              </w:rPr>
              <w:t>The ratio (r) between the current indicator value and the previously reported value is calculated; r&gt;1 means an increase in areas under an independent forest management certification scheme, r&lt;1 means a decrease while 1 indicates no change. A</w:t>
            </w:r>
          </w:p>
          <w:p w14:paraId="425DD752" w14:textId="77777777" w:rsidR="009D5A02" w:rsidRDefault="004738FA" w:rsidP="009D5A02">
            <w:pPr>
              <w:pStyle w:val="MText"/>
              <w:rPr>
                <w:rFonts w:eastAsia="Calibri"/>
              </w:rPr>
            </w:pPr>
            <w:r w:rsidRPr="00282BF7">
              <w:rPr>
                <w:rFonts w:eastAsia="Calibri"/>
              </w:rPr>
              <w:t xml:space="preserve">small interval for r has been established to indicate a stable condition, and traffic-light </w:t>
            </w:r>
            <w:proofErr w:type="spellStart"/>
            <w:r w:rsidRPr="00282BF7">
              <w:rPr>
                <w:rFonts w:eastAsia="Calibri"/>
              </w:rPr>
              <w:t>colors</w:t>
            </w:r>
            <w:proofErr w:type="spellEnd"/>
            <w:r w:rsidRPr="00282BF7">
              <w:rPr>
                <w:rFonts w:eastAsia="Calibri"/>
              </w:rPr>
              <w:t xml:space="preserve"> are assigned as follows:</w:t>
            </w:r>
          </w:p>
          <w:p w14:paraId="2F51C2C5" w14:textId="548FA4DF" w:rsidR="004738FA" w:rsidRPr="00282BF7" w:rsidRDefault="009D5A02" w:rsidP="009D5A02">
            <w:pPr>
              <w:pStyle w:val="MText"/>
              <w:rPr>
                <w:rFonts w:eastAsia="Calibri"/>
              </w:rPr>
            </w:pPr>
            <w:r>
              <w:rPr>
                <w:rFonts w:eastAsia="Calibri"/>
                <w:noProof/>
              </w:rPr>
              <w:drawing>
                <wp:inline distT="0" distB="0" distL="0" distR="0" wp14:anchorId="1ACB19F7" wp14:editId="7A958155">
                  <wp:extent cx="1885950" cy="7524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85950" cy="752475"/>
                          </a:xfrm>
                          <a:prstGeom prst="rect">
                            <a:avLst/>
                          </a:prstGeom>
                          <a:noFill/>
                          <a:ln>
                            <a:noFill/>
                          </a:ln>
                        </pic:spPr>
                      </pic:pic>
                    </a:graphicData>
                  </a:graphic>
                </wp:inline>
              </w:drawing>
            </w:r>
            <w:r w:rsidR="004738FA" w:rsidRPr="00282BF7">
              <w:rPr>
                <w:rFonts w:eastAsia="Calibri"/>
              </w:rPr>
              <w:tab/>
            </w:r>
          </w:p>
          <w:p w14:paraId="038621BF" w14:textId="71DE2D19" w:rsidR="004738FA" w:rsidRPr="00670F4A" w:rsidRDefault="004738FA" w:rsidP="009D5A02">
            <w:pPr>
              <w:rPr>
                <w:rFonts w:eastAsia="Calibri"/>
                <w:u w:val="single"/>
              </w:rPr>
            </w:pPr>
            <w:r w:rsidRPr="00282BF7">
              <w:rPr>
                <w:rFonts w:eastAsia="Calibri" w:cstheme="minorHAnsi"/>
                <w:u w:val="single"/>
              </w:rPr>
              <w:br w:type="page"/>
            </w:r>
            <w:r w:rsidRPr="00670F4A">
              <w:rPr>
                <w:rFonts w:eastAsia="Calibri"/>
                <w:u w:val="single"/>
              </w:rPr>
              <w:t>Comments:</w:t>
            </w:r>
          </w:p>
          <w:p w14:paraId="6CBF5253" w14:textId="4BC95DF3" w:rsidR="004738FA" w:rsidRPr="00422595" w:rsidRDefault="004738FA" w:rsidP="004738FA">
            <w:pPr>
              <w:pStyle w:val="MText"/>
              <w:rPr>
                <w:rFonts w:cstheme="minorHAnsi"/>
                <w:b/>
                <w:sz w:val="28"/>
                <w:lang w:val="es-419"/>
              </w:rPr>
            </w:pPr>
            <w:r w:rsidRPr="00282BF7">
              <w:rPr>
                <w:rFonts w:eastAsia="Calibri"/>
              </w:rPr>
              <w:t>Using June 30 as the date for reporting, allows for the certification bodies to have their databases updated so they can provide information to FAO by end of the year, and then be included in the annual reporting to SDG in the beginning of the following year.</w:t>
            </w:r>
          </w:p>
          <w:p w14:paraId="75668AC2" w14:textId="0090D894" w:rsidR="007B2E39" w:rsidRPr="004D68B6" w:rsidRDefault="007B2E39" w:rsidP="008A7300">
            <w:pPr>
              <w:spacing w:after="0" w:line="240" w:lineRule="auto"/>
              <w:rPr>
                <w:rFonts w:ascii="Calibri" w:eastAsia="Times New Roman" w:hAnsi="Calibri" w:cs="Calibri"/>
                <w:color w:val="000000"/>
              </w:rPr>
            </w:pPr>
          </w:p>
        </w:tc>
      </w:tr>
    </w:tbl>
    <w:p w14:paraId="5B3D21C9" w14:textId="5B399369" w:rsidR="0039535F" w:rsidRDefault="0039535F" w:rsidP="00F07040">
      <w:pPr>
        <w:pStyle w:val="MText"/>
      </w:pPr>
    </w:p>
    <w:sectPr w:rsidR="0039535F" w:rsidSect="00042B85">
      <w:footerReference w:type="default" r:id="rId13"/>
      <w:footerReference w:type="first" r:id="rId14"/>
      <w:endnotePr>
        <w:numFmt w:val="decimal"/>
      </w:endnotePr>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01E293" w14:textId="77777777" w:rsidR="0051738B" w:rsidRDefault="0051738B" w:rsidP="006B0512">
      <w:pPr>
        <w:spacing w:after="0" w:line="240" w:lineRule="auto"/>
      </w:pPr>
      <w:r>
        <w:separator/>
      </w:r>
    </w:p>
  </w:endnote>
  <w:endnote w:type="continuationSeparator" w:id="0">
    <w:p w14:paraId="3452271E" w14:textId="77777777" w:rsidR="0051738B" w:rsidRDefault="0051738B" w:rsidP="006B05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19160148"/>
      <w:docPartObj>
        <w:docPartGallery w:val="Page Numbers (Bottom of Page)"/>
        <w:docPartUnique/>
      </w:docPartObj>
    </w:sdtPr>
    <w:sdtEndPr>
      <w:rPr>
        <w:noProof/>
      </w:rPr>
    </w:sdtEndPr>
    <w:sdtContent>
      <w:p w14:paraId="4C970386" w14:textId="380AFBC8" w:rsidR="0051738B" w:rsidRDefault="005173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32AF3D4" w14:textId="77777777" w:rsidR="0051738B" w:rsidRDefault="0051738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97550264"/>
      <w:docPartObj>
        <w:docPartGallery w:val="Page Numbers (Bottom of Page)"/>
        <w:docPartUnique/>
      </w:docPartObj>
    </w:sdtPr>
    <w:sdtEndPr>
      <w:rPr>
        <w:noProof/>
      </w:rPr>
    </w:sdtEndPr>
    <w:sdtContent>
      <w:p w14:paraId="6CE6689A" w14:textId="01660290" w:rsidR="0051738B" w:rsidRDefault="005173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2FF1B3E" w14:textId="77777777" w:rsidR="0051738B" w:rsidRDefault="005173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27538E" w14:textId="77777777" w:rsidR="0051738B" w:rsidRDefault="0051738B" w:rsidP="006B0512">
      <w:pPr>
        <w:spacing w:after="0" w:line="240" w:lineRule="auto"/>
      </w:pPr>
      <w:r>
        <w:separator/>
      </w:r>
    </w:p>
  </w:footnote>
  <w:footnote w:type="continuationSeparator" w:id="0">
    <w:p w14:paraId="58C57B09" w14:textId="77777777" w:rsidR="0051738B" w:rsidRDefault="0051738B" w:rsidP="006B0512">
      <w:pPr>
        <w:spacing w:after="0" w:line="240" w:lineRule="auto"/>
      </w:pPr>
      <w:r>
        <w:continuationSeparator/>
      </w:r>
    </w:p>
  </w:footnote>
  <w:footnote w:id="1">
    <w:p w14:paraId="6ADCDC03" w14:textId="77777777" w:rsidR="00993546" w:rsidRPr="00DA4C8D" w:rsidRDefault="00993546" w:rsidP="00993546">
      <w:pPr>
        <w:pStyle w:val="FootnoteText"/>
        <w:rPr>
          <w:sz w:val="18"/>
          <w:lang w:val="en-US"/>
        </w:rPr>
      </w:pPr>
      <w:r w:rsidRPr="00DA4C8D">
        <w:rPr>
          <w:rStyle w:val="FootnoteReference"/>
          <w:sz w:val="16"/>
        </w:rPr>
        <w:footnoteRef/>
      </w:r>
      <w:r w:rsidRPr="00DA4C8D">
        <w:rPr>
          <w:sz w:val="16"/>
        </w:rPr>
        <w:t xml:space="preserve"> </w:t>
      </w:r>
      <w:r w:rsidRPr="00DA4C8D">
        <w:rPr>
          <w:sz w:val="16"/>
          <w:lang w:val="en-US"/>
        </w:rPr>
        <w:t xml:space="preserve">Global Forest Resources Assessment 2015 – Terms and Definitions. </w:t>
      </w:r>
      <w:hyperlink r:id="rId1" w:history="1">
        <w:r w:rsidRPr="00DA4C8D">
          <w:rPr>
            <w:rStyle w:val="Hyperlink"/>
            <w:sz w:val="16"/>
            <w:lang w:val="en-US"/>
          </w:rPr>
          <w:t>http://www.fao.org/docrep/017/ap862e/ap862e00.pdf</w:t>
        </w:r>
      </w:hyperlink>
      <w:r w:rsidRPr="00DA4C8D">
        <w:rPr>
          <w:sz w:val="16"/>
          <w:lang w:val="en-US"/>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E"/>
    <w:multiLevelType w:val="singleLevel"/>
    <w:tmpl w:val="0000000E"/>
    <w:name w:val="WW8Num13"/>
    <w:lvl w:ilvl="0">
      <w:start w:val="1"/>
      <w:numFmt w:val="decimal"/>
      <w:lvlText w:val="%1."/>
      <w:lvlJc w:val="left"/>
      <w:pPr>
        <w:tabs>
          <w:tab w:val="num" w:pos="360"/>
        </w:tabs>
        <w:ind w:left="360" w:hanging="360"/>
      </w:pPr>
    </w:lvl>
  </w:abstractNum>
  <w:abstractNum w:abstractNumId="1" w15:restartNumberingAfterBreak="0">
    <w:nsid w:val="00000041"/>
    <w:multiLevelType w:val="singleLevel"/>
    <w:tmpl w:val="00000041"/>
    <w:name w:val="WW8Num65"/>
    <w:lvl w:ilvl="0">
      <w:start w:val="1"/>
      <w:numFmt w:val="decimal"/>
      <w:lvlText w:val="%1."/>
      <w:lvlJc w:val="left"/>
      <w:pPr>
        <w:tabs>
          <w:tab w:val="num" w:pos="360"/>
        </w:tabs>
        <w:ind w:left="360" w:hanging="360"/>
      </w:pPr>
    </w:lvl>
  </w:abstractNum>
  <w:abstractNum w:abstractNumId="2" w15:restartNumberingAfterBreak="0">
    <w:nsid w:val="00000042"/>
    <w:multiLevelType w:val="singleLevel"/>
    <w:tmpl w:val="00000042"/>
    <w:lvl w:ilvl="0">
      <w:start w:val="1"/>
      <w:numFmt w:val="decimal"/>
      <w:lvlText w:val="%1."/>
      <w:lvlJc w:val="left"/>
      <w:pPr>
        <w:tabs>
          <w:tab w:val="num" w:pos="360"/>
        </w:tabs>
        <w:ind w:left="360" w:hanging="360"/>
      </w:pPr>
    </w:lvl>
  </w:abstractNum>
  <w:abstractNum w:abstractNumId="3" w15:restartNumberingAfterBreak="0">
    <w:nsid w:val="083C0DEE"/>
    <w:multiLevelType w:val="hybridMultilevel"/>
    <w:tmpl w:val="25B62212"/>
    <w:lvl w:ilvl="0" w:tplc="92D693E0">
      <w:start w:val="1"/>
      <w:numFmt w:val="decimal"/>
      <w:lvlText w:val="%1."/>
      <w:lvlJc w:val="left"/>
      <w:pPr>
        <w:ind w:left="360" w:hanging="360"/>
      </w:pPr>
      <w:rPr>
        <w:rFonts w:ascii="Times New Roman" w:hAnsi="Times New Roman" w:cs="Times New Roman" w:hint="default"/>
        <w:sz w:val="19"/>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E377D72"/>
    <w:multiLevelType w:val="hybridMultilevel"/>
    <w:tmpl w:val="2196C8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E6B5F65"/>
    <w:multiLevelType w:val="hybridMultilevel"/>
    <w:tmpl w:val="211EDDB8"/>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4523FAF"/>
    <w:multiLevelType w:val="singleLevel"/>
    <w:tmpl w:val="00000042"/>
    <w:lvl w:ilvl="0">
      <w:start w:val="1"/>
      <w:numFmt w:val="decimal"/>
      <w:lvlText w:val="%1."/>
      <w:lvlJc w:val="left"/>
      <w:pPr>
        <w:tabs>
          <w:tab w:val="num" w:pos="360"/>
        </w:tabs>
        <w:ind w:left="360" w:hanging="360"/>
      </w:pPr>
    </w:lvl>
  </w:abstractNum>
  <w:abstractNum w:abstractNumId="7" w15:restartNumberingAfterBreak="0">
    <w:nsid w:val="1ABE2BDE"/>
    <w:multiLevelType w:val="hybridMultilevel"/>
    <w:tmpl w:val="FAAAF6FC"/>
    <w:lvl w:ilvl="0" w:tplc="0000000E">
      <w:start w:val="1"/>
      <w:numFmt w:val="decimal"/>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790014"/>
    <w:multiLevelType w:val="hybridMultilevel"/>
    <w:tmpl w:val="7F60F0BE"/>
    <w:lvl w:ilvl="0" w:tplc="190EB728">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05000E"/>
    <w:multiLevelType w:val="hybridMultilevel"/>
    <w:tmpl w:val="7188CE58"/>
    <w:lvl w:ilvl="0" w:tplc="0000000E">
      <w:start w:val="1"/>
      <w:numFmt w:val="decimal"/>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03E7B07"/>
    <w:multiLevelType w:val="hybridMultilevel"/>
    <w:tmpl w:val="FAAAF6FC"/>
    <w:lvl w:ilvl="0" w:tplc="0000000E">
      <w:start w:val="1"/>
      <w:numFmt w:val="decimal"/>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EAF7AD2"/>
    <w:multiLevelType w:val="hybridMultilevel"/>
    <w:tmpl w:val="82A8E7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A355FE9"/>
    <w:multiLevelType w:val="hybridMultilevel"/>
    <w:tmpl w:val="7A0457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F4C3A12"/>
    <w:multiLevelType w:val="hybridMultilevel"/>
    <w:tmpl w:val="E71E2F26"/>
    <w:lvl w:ilvl="0" w:tplc="D90EA94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C9428AE"/>
    <w:multiLevelType w:val="hybridMultilevel"/>
    <w:tmpl w:val="C5AE4D08"/>
    <w:lvl w:ilvl="0" w:tplc="0000000E">
      <w:start w:val="1"/>
      <w:numFmt w:val="decimal"/>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15171D2"/>
    <w:multiLevelType w:val="hybridMultilevel"/>
    <w:tmpl w:val="006224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75871353"/>
    <w:multiLevelType w:val="hybridMultilevel"/>
    <w:tmpl w:val="FAAAF6FC"/>
    <w:lvl w:ilvl="0" w:tplc="0000000E">
      <w:start w:val="1"/>
      <w:numFmt w:val="decimal"/>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8"/>
  </w:num>
  <w:num w:numId="3">
    <w:abstractNumId w:val="14"/>
  </w:num>
  <w:num w:numId="4">
    <w:abstractNumId w:val="11"/>
  </w:num>
  <w:num w:numId="5">
    <w:abstractNumId w:val="5"/>
  </w:num>
  <w:num w:numId="6">
    <w:abstractNumId w:val="3"/>
  </w:num>
  <w:num w:numId="7">
    <w:abstractNumId w:val="16"/>
  </w:num>
  <w:num w:numId="8">
    <w:abstractNumId w:val="0"/>
  </w:num>
  <w:num w:numId="9">
    <w:abstractNumId w:val="1"/>
  </w:num>
  <w:num w:numId="10">
    <w:abstractNumId w:val="2"/>
  </w:num>
  <w:num w:numId="11">
    <w:abstractNumId w:val="6"/>
  </w:num>
  <w:num w:numId="12">
    <w:abstractNumId w:val="9"/>
  </w:num>
  <w:num w:numId="13">
    <w:abstractNumId w:val="15"/>
  </w:num>
  <w:num w:numId="14">
    <w:abstractNumId w:val="4"/>
  </w:num>
  <w:num w:numId="15">
    <w:abstractNumId w:val="10"/>
  </w:num>
  <w:num w:numId="16">
    <w:abstractNumId w:val="17"/>
  </w:num>
  <w:num w:numId="17">
    <w:abstractNumId w:val="7"/>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cumentProtection w:edit="forms" w:enforcement="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68B6"/>
    <w:rsid w:val="00000456"/>
    <w:rsid w:val="000149A9"/>
    <w:rsid w:val="0001762F"/>
    <w:rsid w:val="00042B85"/>
    <w:rsid w:val="000434EA"/>
    <w:rsid w:val="000639BB"/>
    <w:rsid w:val="000716CF"/>
    <w:rsid w:val="00073907"/>
    <w:rsid w:val="00091352"/>
    <w:rsid w:val="0009691A"/>
    <w:rsid w:val="000A24C4"/>
    <w:rsid w:val="000B1F92"/>
    <w:rsid w:val="000B6681"/>
    <w:rsid w:val="000C6D3A"/>
    <w:rsid w:val="000E4EFE"/>
    <w:rsid w:val="001034ED"/>
    <w:rsid w:val="001127E6"/>
    <w:rsid w:val="0013388C"/>
    <w:rsid w:val="0014660A"/>
    <w:rsid w:val="0015178E"/>
    <w:rsid w:val="00151B76"/>
    <w:rsid w:val="0015690D"/>
    <w:rsid w:val="0015725E"/>
    <w:rsid w:val="001734AE"/>
    <w:rsid w:val="00183788"/>
    <w:rsid w:val="0018734D"/>
    <w:rsid w:val="001A0E35"/>
    <w:rsid w:val="001A6F28"/>
    <w:rsid w:val="001C1BC2"/>
    <w:rsid w:val="001F0C55"/>
    <w:rsid w:val="001F31C6"/>
    <w:rsid w:val="00202B2D"/>
    <w:rsid w:val="0020618B"/>
    <w:rsid w:val="0022035F"/>
    <w:rsid w:val="00227C1B"/>
    <w:rsid w:val="002313D6"/>
    <w:rsid w:val="00235F8D"/>
    <w:rsid w:val="002525CC"/>
    <w:rsid w:val="00266557"/>
    <w:rsid w:val="002806B7"/>
    <w:rsid w:val="002932FE"/>
    <w:rsid w:val="0029558C"/>
    <w:rsid w:val="002A631A"/>
    <w:rsid w:val="002A6E7E"/>
    <w:rsid w:val="002C550A"/>
    <w:rsid w:val="002E449E"/>
    <w:rsid w:val="002E6DA3"/>
    <w:rsid w:val="00316CFE"/>
    <w:rsid w:val="00325D2B"/>
    <w:rsid w:val="00344199"/>
    <w:rsid w:val="00352386"/>
    <w:rsid w:val="0035311B"/>
    <w:rsid w:val="00355460"/>
    <w:rsid w:val="0036403E"/>
    <w:rsid w:val="00372D21"/>
    <w:rsid w:val="00380958"/>
    <w:rsid w:val="0039535F"/>
    <w:rsid w:val="003A3746"/>
    <w:rsid w:val="003B3C76"/>
    <w:rsid w:val="003E7389"/>
    <w:rsid w:val="003E7F33"/>
    <w:rsid w:val="00406983"/>
    <w:rsid w:val="00413337"/>
    <w:rsid w:val="00416A6D"/>
    <w:rsid w:val="00417B9F"/>
    <w:rsid w:val="00430958"/>
    <w:rsid w:val="00431B2F"/>
    <w:rsid w:val="00433D18"/>
    <w:rsid w:val="00462DB8"/>
    <w:rsid w:val="00463306"/>
    <w:rsid w:val="00470BED"/>
    <w:rsid w:val="004738FA"/>
    <w:rsid w:val="00490C58"/>
    <w:rsid w:val="004962C5"/>
    <w:rsid w:val="004A31AD"/>
    <w:rsid w:val="004C06A8"/>
    <w:rsid w:val="004C665C"/>
    <w:rsid w:val="004D6154"/>
    <w:rsid w:val="004D68B6"/>
    <w:rsid w:val="004E5702"/>
    <w:rsid w:val="004E5E1A"/>
    <w:rsid w:val="004F4616"/>
    <w:rsid w:val="00500508"/>
    <w:rsid w:val="00500E13"/>
    <w:rsid w:val="00514CB8"/>
    <w:rsid w:val="00514E59"/>
    <w:rsid w:val="0051738B"/>
    <w:rsid w:val="00522827"/>
    <w:rsid w:val="0052362A"/>
    <w:rsid w:val="0053509F"/>
    <w:rsid w:val="00535955"/>
    <w:rsid w:val="005370AC"/>
    <w:rsid w:val="00537550"/>
    <w:rsid w:val="005377B9"/>
    <w:rsid w:val="00560EB1"/>
    <w:rsid w:val="00571DE4"/>
    <w:rsid w:val="005803B3"/>
    <w:rsid w:val="00581C4A"/>
    <w:rsid w:val="00581D14"/>
    <w:rsid w:val="005B657A"/>
    <w:rsid w:val="005C091C"/>
    <w:rsid w:val="005C570B"/>
    <w:rsid w:val="005C76A1"/>
    <w:rsid w:val="005F7B42"/>
    <w:rsid w:val="00604A6A"/>
    <w:rsid w:val="00611159"/>
    <w:rsid w:val="00633477"/>
    <w:rsid w:val="00643134"/>
    <w:rsid w:val="006459EE"/>
    <w:rsid w:val="00655A5C"/>
    <w:rsid w:val="006560A4"/>
    <w:rsid w:val="00670F4A"/>
    <w:rsid w:val="0068379D"/>
    <w:rsid w:val="00693674"/>
    <w:rsid w:val="006B0512"/>
    <w:rsid w:val="006B0FA2"/>
    <w:rsid w:val="006B3527"/>
    <w:rsid w:val="006C6768"/>
    <w:rsid w:val="006F2038"/>
    <w:rsid w:val="006F50E8"/>
    <w:rsid w:val="007100BD"/>
    <w:rsid w:val="00736C4F"/>
    <w:rsid w:val="00776312"/>
    <w:rsid w:val="007A078A"/>
    <w:rsid w:val="007A2617"/>
    <w:rsid w:val="007A28BA"/>
    <w:rsid w:val="007B2E39"/>
    <w:rsid w:val="007C5707"/>
    <w:rsid w:val="007C63C4"/>
    <w:rsid w:val="007E4EE0"/>
    <w:rsid w:val="007F2D9F"/>
    <w:rsid w:val="007F5448"/>
    <w:rsid w:val="007F6520"/>
    <w:rsid w:val="008136C8"/>
    <w:rsid w:val="00837EC7"/>
    <w:rsid w:val="00881218"/>
    <w:rsid w:val="008A7300"/>
    <w:rsid w:val="008C141D"/>
    <w:rsid w:val="008D775E"/>
    <w:rsid w:val="008D7A9D"/>
    <w:rsid w:val="008E4413"/>
    <w:rsid w:val="008E6037"/>
    <w:rsid w:val="008F0F40"/>
    <w:rsid w:val="00911199"/>
    <w:rsid w:val="009367AA"/>
    <w:rsid w:val="0095215C"/>
    <w:rsid w:val="0095217A"/>
    <w:rsid w:val="00952376"/>
    <w:rsid w:val="00954FBE"/>
    <w:rsid w:val="00957C60"/>
    <w:rsid w:val="009674F6"/>
    <w:rsid w:val="00970B70"/>
    <w:rsid w:val="00970E8E"/>
    <w:rsid w:val="00971FA7"/>
    <w:rsid w:val="00972E38"/>
    <w:rsid w:val="009739C8"/>
    <w:rsid w:val="00993546"/>
    <w:rsid w:val="009A5BA4"/>
    <w:rsid w:val="009C0447"/>
    <w:rsid w:val="009D5A02"/>
    <w:rsid w:val="009D6291"/>
    <w:rsid w:val="009D6F69"/>
    <w:rsid w:val="009E049D"/>
    <w:rsid w:val="00A167C6"/>
    <w:rsid w:val="00A200D3"/>
    <w:rsid w:val="00A3532A"/>
    <w:rsid w:val="00A36E8B"/>
    <w:rsid w:val="00A4314D"/>
    <w:rsid w:val="00A5114C"/>
    <w:rsid w:val="00A67357"/>
    <w:rsid w:val="00A91915"/>
    <w:rsid w:val="00A92C73"/>
    <w:rsid w:val="00AA38A9"/>
    <w:rsid w:val="00AB65AE"/>
    <w:rsid w:val="00AD26C4"/>
    <w:rsid w:val="00AE7A74"/>
    <w:rsid w:val="00AF2FE1"/>
    <w:rsid w:val="00B0772D"/>
    <w:rsid w:val="00B137EE"/>
    <w:rsid w:val="00B13CEC"/>
    <w:rsid w:val="00B52301"/>
    <w:rsid w:val="00B71AEA"/>
    <w:rsid w:val="00B74489"/>
    <w:rsid w:val="00B8102F"/>
    <w:rsid w:val="00B818CA"/>
    <w:rsid w:val="00B97297"/>
    <w:rsid w:val="00BA3E62"/>
    <w:rsid w:val="00BB553B"/>
    <w:rsid w:val="00BD7158"/>
    <w:rsid w:val="00BE6584"/>
    <w:rsid w:val="00C057EA"/>
    <w:rsid w:val="00C141AF"/>
    <w:rsid w:val="00C210B4"/>
    <w:rsid w:val="00C22A2E"/>
    <w:rsid w:val="00C47725"/>
    <w:rsid w:val="00C605D4"/>
    <w:rsid w:val="00C73536"/>
    <w:rsid w:val="00C94E79"/>
    <w:rsid w:val="00C952EB"/>
    <w:rsid w:val="00CA6252"/>
    <w:rsid w:val="00CC5969"/>
    <w:rsid w:val="00CD4533"/>
    <w:rsid w:val="00CF4869"/>
    <w:rsid w:val="00CF504E"/>
    <w:rsid w:val="00D12D35"/>
    <w:rsid w:val="00D15AD5"/>
    <w:rsid w:val="00D165CA"/>
    <w:rsid w:val="00D17114"/>
    <w:rsid w:val="00D51841"/>
    <w:rsid w:val="00D815D9"/>
    <w:rsid w:val="00D855E8"/>
    <w:rsid w:val="00DB2680"/>
    <w:rsid w:val="00DC4AE7"/>
    <w:rsid w:val="00DE10A6"/>
    <w:rsid w:val="00DE4848"/>
    <w:rsid w:val="00DF78A7"/>
    <w:rsid w:val="00E07CA1"/>
    <w:rsid w:val="00E16CC3"/>
    <w:rsid w:val="00E44F28"/>
    <w:rsid w:val="00E51B2C"/>
    <w:rsid w:val="00E613BC"/>
    <w:rsid w:val="00E66CDC"/>
    <w:rsid w:val="00E67E00"/>
    <w:rsid w:val="00E74F47"/>
    <w:rsid w:val="00E842C7"/>
    <w:rsid w:val="00E953F3"/>
    <w:rsid w:val="00EA6E73"/>
    <w:rsid w:val="00EB4457"/>
    <w:rsid w:val="00EC064B"/>
    <w:rsid w:val="00EC6024"/>
    <w:rsid w:val="00F00FDD"/>
    <w:rsid w:val="00F02B1E"/>
    <w:rsid w:val="00F04A41"/>
    <w:rsid w:val="00F07040"/>
    <w:rsid w:val="00F2310E"/>
    <w:rsid w:val="00F75853"/>
    <w:rsid w:val="00F8144F"/>
    <w:rsid w:val="00F862A7"/>
    <w:rsid w:val="00F93763"/>
    <w:rsid w:val="00F939A2"/>
    <w:rsid w:val="00F96E8D"/>
    <w:rsid w:val="00FA20D9"/>
    <w:rsid w:val="00FB03D0"/>
    <w:rsid w:val="00FF6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EF2FD"/>
  <w15:chartTrackingRefBased/>
  <w15:docId w15:val="{06A4354B-1433-4AE4-896D-B87812AB6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7C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377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5">
    <w:name w:val="heading 5"/>
    <w:basedOn w:val="Normal"/>
    <w:next w:val="Normal"/>
    <w:link w:val="Heading5Char"/>
    <w:uiPriority w:val="9"/>
    <w:semiHidden/>
    <w:unhideWhenUsed/>
    <w:qFormat/>
    <w:rsid w:val="00DB2680"/>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CA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07CA1"/>
    <w:pPr>
      <w:outlineLvl w:val="9"/>
    </w:pPr>
  </w:style>
  <w:style w:type="paragraph" w:styleId="TOC1">
    <w:name w:val="toc 1"/>
    <w:basedOn w:val="Normal"/>
    <w:next w:val="Normal"/>
    <w:autoRedefine/>
    <w:uiPriority w:val="39"/>
    <w:unhideWhenUsed/>
    <w:rsid w:val="00E07CA1"/>
    <w:pPr>
      <w:spacing w:after="100"/>
    </w:pPr>
  </w:style>
  <w:style w:type="character" w:styleId="Hyperlink">
    <w:name w:val="Hyperlink"/>
    <w:basedOn w:val="DefaultParagraphFont"/>
    <w:uiPriority w:val="99"/>
    <w:unhideWhenUsed/>
    <w:rsid w:val="00E07CA1"/>
    <w:rPr>
      <w:color w:val="0563C1" w:themeColor="hyperlink"/>
      <w:u w:val="single"/>
    </w:rPr>
  </w:style>
  <w:style w:type="paragraph" w:styleId="Title">
    <w:name w:val="Title"/>
    <w:basedOn w:val="Normal"/>
    <w:next w:val="Normal"/>
    <w:link w:val="TitleChar"/>
    <w:uiPriority w:val="10"/>
    <w:qFormat/>
    <w:rsid w:val="000C6D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6D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6D3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C6D3A"/>
    <w:rPr>
      <w:rFonts w:eastAsiaTheme="minorEastAsia"/>
      <w:color w:val="5A5A5A" w:themeColor="text1" w:themeTint="A5"/>
      <w:spacing w:val="15"/>
    </w:rPr>
  </w:style>
  <w:style w:type="paragraph" w:customStyle="1" w:styleId="MGTHeader">
    <w:name w:val="M.G+T.Header"/>
    <w:basedOn w:val="Normal"/>
    <w:link w:val="MGTHeaderChar"/>
    <w:qFormat/>
    <w:rsid w:val="00463306"/>
    <w:pPr>
      <w:shd w:val="clear" w:color="auto" w:fill="F5F5F5"/>
      <w:spacing w:after="0" w:line="276" w:lineRule="auto"/>
      <w:outlineLvl w:val="4"/>
    </w:pPr>
    <w:rPr>
      <w:rFonts w:eastAsia="Times New Roman" w:cs="Times New Roman"/>
      <w:color w:val="333333"/>
      <w:sz w:val="21"/>
      <w:szCs w:val="21"/>
      <w:lang w:val="en-GB" w:eastAsia="en-GB"/>
    </w:rPr>
  </w:style>
  <w:style w:type="character" w:customStyle="1" w:styleId="MGTHeaderChar">
    <w:name w:val="M.G+T.Header Char"/>
    <w:basedOn w:val="DefaultParagraphFont"/>
    <w:link w:val="MGTHeader"/>
    <w:rsid w:val="00463306"/>
    <w:rPr>
      <w:rFonts w:eastAsia="Times New Roman" w:cs="Times New Roman"/>
      <w:color w:val="333333"/>
      <w:sz w:val="21"/>
      <w:szCs w:val="21"/>
      <w:shd w:val="clear" w:color="auto" w:fill="F5F5F5"/>
      <w:lang w:val="en-GB" w:eastAsia="en-GB"/>
    </w:rPr>
  </w:style>
  <w:style w:type="paragraph" w:customStyle="1" w:styleId="MIndHeader">
    <w:name w:val="M.Ind.Header"/>
    <w:basedOn w:val="Normal"/>
    <w:link w:val="MIndHeaderChar"/>
    <w:qFormat/>
    <w:rsid w:val="00463306"/>
    <w:pPr>
      <w:shd w:val="clear" w:color="auto" w:fill="F5F5F5"/>
      <w:spacing w:after="0" w:line="276" w:lineRule="auto"/>
      <w:outlineLvl w:val="1"/>
    </w:pPr>
    <w:rPr>
      <w:rFonts w:eastAsia="Times New Roman" w:cs="Times New Roman"/>
      <w:color w:val="1C75BC"/>
      <w:lang w:val="en-GB" w:eastAsia="en-GB"/>
    </w:rPr>
  </w:style>
  <w:style w:type="character" w:customStyle="1" w:styleId="MIndHeaderChar">
    <w:name w:val="M.Ind.Header Char"/>
    <w:basedOn w:val="DefaultParagraphFont"/>
    <w:link w:val="MIndHeader"/>
    <w:rsid w:val="00463306"/>
    <w:rPr>
      <w:rFonts w:eastAsia="Times New Roman" w:cs="Times New Roman"/>
      <w:color w:val="1C75BC"/>
      <w:shd w:val="clear" w:color="auto" w:fill="F5F5F5"/>
      <w:lang w:val="en-GB" w:eastAsia="en-GB"/>
    </w:rPr>
  </w:style>
  <w:style w:type="paragraph" w:styleId="Header">
    <w:name w:val="header"/>
    <w:basedOn w:val="Normal"/>
    <w:link w:val="HeaderChar"/>
    <w:uiPriority w:val="99"/>
    <w:unhideWhenUsed/>
    <w:rsid w:val="00F93763"/>
    <w:pPr>
      <w:tabs>
        <w:tab w:val="center" w:pos="4513"/>
        <w:tab w:val="right" w:pos="9026"/>
      </w:tabs>
      <w:spacing w:after="0" w:line="240" w:lineRule="auto"/>
    </w:pPr>
    <w:rPr>
      <w:rFonts w:eastAsiaTheme="minorEastAsia"/>
      <w:lang w:val="en-GB" w:eastAsia="zh-CN"/>
    </w:rPr>
  </w:style>
  <w:style w:type="character" w:customStyle="1" w:styleId="HeaderChar">
    <w:name w:val="Header Char"/>
    <w:basedOn w:val="DefaultParagraphFont"/>
    <w:link w:val="Header"/>
    <w:uiPriority w:val="99"/>
    <w:rsid w:val="00F93763"/>
    <w:rPr>
      <w:rFonts w:eastAsiaTheme="minorEastAsia"/>
      <w:lang w:val="en-GB" w:eastAsia="zh-CN"/>
    </w:rPr>
  </w:style>
  <w:style w:type="paragraph" w:customStyle="1" w:styleId="MText">
    <w:name w:val="M.Text"/>
    <w:basedOn w:val="Normal"/>
    <w:link w:val="MTextChar"/>
    <w:qFormat/>
    <w:rsid w:val="00F93763"/>
    <w:pPr>
      <w:shd w:val="clear" w:color="auto" w:fill="FFFFFF"/>
      <w:spacing w:after="0" w:line="276" w:lineRule="auto"/>
    </w:pPr>
    <w:rPr>
      <w:rFonts w:eastAsia="Times New Roman" w:cs="Times New Roman"/>
      <w:color w:val="4A4A4A"/>
      <w:sz w:val="21"/>
      <w:szCs w:val="21"/>
      <w:lang w:val="en-GB" w:eastAsia="en-GB"/>
    </w:rPr>
  </w:style>
  <w:style w:type="character" w:customStyle="1" w:styleId="MTextChar">
    <w:name w:val="M.Text Char"/>
    <w:basedOn w:val="DefaultParagraphFont"/>
    <w:link w:val="MText"/>
    <w:rsid w:val="00F93763"/>
    <w:rPr>
      <w:rFonts w:eastAsia="Times New Roman" w:cs="Times New Roman"/>
      <w:color w:val="4A4A4A"/>
      <w:sz w:val="21"/>
      <w:szCs w:val="21"/>
      <w:shd w:val="clear" w:color="auto" w:fill="FFFFFF"/>
      <w:lang w:val="en-GB" w:eastAsia="en-GB"/>
    </w:rPr>
  </w:style>
  <w:style w:type="table" w:styleId="GridTable1Light">
    <w:name w:val="Grid Table 1 Light"/>
    <w:basedOn w:val="TableNormal"/>
    <w:uiPriority w:val="46"/>
    <w:rsid w:val="00F93763"/>
    <w:pPr>
      <w:spacing w:after="0" w:line="240" w:lineRule="auto"/>
    </w:pPr>
    <w:rPr>
      <w:rFonts w:eastAsiaTheme="minorEastAsia"/>
      <w:lang w:val="en-GB" w:eastAsia="zh-C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MHeader">
    <w:name w:val="M.Header"/>
    <w:basedOn w:val="Normal"/>
    <w:link w:val="MHeaderChar"/>
    <w:qFormat/>
    <w:rsid w:val="001127E6"/>
    <w:pPr>
      <w:pBdr>
        <w:bottom w:val="single" w:sz="12" w:space="4" w:color="DDDDDD"/>
      </w:pBdr>
      <w:shd w:val="clear" w:color="auto" w:fill="FFFFFF"/>
      <w:spacing w:after="0" w:line="276" w:lineRule="auto"/>
      <w:outlineLvl w:val="2"/>
    </w:pPr>
    <w:rPr>
      <w:rFonts w:eastAsia="Times New Roman" w:cs="Times New Roman"/>
      <w:color w:val="1C75BC"/>
      <w:sz w:val="36"/>
      <w:szCs w:val="36"/>
      <w:lang w:val="en-GB" w:eastAsia="en-GB"/>
    </w:rPr>
  </w:style>
  <w:style w:type="character" w:customStyle="1" w:styleId="MHeaderChar">
    <w:name w:val="M.Header Char"/>
    <w:basedOn w:val="DefaultParagraphFont"/>
    <w:link w:val="MHeader"/>
    <w:rsid w:val="001127E6"/>
    <w:rPr>
      <w:rFonts w:eastAsia="Times New Roman" w:cs="Times New Roman"/>
      <w:color w:val="1C75BC"/>
      <w:sz w:val="36"/>
      <w:szCs w:val="36"/>
      <w:shd w:val="clear" w:color="auto" w:fill="FFFFFF"/>
      <w:lang w:val="en-GB" w:eastAsia="en-GB"/>
    </w:rPr>
  </w:style>
  <w:style w:type="paragraph" w:customStyle="1" w:styleId="MSubHeader">
    <w:name w:val="M.Sub.Header"/>
    <w:basedOn w:val="Normal"/>
    <w:link w:val="MSubHeaderChar"/>
    <w:qFormat/>
    <w:rsid w:val="001127E6"/>
    <w:pPr>
      <w:shd w:val="clear" w:color="auto" w:fill="FFFFFF"/>
      <w:spacing w:after="0" w:line="276" w:lineRule="auto"/>
    </w:pPr>
    <w:rPr>
      <w:rFonts w:eastAsia="Times New Roman" w:cs="Times New Roman"/>
      <w:b/>
      <w:bCs/>
      <w:color w:val="4A4A4A"/>
      <w:sz w:val="21"/>
      <w:szCs w:val="21"/>
      <w:lang w:val="en-GB" w:eastAsia="en-GB"/>
    </w:rPr>
  </w:style>
  <w:style w:type="character" w:customStyle="1" w:styleId="MSubHeaderChar">
    <w:name w:val="M.Sub.Header Char"/>
    <w:basedOn w:val="DefaultParagraphFont"/>
    <w:link w:val="MSubHeader"/>
    <w:rsid w:val="001127E6"/>
    <w:rPr>
      <w:rFonts w:eastAsia="Times New Roman" w:cs="Times New Roman"/>
      <w:b/>
      <w:bCs/>
      <w:color w:val="4A4A4A"/>
      <w:sz w:val="21"/>
      <w:szCs w:val="21"/>
      <w:shd w:val="clear" w:color="auto" w:fill="FFFFFF"/>
      <w:lang w:val="en-GB" w:eastAsia="en-GB"/>
    </w:rPr>
  </w:style>
  <w:style w:type="paragraph" w:styleId="FootnoteText">
    <w:name w:val="footnote text"/>
    <w:basedOn w:val="Normal"/>
    <w:link w:val="FootnoteTextChar"/>
    <w:uiPriority w:val="99"/>
    <w:semiHidden/>
    <w:unhideWhenUsed/>
    <w:rsid w:val="006B0512"/>
    <w:pPr>
      <w:spacing w:after="0" w:line="240" w:lineRule="auto"/>
    </w:pPr>
    <w:rPr>
      <w:rFonts w:eastAsiaTheme="minorEastAsia"/>
      <w:sz w:val="20"/>
      <w:szCs w:val="20"/>
      <w:lang w:val="en-GB" w:eastAsia="zh-CN"/>
    </w:rPr>
  </w:style>
  <w:style w:type="character" w:customStyle="1" w:styleId="FootnoteTextChar">
    <w:name w:val="Footnote Text Char"/>
    <w:basedOn w:val="DefaultParagraphFont"/>
    <w:link w:val="FootnoteText"/>
    <w:uiPriority w:val="99"/>
    <w:semiHidden/>
    <w:rsid w:val="006B0512"/>
    <w:rPr>
      <w:rFonts w:eastAsiaTheme="minorEastAsia"/>
      <w:sz w:val="20"/>
      <w:szCs w:val="20"/>
      <w:lang w:val="en-GB" w:eastAsia="zh-CN"/>
    </w:rPr>
  </w:style>
  <w:style w:type="character" w:styleId="FootnoteReference">
    <w:name w:val="footnote reference"/>
    <w:aliases w:val="(Footnote Reference),ftref,de nota al pie,(NECG) Footnote Reference,16 Point,Superscript 6 Point,Ref,fr,stylish,BVI fnr,Footnote Reference Number,Footnote Reference_LVL6,Footnote Reference_LVL61,Footnote Reference_LVL62,number,SUPERS"/>
    <w:basedOn w:val="DefaultParagraphFont"/>
    <w:link w:val="BVIfnrChar1CharCharCharCharChar"/>
    <w:uiPriority w:val="99"/>
    <w:unhideWhenUsed/>
    <w:qFormat/>
    <w:rsid w:val="006B0512"/>
    <w:rPr>
      <w:vertAlign w:val="superscript"/>
    </w:rPr>
  </w:style>
  <w:style w:type="paragraph" w:customStyle="1" w:styleId="BVIfnrChar1CharCharCharCharChar">
    <w:name w:val="BVI fnr Char1 Char Char Char Char Char"/>
    <w:aliases w:val="BVI fnr Car Car Char1 Char Char Char Char Char,BVI fnr Car Char1 Char Char Char Char Char,BVI fnr Car Car Car Car Char2 Char Char Char Char Char"/>
    <w:basedOn w:val="Normal"/>
    <w:link w:val="FootnoteReference"/>
    <w:uiPriority w:val="99"/>
    <w:rsid w:val="006B0512"/>
    <w:pPr>
      <w:spacing w:line="240" w:lineRule="exact"/>
      <w:jc w:val="both"/>
    </w:pPr>
    <w:rPr>
      <w:vertAlign w:val="superscript"/>
    </w:rPr>
  </w:style>
  <w:style w:type="table" w:styleId="TableGrid">
    <w:name w:val="Table Grid"/>
    <w:basedOn w:val="TableNormal"/>
    <w:uiPriority w:val="59"/>
    <w:rsid w:val="00F00FDD"/>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A6E73"/>
    <w:pPr>
      <w:spacing w:after="200" w:line="276" w:lineRule="auto"/>
      <w:ind w:left="720"/>
      <w:contextualSpacing/>
    </w:pPr>
    <w:rPr>
      <w:rFonts w:eastAsiaTheme="minorEastAsia"/>
      <w:lang w:val="en-GB" w:eastAsia="zh-CN"/>
    </w:rPr>
  </w:style>
  <w:style w:type="paragraph" w:styleId="TOC2">
    <w:name w:val="toc 2"/>
    <w:basedOn w:val="Normal"/>
    <w:next w:val="Normal"/>
    <w:autoRedefine/>
    <w:uiPriority w:val="39"/>
    <w:unhideWhenUsed/>
    <w:rsid w:val="000434EA"/>
    <w:pPr>
      <w:spacing w:after="100"/>
      <w:ind w:left="220"/>
    </w:pPr>
  </w:style>
  <w:style w:type="paragraph" w:styleId="TOC3">
    <w:name w:val="toc 3"/>
    <w:basedOn w:val="Normal"/>
    <w:next w:val="Normal"/>
    <w:autoRedefine/>
    <w:uiPriority w:val="39"/>
    <w:unhideWhenUsed/>
    <w:rsid w:val="000434EA"/>
    <w:pPr>
      <w:spacing w:after="100"/>
      <w:ind w:left="440"/>
    </w:pPr>
  </w:style>
  <w:style w:type="paragraph" w:styleId="BalloonText">
    <w:name w:val="Balloon Text"/>
    <w:basedOn w:val="Normal"/>
    <w:link w:val="BalloonTextChar"/>
    <w:uiPriority w:val="99"/>
    <w:semiHidden/>
    <w:unhideWhenUsed/>
    <w:rsid w:val="000434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34EA"/>
    <w:rPr>
      <w:rFonts w:ascii="Segoe UI" w:hAnsi="Segoe UI" w:cs="Segoe UI"/>
      <w:sz w:val="18"/>
      <w:szCs w:val="18"/>
    </w:rPr>
  </w:style>
  <w:style w:type="paragraph" w:styleId="Footer">
    <w:name w:val="footer"/>
    <w:basedOn w:val="Normal"/>
    <w:link w:val="FooterChar"/>
    <w:uiPriority w:val="99"/>
    <w:unhideWhenUsed/>
    <w:rsid w:val="000739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907"/>
  </w:style>
  <w:style w:type="character" w:styleId="UnresolvedMention">
    <w:name w:val="Unresolved Mention"/>
    <w:basedOn w:val="DefaultParagraphFont"/>
    <w:uiPriority w:val="99"/>
    <w:semiHidden/>
    <w:unhideWhenUsed/>
    <w:rsid w:val="00C605D4"/>
    <w:rPr>
      <w:color w:val="605E5C"/>
      <w:shd w:val="clear" w:color="auto" w:fill="E1DFDD"/>
    </w:rPr>
  </w:style>
  <w:style w:type="character" w:styleId="CommentReference">
    <w:name w:val="annotation reference"/>
    <w:basedOn w:val="DefaultParagraphFont"/>
    <w:uiPriority w:val="99"/>
    <w:semiHidden/>
    <w:unhideWhenUsed/>
    <w:rsid w:val="007A2617"/>
    <w:rPr>
      <w:sz w:val="16"/>
      <w:szCs w:val="16"/>
    </w:rPr>
  </w:style>
  <w:style w:type="paragraph" w:styleId="CommentText">
    <w:name w:val="annotation text"/>
    <w:basedOn w:val="Normal"/>
    <w:link w:val="CommentTextChar"/>
    <w:uiPriority w:val="99"/>
    <w:semiHidden/>
    <w:unhideWhenUsed/>
    <w:rsid w:val="007A2617"/>
    <w:pPr>
      <w:spacing w:line="240" w:lineRule="auto"/>
    </w:pPr>
    <w:rPr>
      <w:sz w:val="20"/>
      <w:szCs w:val="20"/>
    </w:rPr>
  </w:style>
  <w:style w:type="character" w:customStyle="1" w:styleId="CommentTextChar">
    <w:name w:val="Comment Text Char"/>
    <w:basedOn w:val="DefaultParagraphFont"/>
    <w:link w:val="CommentText"/>
    <w:uiPriority w:val="99"/>
    <w:semiHidden/>
    <w:rsid w:val="007A2617"/>
    <w:rPr>
      <w:sz w:val="20"/>
      <w:szCs w:val="20"/>
    </w:rPr>
  </w:style>
  <w:style w:type="paragraph" w:styleId="CommentSubject">
    <w:name w:val="annotation subject"/>
    <w:basedOn w:val="CommentText"/>
    <w:next w:val="CommentText"/>
    <w:link w:val="CommentSubjectChar"/>
    <w:uiPriority w:val="99"/>
    <w:semiHidden/>
    <w:unhideWhenUsed/>
    <w:rsid w:val="007A2617"/>
    <w:rPr>
      <w:b/>
      <w:bCs/>
    </w:rPr>
  </w:style>
  <w:style w:type="character" w:customStyle="1" w:styleId="CommentSubjectChar">
    <w:name w:val="Comment Subject Char"/>
    <w:basedOn w:val="CommentTextChar"/>
    <w:link w:val="CommentSubject"/>
    <w:uiPriority w:val="99"/>
    <w:semiHidden/>
    <w:rsid w:val="007A2617"/>
    <w:rPr>
      <w:b/>
      <w:bCs/>
      <w:sz w:val="20"/>
      <w:szCs w:val="20"/>
    </w:rPr>
  </w:style>
  <w:style w:type="character" w:styleId="FollowedHyperlink">
    <w:name w:val="FollowedHyperlink"/>
    <w:basedOn w:val="DefaultParagraphFont"/>
    <w:uiPriority w:val="99"/>
    <w:semiHidden/>
    <w:unhideWhenUsed/>
    <w:rsid w:val="00581D14"/>
    <w:rPr>
      <w:color w:val="954F72" w:themeColor="followedHyperlink"/>
      <w:u w:val="single"/>
    </w:rPr>
  </w:style>
  <w:style w:type="character" w:styleId="PlaceholderText">
    <w:name w:val="Placeholder Text"/>
    <w:basedOn w:val="DefaultParagraphFont"/>
    <w:uiPriority w:val="99"/>
    <w:semiHidden/>
    <w:rsid w:val="00633477"/>
    <w:rPr>
      <w:color w:val="808080"/>
    </w:rPr>
  </w:style>
  <w:style w:type="paragraph" w:styleId="EndnoteText">
    <w:name w:val="endnote text"/>
    <w:basedOn w:val="Normal"/>
    <w:link w:val="EndnoteTextChar"/>
    <w:uiPriority w:val="99"/>
    <w:unhideWhenUsed/>
    <w:rsid w:val="00AE7A74"/>
    <w:pPr>
      <w:spacing w:after="0" w:line="240" w:lineRule="auto"/>
    </w:pPr>
    <w:rPr>
      <w:sz w:val="20"/>
      <w:szCs w:val="20"/>
    </w:rPr>
  </w:style>
  <w:style w:type="character" w:customStyle="1" w:styleId="EndnoteTextChar">
    <w:name w:val="Endnote Text Char"/>
    <w:basedOn w:val="DefaultParagraphFont"/>
    <w:link w:val="EndnoteText"/>
    <w:uiPriority w:val="99"/>
    <w:rsid w:val="00AE7A74"/>
    <w:rPr>
      <w:sz w:val="20"/>
      <w:szCs w:val="20"/>
    </w:rPr>
  </w:style>
  <w:style w:type="character" w:styleId="EndnoteReference">
    <w:name w:val="endnote reference"/>
    <w:basedOn w:val="DefaultParagraphFont"/>
    <w:uiPriority w:val="99"/>
    <w:semiHidden/>
    <w:unhideWhenUsed/>
    <w:rsid w:val="00AE7A74"/>
    <w:rPr>
      <w:vertAlign w:val="superscript"/>
    </w:rPr>
  </w:style>
  <w:style w:type="character" w:customStyle="1" w:styleId="Heading2Char">
    <w:name w:val="Heading 2 Char"/>
    <w:basedOn w:val="DefaultParagraphFont"/>
    <w:link w:val="Heading2"/>
    <w:uiPriority w:val="9"/>
    <w:rsid w:val="005377B9"/>
    <w:rPr>
      <w:rFonts w:asciiTheme="majorHAnsi" w:eastAsiaTheme="majorEastAsia" w:hAnsiTheme="majorHAnsi" w:cstheme="majorBidi"/>
      <w:color w:val="2E74B5" w:themeColor="accent1" w:themeShade="BF"/>
      <w:sz w:val="26"/>
      <w:szCs w:val="26"/>
    </w:rPr>
  </w:style>
  <w:style w:type="paragraph" w:customStyle="1" w:styleId="Default">
    <w:name w:val="Default"/>
    <w:rsid w:val="005377B9"/>
    <w:pPr>
      <w:autoSpaceDE w:val="0"/>
      <w:autoSpaceDN w:val="0"/>
      <w:adjustRightInd w:val="0"/>
      <w:spacing w:after="0" w:line="240" w:lineRule="auto"/>
    </w:pPr>
    <w:rPr>
      <w:rFonts w:ascii="Calibri" w:eastAsiaTheme="minorEastAsia" w:hAnsi="Calibri" w:cs="Calibri"/>
      <w:color w:val="000000"/>
      <w:sz w:val="24"/>
      <w:szCs w:val="24"/>
      <w:lang w:eastAsia="zh-CN"/>
    </w:rPr>
  </w:style>
  <w:style w:type="character" w:customStyle="1" w:styleId="Heading5Char">
    <w:name w:val="Heading 5 Char"/>
    <w:basedOn w:val="DefaultParagraphFont"/>
    <w:link w:val="Heading5"/>
    <w:uiPriority w:val="9"/>
    <w:semiHidden/>
    <w:rsid w:val="00DB2680"/>
    <w:rPr>
      <w:rFonts w:asciiTheme="majorHAnsi" w:eastAsiaTheme="majorEastAsia" w:hAnsiTheme="majorHAnsi" w:cstheme="majorBidi"/>
      <w:color w:val="2E74B5" w:themeColor="accent1" w:themeShade="BF"/>
    </w:rPr>
  </w:style>
  <w:style w:type="paragraph" w:styleId="NormalWeb">
    <w:name w:val="Normal (Web)"/>
    <w:basedOn w:val="Normal"/>
    <w:uiPriority w:val="99"/>
    <w:semiHidden/>
    <w:unhideWhenUsed/>
    <w:rsid w:val="00C73536"/>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076387">
      <w:bodyDiv w:val="1"/>
      <w:marLeft w:val="0"/>
      <w:marRight w:val="0"/>
      <w:marTop w:val="0"/>
      <w:marBottom w:val="0"/>
      <w:divBdr>
        <w:top w:val="none" w:sz="0" w:space="0" w:color="auto"/>
        <w:left w:val="none" w:sz="0" w:space="0" w:color="auto"/>
        <w:bottom w:val="none" w:sz="0" w:space="0" w:color="auto"/>
        <w:right w:val="none" w:sz="0" w:space="0" w:color="auto"/>
      </w:divBdr>
    </w:div>
    <w:div w:id="269901672">
      <w:bodyDiv w:val="1"/>
      <w:marLeft w:val="0"/>
      <w:marRight w:val="0"/>
      <w:marTop w:val="0"/>
      <w:marBottom w:val="0"/>
      <w:divBdr>
        <w:top w:val="none" w:sz="0" w:space="0" w:color="auto"/>
        <w:left w:val="none" w:sz="0" w:space="0" w:color="auto"/>
        <w:bottom w:val="none" w:sz="0" w:space="0" w:color="auto"/>
        <w:right w:val="none" w:sz="0" w:space="0" w:color="auto"/>
      </w:divBdr>
    </w:div>
    <w:div w:id="752363671">
      <w:bodyDiv w:val="1"/>
      <w:marLeft w:val="0"/>
      <w:marRight w:val="0"/>
      <w:marTop w:val="0"/>
      <w:marBottom w:val="0"/>
      <w:divBdr>
        <w:top w:val="none" w:sz="0" w:space="0" w:color="auto"/>
        <w:left w:val="none" w:sz="0" w:space="0" w:color="auto"/>
        <w:bottom w:val="none" w:sz="0" w:space="0" w:color="auto"/>
        <w:right w:val="none" w:sz="0" w:space="0" w:color="auto"/>
      </w:divBdr>
    </w:div>
    <w:div w:id="1069814498">
      <w:bodyDiv w:val="1"/>
      <w:marLeft w:val="0"/>
      <w:marRight w:val="0"/>
      <w:marTop w:val="0"/>
      <w:marBottom w:val="0"/>
      <w:divBdr>
        <w:top w:val="none" w:sz="0" w:space="0" w:color="auto"/>
        <w:left w:val="none" w:sz="0" w:space="0" w:color="auto"/>
        <w:bottom w:val="none" w:sz="0" w:space="0" w:color="auto"/>
        <w:right w:val="none" w:sz="0" w:space="0" w:color="auto"/>
      </w:divBdr>
    </w:div>
    <w:div w:id="1108282876">
      <w:bodyDiv w:val="1"/>
      <w:marLeft w:val="0"/>
      <w:marRight w:val="0"/>
      <w:marTop w:val="0"/>
      <w:marBottom w:val="0"/>
      <w:divBdr>
        <w:top w:val="none" w:sz="0" w:space="0" w:color="auto"/>
        <w:left w:val="none" w:sz="0" w:space="0" w:color="auto"/>
        <w:bottom w:val="none" w:sz="0" w:space="0" w:color="auto"/>
        <w:right w:val="none" w:sz="0" w:space="0" w:color="auto"/>
      </w:divBdr>
    </w:div>
    <w:div w:id="1209341509">
      <w:bodyDiv w:val="1"/>
      <w:marLeft w:val="0"/>
      <w:marRight w:val="0"/>
      <w:marTop w:val="0"/>
      <w:marBottom w:val="0"/>
      <w:divBdr>
        <w:top w:val="none" w:sz="0" w:space="0" w:color="auto"/>
        <w:left w:val="none" w:sz="0" w:space="0" w:color="auto"/>
        <w:bottom w:val="none" w:sz="0" w:space="0" w:color="auto"/>
        <w:right w:val="none" w:sz="0" w:space="0" w:color="auto"/>
      </w:divBdr>
    </w:div>
    <w:div w:id="1334450913">
      <w:bodyDiv w:val="1"/>
      <w:marLeft w:val="0"/>
      <w:marRight w:val="0"/>
      <w:marTop w:val="0"/>
      <w:marBottom w:val="0"/>
      <w:divBdr>
        <w:top w:val="none" w:sz="0" w:space="0" w:color="auto"/>
        <w:left w:val="none" w:sz="0" w:space="0" w:color="auto"/>
        <w:bottom w:val="none" w:sz="0" w:space="0" w:color="auto"/>
        <w:right w:val="none" w:sz="0" w:space="0" w:color="auto"/>
      </w:divBdr>
    </w:div>
    <w:div w:id="1552695986">
      <w:bodyDiv w:val="1"/>
      <w:marLeft w:val="0"/>
      <w:marRight w:val="0"/>
      <w:marTop w:val="0"/>
      <w:marBottom w:val="0"/>
      <w:divBdr>
        <w:top w:val="none" w:sz="0" w:space="0" w:color="auto"/>
        <w:left w:val="none" w:sz="0" w:space="0" w:color="auto"/>
        <w:bottom w:val="none" w:sz="0" w:space="0" w:color="auto"/>
        <w:right w:val="none" w:sz="0" w:space="0" w:color="auto"/>
      </w:divBdr>
    </w:div>
    <w:div w:id="1603535953">
      <w:bodyDiv w:val="1"/>
      <w:marLeft w:val="0"/>
      <w:marRight w:val="0"/>
      <w:marTop w:val="0"/>
      <w:marBottom w:val="0"/>
      <w:divBdr>
        <w:top w:val="none" w:sz="0" w:space="0" w:color="auto"/>
        <w:left w:val="none" w:sz="0" w:space="0" w:color="auto"/>
        <w:bottom w:val="none" w:sz="0" w:space="0" w:color="auto"/>
        <w:right w:val="none" w:sz="0" w:space="0" w:color="auto"/>
      </w:divBdr>
    </w:div>
    <w:div w:id="1704937286">
      <w:bodyDiv w:val="1"/>
      <w:marLeft w:val="0"/>
      <w:marRight w:val="0"/>
      <w:marTop w:val="0"/>
      <w:marBottom w:val="0"/>
      <w:divBdr>
        <w:top w:val="none" w:sz="0" w:space="0" w:color="auto"/>
        <w:left w:val="none" w:sz="0" w:space="0" w:color="auto"/>
        <w:bottom w:val="none" w:sz="0" w:space="0" w:color="auto"/>
        <w:right w:val="none" w:sz="0" w:space="0" w:color="auto"/>
      </w:divBdr>
    </w:div>
    <w:div w:id="1976327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fao.org/3/a-au190e.pdf"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fao.org/forest-resources-assessment/en/"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www.fao.org/docrep/017/ap862e/ap862e00.pdf"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9417864E48A4385BAA7145B59086F31"/>
        <w:category>
          <w:name w:val="General"/>
          <w:gallery w:val="placeholder"/>
        </w:category>
        <w:types>
          <w:type w:val="bbPlcHdr"/>
        </w:types>
        <w:behaviors>
          <w:behavior w:val="content"/>
        </w:behaviors>
        <w:guid w:val="{848267FF-77B8-40A0-A541-A14F83F6123D}"/>
      </w:docPartPr>
      <w:docPartBody>
        <w:p w:rsidR="003477CC" w:rsidRDefault="003477CC" w:rsidP="003477CC">
          <w:pPr>
            <w:pStyle w:val="59417864E48A4385BAA7145B59086F31"/>
          </w:pPr>
          <w:r w:rsidRPr="00D2076D">
            <w:rPr>
              <w:rStyle w:val="PlaceholderText"/>
            </w:rPr>
            <w:t>Choose an item.</w:t>
          </w:r>
        </w:p>
      </w:docPartBody>
    </w:docPart>
    <w:docPart>
      <w:docPartPr>
        <w:name w:val="53AE4642672B40F488B6B9BA5FC5257E"/>
        <w:category>
          <w:name w:val="General"/>
          <w:gallery w:val="placeholder"/>
        </w:category>
        <w:types>
          <w:type w:val="bbPlcHdr"/>
        </w:types>
        <w:behaviors>
          <w:behavior w:val="content"/>
        </w:behaviors>
        <w:guid w:val="{75F1E464-0295-47BC-96F2-158CB25F640F}"/>
      </w:docPartPr>
      <w:docPartBody>
        <w:p w:rsidR="003477CC" w:rsidRDefault="003477CC" w:rsidP="003477CC">
          <w:pPr>
            <w:pStyle w:val="53AE4642672B40F488B6B9BA5FC5257E"/>
          </w:pPr>
          <w:r w:rsidRPr="00D2076D">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7CC"/>
    <w:rsid w:val="003477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477CC"/>
    <w:rPr>
      <w:color w:val="808080"/>
    </w:rPr>
  </w:style>
  <w:style w:type="paragraph" w:customStyle="1" w:styleId="59417864E48A4385BAA7145B59086F31">
    <w:name w:val="59417864E48A4385BAA7145B59086F31"/>
    <w:rsid w:val="003477CC"/>
  </w:style>
  <w:style w:type="paragraph" w:customStyle="1" w:styleId="53AE4642672B40F488B6B9BA5FC5257E">
    <w:name w:val="53AE4642672B40F488B6B9BA5FC5257E"/>
    <w:rsid w:val="003477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C33882-E219-4DF5-9BAF-383673F205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16</Pages>
  <Words>3779</Words>
  <Characters>21541</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JCON</Company>
  <LinksUpToDate>false</LinksUpToDate>
  <CharactersWithSpaces>25270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Fanning, Stephen B (JMD)</dc:creator>
  <cp:keywords/>
  <dc:description/>
  <cp:lastModifiedBy>Jennifer Park</cp:lastModifiedBy>
  <cp:revision>17</cp:revision>
  <cp:lastPrinted>2020-04-16T14:23:00Z</cp:lastPrinted>
  <dcterms:created xsi:type="dcterms:W3CDTF">2020-05-06T21:02:00Z</dcterms:created>
  <dcterms:modified xsi:type="dcterms:W3CDTF">2020-11-23T20:52:00Z</dcterms:modified>
</cp:coreProperties>
</file>