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89679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lastRenderedPageBreak/>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long term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9674F6">
            <w:pPr>
              <w:pStyle w:val="Default"/>
              <w:spacing w:line="276" w:lineRule="auto"/>
              <w:rPr>
                <w:rFonts w:asciiTheme="minorHAnsi" w:hAnsiTheme="minorHAnsi" w:cstheme="minorHAnsi"/>
                <w:sz w:val="21"/>
                <w:szCs w:val="21"/>
              </w:rPr>
            </w:pPr>
            <w:r w:rsidRPr="00282BF7">
              <w:rPr>
                <w:rFonts w:asciiTheme="minorHAnsi" w:hAnsiTheme="minorHAnsi" w:cstheme="minorHAnsi"/>
                <w:b/>
                <w:bCs/>
                <w:sz w:val="21"/>
                <w:szCs w:val="21"/>
              </w:rPr>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Default="009674F6" w:rsidP="009674F6">
            <w:pPr>
              <w:pStyle w:val="MIndHeader"/>
            </w:pPr>
            <w:r>
              <w:t>Sub-indicators 1 to 4</w:t>
            </w:r>
          </w:p>
          <w:p w14:paraId="492D5083" w14:textId="77777777" w:rsidR="009674F6" w:rsidRPr="00282BF7" w:rsidRDefault="009674F6" w:rsidP="00C952EB">
            <w:pPr>
              <w:pStyle w:val="MSubHeader"/>
            </w:pPr>
            <w:r w:rsidRPr="00282BF7">
              <w:t xml:space="preserve">Description: </w:t>
            </w:r>
          </w:p>
          <w:p w14:paraId="571CD33E" w14:textId="5B79F18A" w:rsidR="0035311B" w:rsidRPr="00837EC7" w:rsidRDefault="009674F6" w:rsidP="00C952EB">
            <w:pPr>
              <w:pStyle w:val="Default"/>
              <w:spacing w:after="120" w:line="276" w:lineRule="auto"/>
              <w:rPr>
                <w:rFonts w:asciiTheme="minorHAnsi" w:hAnsiTheme="minorHAnsi" w:cstheme="minorHAnsi"/>
                <w:sz w:val="21"/>
                <w:szCs w:val="21"/>
              </w:rPr>
            </w:pPr>
            <w:r w:rsidRPr="00C952EB">
              <w:rPr>
                <w:rStyle w:val="MTextChar"/>
                <w:rFonts w:eastAsiaTheme="minorEastAsia"/>
              </w:rPr>
              <w:t>Data on the sub-indicators are collected periodically (until now every 5 years) by FAO’s Global Forest Resources Assessment (FRA) programme. All data are provided to FAO by countries in the form of a country report following a standard format, which includes the original data and reference sources and descriptions</w:t>
            </w:r>
            <w:r w:rsidRPr="00282BF7">
              <w:rPr>
                <w:rFonts w:asciiTheme="minorHAnsi" w:hAnsiTheme="minorHAnsi" w:cstheme="minorHAnsi"/>
                <w:sz w:val="21"/>
                <w:szCs w:val="21"/>
              </w:rPr>
              <w:t xml:space="preserve"> </w:t>
            </w:r>
            <w:r w:rsidRPr="00C952EB">
              <w:rPr>
                <w:rStyle w:val="MTextChar"/>
                <w:rFonts w:eastAsiaTheme="minorEastAsia"/>
              </w:rPr>
              <w:t>of how these have been used to estimate the forest area for different points in time.</w:t>
            </w:r>
            <w:r w:rsidRPr="00282BF7">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2383381" w14:textId="77777777" w:rsidR="009674F6" w:rsidRDefault="009674F6" w:rsidP="009674F6">
            <w:pPr>
              <w:pStyle w:val="MIndHeader"/>
            </w:pPr>
            <w:r>
              <w:t>Sub-indicators 1 to 4</w:t>
            </w:r>
          </w:p>
          <w:p w14:paraId="03D7A9A6" w14:textId="668FAC13" w:rsidR="009674F6" w:rsidRPr="00282BF7" w:rsidRDefault="009674F6" w:rsidP="00C952EB">
            <w:pPr>
              <w:pStyle w:val="MSubHeader"/>
            </w:pPr>
            <w:r w:rsidRPr="00282BF7">
              <w:t xml:space="preserve">Collection process: </w:t>
            </w:r>
          </w:p>
          <w:p w14:paraId="0393E873" w14:textId="77777777" w:rsidR="009674F6" w:rsidRPr="00282BF7" w:rsidRDefault="009674F6" w:rsidP="00C952EB">
            <w:pPr>
              <w:pStyle w:val="MText"/>
            </w:pPr>
            <w:r w:rsidRPr="00282BF7">
              <w:t xml:space="preserve">Officially nominated national correspondents and their teams prepare the country reports for the assessment. Some prepare more than one report as they also report on dependent territories. For the remaining countries and territories where no </w:t>
            </w:r>
            <w:r w:rsidRPr="00282BF7">
              <w:lastRenderedPageBreak/>
              <w:t xml:space="preserve">information is provided, a report is prepared by FAO using existing information and a literature search. </w:t>
            </w:r>
          </w:p>
          <w:p w14:paraId="1C586FF2" w14:textId="29C4D5BC" w:rsidR="009674F6" w:rsidRDefault="009674F6" w:rsidP="00C952EB">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C952EB">
            <w:pPr>
              <w:pStyle w:val="MText"/>
            </w:pPr>
          </w:p>
          <w:p w14:paraId="43F93DC3" w14:textId="77777777" w:rsidR="009674F6" w:rsidRDefault="009674F6" w:rsidP="009674F6">
            <w:pPr>
              <w:pStyle w:val="MIndHeader"/>
            </w:pPr>
            <w:r>
              <w:t>Sub-indicator 5</w:t>
            </w:r>
          </w:p>
          <w:p w14:paraId="4BC34771" w14:textId="77777777" w:rsidR="009674F6" w:rsidRDefault="009674F6" w:rsidP="00C952EB">
            <w:pPr>
              <w:pStyle w:val="MText"/>
            </w:pPr>
            <w:r>
              <w:t xml:space="preserve">Data on forest certification is submitted annually to FAO by the head offices of the respective forest certification scheme. Data include the area certified by each scheme, as well as areas that are double-certified by the two main schemes. That allows for estimating the total certified forest area, adjusted for double certified area. </w:t>
            </w:r>
          </w:p>
          <w:p w14:paraId="1D989F95" w14:textId="77777777" w:rsidR="009674F6" w:rsidRDefault="009674F6" w:rsidP="00C952EB">
            <w:pPr>
              <w:pStyle w:val="MText"/>
            </w:pPr>
            <w:r>
              <w:t xml:space="preserve">Currently, forest certification by the Forest Stewardship Council (FSC) and the </w:t>
            </w:r>
            <w:r w:rsidRPr="00156466">
              <w:t>Programme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2A65C425" w:rsidR="0035311B" w:rsidRPr="00837EC7" w:rsidRDefault="00C73536" w:rsidP="00C952EB">
            <w:pPr>
              <w:pStyle w:val="MText"/>
            </w:pPr>
            <w:r w:rsidRPr="00282BF7">
              <w:t xml:space="preserve">Source </w:t>
            </w:r>
            <w:r>
              <w:t xml:space="preserve">data </w:t>
            </w:r>
            <w:r w:rsidRPr="00282BF7">
              <w:t xml:space="preserve">collection </w:t>
            </w:r>
            <w:r>
              <w:t>was initiated in</w:t>
            </w:r>
            <w:r w:rsidRPr="00282BF7">
              <w:t xml:space="preserve"> 2018</w:t>
            </w:r>
            <w:r>
              <w:t xml:space="preserve"> and will conclude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7D8516AB" w:rsidR="0035311B" w:rsidRPr="00837EC7" w:rsidRDefault="00C73536" w:rsidP="00C952EB">
            <w:pPr>
              <w:pStyle w:val="MText"/>
            </w:pPr>
            <w:r w:rsidRPr="00282BF7">
              <w:t>Expected dates of release of new data: 20</w:t>
            </w:r>
            <w:r>
              <w:t>20</w:t>
            </w:r>
            <w:r w:rsidRPr="00282BF7">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31EF6D3D" w14:textId="77777777" w:rsidR="00C73536" w:rsidRDefault="00C73536" w:rsidP="00C952EB">
            <w:pPr>
              <w:pStyle w:val="MText"/>
            </w:pPr>
            <w:r w:rsidRPr="00282BF7">
              <w:t xml:space="preserve">National Forest Authorities, through officially nominated National Correspondents to FRA. </w:t>
            </w:r>
          </w:p>
          <w:p w14:paraId="49E07E1E" w14:textId="13F0C3CC" w:rsidR="0035311B" w:rsidRPr="00837EC7" w:rsidRDefault="00C73536" w:rsidP="00C952EB">
            <w:pPr>
              <w:pStyle w:val="MText"/>
            </w:pPr>
            <w:r>
              <w:t>Head 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t xml:space="preserve">Food and Agriculture Organisation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t xml:space="preserve">Trends in forest area are crucial for monitoring SFM. The first sub-indicator focuses on both the direction of change (whether there is a loss or gain in forest area) and how the change rate is changing over time; the latter is important in 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w:t>
            </w:r>
            <w:r w:rsidRPr="00BE6584">
              <w:lastRenderedPageBreak/>
              <w:t xml:space="preserve">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long term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lastRenderedPageBreak/>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777777" w:rsidR="009674F6" w:rsidRPr="00282BF7" w:rsidRDefault="009674F6" w:rsidP="00655A5C">
            <w:pPr>
              <w:pStyle w:val="Default"/>
              <w:numPr>
                <w:ilvl w:val="0"/>
                <w:numId w:val="7"/>
              </w:numPr>
              <w:spacing w:line="276" w:lineRule="auto"/>
              <w:rPr>
                <w:rFonts w:asciiTheme="minorHAnsi" w:hAnsiTheme="minorHAnsi" w:cstheme="minorHAnsi"/>
                <w:color w:val="2E74B5" w:themeColor="accent1" w:themeShade="BF"/>
                <w:sz w:val="21"/>
                <w:szCs w:val="21"/>
              </w:rPr>
            </w:pPr>
            <w:r w:rsidRPr="00282BF7">
              <w:rPr>
                <w:rFonts w:asciiTheme="minorHAnsi" w:hAnsiTheme="minorHAnsi" w:cstheme="minorHAnsi"/>
                <w:color w:val="2E74B5" w:themeColor="accent1" w:themeShade="BF"/>
                <w:sz w:val="21"/>
                <w:szCs w:val="21"/>
              </w:rPr>
              <w:t xml:space="preserve">At country level </w:t>
            </w:r>
          </w:p>
          <w:p w14:paraId="01BB6474" w14:textId="5F4B328C" w:rsidR="009674F6" w:rsidRDefault="009674F6" w:rsidP="00655A5C">
            <w:pPr>
              <w:pStyle w:val="MText"/>
            </w:pPr>
            <w:r w:rsidRPr="00282BF7">
              <w:t xml:space="preserve">For countries and territories where no information was provided to FAO for FRA 2015 (79 countries and territories representing 1.2 percent of the global forest area), a report was prepared by FAO using existing information from previous assessments and literature search. </w:t>
            </w:r>
          </w:p>
          <w:p w14:paraId="62DF182C" w14:textId="77777777" w:rsidR="00655A5C" w:rsidRPr="00282BF7" w:rsidRDefault="00655A5C" w:rsidP="00655A5C">
            <w:pPr>
              <w:pStyle w:val="MText"/>
            </w:pPr>
          </w:p>
          <w:p w14:paraId="0D097A41" w14:textId="77777777" w:rsidR="009674F6" w:rsidRPr="00282BF7" w:rsidRDefault="009674F6" w:rsidP="00655A5C">
            <w:pPr>
              <w:pStyle w:val="Default"/>
              <w:numPr>
                <w:ilvl w:val="0"/>
                <w:numId w:val="7"/>
              </w:numPr>
              <w:spacing w:line="276" w:lineRule="auto"/>
              <w:rPr>
                <w:rFonts w:asciiTheme="minorHAnsi" w:hAnsiTheme="minorHAnsi" w:cstheme="minorHAnsi"/>
                <w:color w:val="2E74B5" w:themeColor="accent1" w:themeShade="BF"/>
                <w:sz w:val="21"/>
                <w:szCs w:val="21"/>
              </w:rPr>
            </w:pPr>
            <w:r w:rsidRPr="00282BF7">
              <w:rPr>
                <w:rFonts w:asciiTheme="minorHAnsi" w:hAnsiTheme="minorHAnsi" w:cstheme="minorHAnsi"/>
                <w:color w:val="2E74B5" w:themeColor="accent1" w:themeShade="BF"/>
                <w:sz w:val="21"/>
                <w:szCs w:val="21"/>
              </w:rPr>
              <w:t xml:space="preserve">At regional and global levels </w:t>
            </w:r>
          </w:p>
          <w:p w14:paraId="3FA3C75D" w14:textId="77777777" w:rsidR="009674F6" w:rsidRPr="00282BF7" w:rsidRDefault="009674F6" w:rsidP="00655A5C">
            <w:pPr>
              <w:pStyle w:val="MText"/>
            </w:pPr>
            <w:r w:rsidRPr="00282BF7">
              <w:t xml:space="preserve">See above. </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49A7AE7E" w:rsidR="007F2D9F" w:rsidRPr="00837EC7" w:rsidRDefault="009674F6" w:rsidP="00655A5C">
            <w:pPr>
              <w:pStyle w:val="Default"/>
              <w:spacing w:after="120" w:line="276" w:lineRule="auto"/>
              <w:rPr>
                <w:rFonts w:asciiTheme="minorHAnsi" w:hAnsiTheme="minorHAnsi" w:cstheme="minorHAnsi"/>
                <w:sz w:val="21"/>
                <w:szCs w:val="21"/>
              </w:rPr>
            </w:pPr>
            <w:r w:rsidRPr="00655A5C">
              <w:rPr>
                <w:rStyle w:val="MTextChar"/>
                <w:rFonts w:eastAsiaTheme="minorEastAsia"/>
              </w:rPr>
              <w:t>See Annex 2 – Methodology. It should be noted that for those sub-indicators where there are gaps in the data set, only the countries that reported a complete time series 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1C602919" w14:textId="66CF0479" w:rsidR="009674F6" w:rsidRDefault="009674F6" w:rsidP="00655A5C">
            <w:pPr>
              <w:pStyle w:val="MText"/>
            </w:pPr>
            <w:r w:rsidRPr="00282BF7">
              <w:t xml:space="preserve">Data on sub-indicators </w:t>
            </w:r>
            <w:r>
              <w:t xml:space="preserve">1 to 4 </w:t>
            </w:r>
            <w:r w:rsidRPr="00282BF7">
              <w:t xml:space="preserve">are provided to FAO by countries in the form of a country report following a standard format, which includes the original data and reference sources and descriptions of how these have been used to estimate the forest area for different points in time. </w:t>
            </w:r>
          </w:p>
          <w:p w14:paraId="2EEB9184" w14:textId="77777777" w:rsidR="00655A5C" w:rsidRPr="00282BF7" w:rsidRDefault="00655A5C" w:rsidP="00655A5C">
            <w:pPr>
              <w:pStyle w:val="MText"/>
            </w:pPr>
          </w:p>
          <w:p w14:paraId="0232E6B5" w14:textId="3166C5D5" w:rsidR="007F2D9F" w:rsidRPr="00837EC7" w:rsidRDefault="009674F6" w:rsidP="00655A5C">
            <w:pPr>
              <w:pStyle w:val="MText"/>
              <w:rPr>
                <w:rFonts w:cstheme="minorHAnsi"/>
              </w:rPr>
            </w:pPr>
            <w:r w:rsidRPr="00282BF7">
              <w:lastRenderedPageBreak/>
              <w:t xml:space="preserve">Detailed methodology and guidance on how to prepare the country reports and to convert national data according to national categories and definitions to FAO’s global categories and definitions is found in the document “Guide for country reporting for FRA 2015”, </w:t>
            </w:r>
            <w:hyperlink r:id="rId8" w:history="1">
              <w:r w:rsidRPr="00282BF7">
                <w:rPr>
                  <w:rStyle w:val="Hyperlink"/>
                  <w:rFonts w:cstheme="minorHAnsi"/>
                </w:rPr>
                <w:t>http://www.fao.org/3/a-au190e.pdf</w:t>
              </w:r>
            </w:hyperlink>
            <w:r w:rsidRPr="00282BF7">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3A256B7" w:rsidR="00C73536" w:rsidRDefault="00C73536" w:rsidP="00993546">
            <w:pPr>
              <w:pStyle w:val="MText"/>
              <w:rPr>
                <w:rFonts w:cstheme="minorHAnsi"/>
                <w:b/>
                <w:bCs/>
              </w:rPr>
            </w:pPr>
            <w:r w:rsidRPr="00282BF7">
              <w:t xml:space="preserve">Breakdown of the number of countries covered by region and by sub-indicator is as follows: </w:t>
            </w:r>
          </w:p>
          <w:p w14:paraId="733DC865" w14:textId="686D5586" w:rsidR="00C73536" w:rsidRDefault="00B52301" w:rsidP="009674F6">
            <w:pPr>
              <w:pStyle w:val="Default"/>
              <w:spacing w:before="120" w:after="120" w:line="276" w:lineRule="auto"/>
              <w:contextualSpacing/>
              <w:rPr>
                <w:rFonts w:asciiTheme="minorHAnsi" w:hAnsiTheme="minorHAnsi" w:cstheme="minorHAnsi"/>
                <w:b/>
                <w:bCs/>
                <w:sz w:val="21"/>
                <w:szCs w:val="21"/>
              </w:rPr>
            </w:pPr>
            <w:r>
              <w:rPr>
                <w:rFonts w:asciiTheme="minorHAnsi" w:hAnsiTheme="minorHAnsi" w:cstheme="minorHAnsi"/>
                <w:noProof/>
              </w:rPr>
              <w:lastRenderedPageBreak/>
              <w:drawing>
                <wp:inline distT="0" distB="0" distL="0" distR="0" wp14:anchorId="58EE1DA1" wp14:editId="2D887E98">
                  <wp:extent cx="3689350" cy="4121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4121150"/>
                          </a:xfrm>
                          <a:prstGeom prst="rect">
                            <a:avLst/>
                          </a:prstGeom>
                          <a:noFill/>
                          <a:ln>
                            <a:noFill/>
                          </a:ln>
                        </pic:spPr>
                      </pic:pic>
                    </a:graphicData>
                  </a:graphic>
                </wp:inline>
              </w:drawing>
            </w:r>
          </w:p>
          <w:p w14:paraId="771CC51F" w14:textId="3BE41966" w:rsidR="00C73536" w:rsidRDefault="00C73536"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11E57AE1" w14:textId="77777777" w:rsidR="00C73536" w:rsidRDefault="00C73536" w:rsidP="00993546">
            <w:pPr>
              <w:pStyle w:val="MText"/>
            </w:pPr>
            <w:r w:rsidRPr="00282BF7">
              <w:t xml:space="preserve">2000, 2005, 2010, 2015 </w:t>
            </w:r>
          </w:p>
          <w:p w14:paraId="38AF3246" w14:textId="491EC9A4" w:rsidR="00C73536" w:rsidRDefault="00C73536" w:rsidP="00993546">
            <w:pPr>
              <w:pStyle w:val="MText"/>
            </w:pPr>
            <w:r>
              <w:t>After next data release (2020) annual data will be available from 2015 and onwards.</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17BD3AB6"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format ensures that countries provide the full reference for original data sources as well as national definitions and terminology. Separate sections in the </w:t>
            </w:r>
            <w:r w:rsidRPr="00282BF7">
              <w:lastRenderedPageBreak/>
              <w:t xml:space="preserve">reporting format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xml:space="preserv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w:t>
            </w:r>
          </w:p>
          <w:p w14:paraId="38762D8B" w14:textId="77777777" w:rsidR="009674F6" w:rsidRDefault="009674F6" w:rsidP="00993546">
            <w:pPr>
              <w:pStyle w:val="MText"/>
              <w:rPr>
                <w:rFonts w:cstheme="minorHAnsi"/>
              </w:rPr>
            </w:pPr>
          </w:p>
          <w:p w14:paraId="13CF0B2D" w14:textId="387D42BD" w:rsidR="004F4616" w:rsidRPr="00837EC7" w:rsidRDefault="009674F6" w:rsidP="00993546">
            <w:pPr>
              <w:pStyle w:val="MText"/>
            </w:pPr>
            <w:r>
              <w:rPr>
                <w:rFonts w:cstheme="minorHAnsi"/>
              </w:rPr>
              <w:t>Therefore, the data are requested to correspond to the end of June each year. However, the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77777777" w:rsidR="00993546" w:rsidRDefault="0036403E" w:rsidP="00993546">
            <w:pPr>
              <w:pStyle w:val="MText"/>
            </w:pPr>
            <w:hyperlink r:id="rId10" w:history="1">
              <w:r w:rsidR="00993546" w:rsidRPr="00863700">
                <w:rPr>
                  <w:rStyle w:val="Hyperlink"/>
                  <w:rFonts w:cstheme="minorHAnsi"/>
                  <w:lang w:val="es-419"/>
                </w:rPr>
                <w:t>http://www.fao.org/forest-resources-assessment/en/</w:t>
              </w:r>
            </w:hyperlink>
            <w:r w:rsidR="00C73536">
              <w:t xml:space="preserve"> </w:t>
            </w:r>
            <w:r w:rsidR="00C73536" w:rsidRPr="00422595">
              <w:t xml:space="preserve"> </w:t>
            </w:r>
          </w:p>
          <w:p w14:paraId="3D9035BA" w14:textId="77777777" w:rsidR="00993546" w:rsidRDefault="00993546" w:rsidP="00993546">
            <w:pPr>
              <w:pStyle w:val="MText"/>
              <w:rPr>
                <w:b/>
              </w:rPr>
            </w:pPr>
          </w:p>
          <w:p w14:paraId="4B6DEFC2" w14:textId="521BE907" w:rsidR="00993546" w:rsidRPr="00282BF7" w:rsidRDefault="00C73536" w:rsidP="00227C1B">
            <w:pPr>
              <w:pStyle w:val="MHeader"/>
              <w:rPr>
                <w:rFonts w:cstheme="minorHAnsi"/>
                <w:b/>
                <w:sz w:val="28"/>
              </w:rPr>
            </w:pPr>
            <w:r w:rsidRPr="00422595">
              <w:rPr>
                <w:rFonts w:cstheme="minorHAnsi"/>
                <w:b/>
                <w:sz w:val="28"/>
                <w:lang w:val="es-419"/>
              </w:rPr>
              <w:br w:type="page"/>
            </w:r>
            <w:r w:rsidR="00993546" w:rsidRPr="00227C1B">
              <w:rPr>
                <w:rStyle w:val="MHeaderChar"/>
                <w:rFonts w:eastAsiaTheme="minorHAnsi"/>
              </w:rPr>
              <w:t>Annex 1 – Terms and Definitions</w:t>
            </w:r>
            <w:r w:rsidR="00227C1B">
              <w:rPr>
                <w:rStyle w:val="MHeaderChar"/>
                <w:rFonts w:eastAsiaTheme="minorHAnsi"/>
              </w:rPr>
              <w:t xml:space="preserve"> </w:t>
            </w:r>
            <w:r w:rsidR="00993546" w:rsidRPr="00227C1B">
              <w:rPr>
                <w:rStyle w:val="FootnoteReference"/>
                <w:rFonts w:cstheme="minorHAnsi"/>
                <w:bCs/>
                <w:sz w:val="28"/>
              </w:rPr>
              <w:footnoteReference w:id="1"/>
            </w:r>
            <w:r w:rsidR="00993546" w:rsidRPr="00227C1B">
              <w:rPr>
                <w:rFonts w:cstheme="minorHAnsi"/>
                <w:bCs/>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lastRenderedPageBreak/>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lastRenderedPageBreak/>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t>INDEPENDENTLY VERIFIED FOREST MANAGEMENT CERTIFICATION</w:t>
            </w:r>
          </w:p>
          <w:p w14:paraId="6C091B4B" w14:textId="2003F8CE" w:rsidR="00993546" w:rsidRDefault="00993546" w:rsidP="00993546">
            <w:pPr>
              <w:pStyle w:val="MText"/>
            </w:pPr>
            <w:r w:rsidRPr="00500508">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77777777" w:rsidR="004738FA" w:rsidRPr="00282BF7"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0A085106" w14:textId="517F99F6" w:rsidR="009D5A02" w:rsidRPr="00282BF7" w:rsidRDefault="009D5A02" w:rsidP="004738FA">
            <w:pPr>
              <w:ind w:left="360"/>
              <w:rPr>
                <w:rFonts w:eastAsia="Calibri" w:cstheme="minorHAnsi"/>
              </w:rPr>
            </w:pPr>
            <w:r>
              <w:rPr>
                <w:rFonts w:eastAsia="Calibri" w:cstheme="minorHAnsi"/>
                <w:noProof/>
              </w:rPr>
              <w:drawing>
                <wp:inline distT="0" distB="0" distL="0" distR="0" wp14:anchorId="705AA131" wp14:editId="7D3ABD5D">
                  <wp:extent cx="24860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2828925"/>
                          </a:xfrm>
                          <a:prstGeom prst="rect">
                            <a:avLst/>
                          </a:prstGeom>
                          <a:noFill/>
                          <a:ln>
                            <a:noFill/>
                          </a:ln>
                        </pic:spPr>
                      </pic:pic>
                    </a:graphicData>
                  </a:graphic>
                </wp:inline>
              </w:drawing>
            </w:r>
          </w:p>
          <w:p w14:paraId="01D69E9C" w14:textId="77777777"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a comparison of the current forest area net change rate with the </w:t>
            </w:r>
            <w:r w:rsidRPr="00282BF7">
              <w:rPr>
                <w:rFonts w:eastAsia="Calibri"/>
                <w:u w:val="single"/>
              </w:rPr>
              <w:t>baseline forest area net change rate for the period 2010-2015.</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This traffic light takes into consideration both the direction of forest area change (if forest area increases or decreases) as well as changes in the rate of forest area loss – the latter important in 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3CE72887"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Biomass stock in forest (tonnes) / forest area (ha)</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2C427D9F" w:rsidR="004738FA"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14166FE0" w14:textId="2ED30559" w:rsidR="009D5A02" w:rsidRPr="00282BF7" w:rsidRDefault="009D5A02" w:rsidP="004738FA">
            <w:pPr>
              <w:ind w:left="360"/>
              <w:rPr>
                <w:rFonts w:eastAsia="Calibri" w:cstheme="minorHAnsi"/>
              </w:rPr>
            </w:pPr>
            <w:r>
              <w:rPr>
                <w:rFonts w:eastAsia="Calibri" w:cstheme="minorHAnsi"/>
                <w:noProof/>
              </w:rPr>
              <w:drawing>
                <wp:inline distT="0" distB="0" distL="0" distR="0" wp14:anchorId="295D4697" wp14:editId="2460C0D9">
                  <wp:extent cx="18859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67B89E7D" w14:textId="77777777" w:rsidR="009D5A02"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0C55F0E" w14:textId="14932A1C" w:rsidR="009D5A02" w:rsidRDefault="009D5A02" w:rsidP="004738FA">
            <w:pPr>
              <w:pStyle w:val="MText"/>
              <w:rPr>
                <w:rFonts w:eastAsia="Calibri"/>
                <w:u w:val="single"/>
              </w:rPr>
            </w:pPr>
          </w:p>
          <w:p w14:paraId="14C98902" w14:textId="7F806781" w:rsidR="009D5A02" w:rsidRPr="009D5A02" w:rsidRDefault="009D5A02" w:rsidP="004738FA">
            <w:pPr>
              <w:pStyle w:val="MText"/>
              <w:rPr>
                <w:rFonts w:eastAsia="Calibri"/>
              </w:rPr>
            </w:pPr>
            <w:r w:rsidRPr="009D5A02">
              <w:rPr>
                <w:rFonts w:eastAsia="Calibri"/>
                <w:noProof/>
              </w:rPr>
              <w:lastRenderedPageBreak/>
              <w:drawing>
                <wp:inline distT="0" distB="0" distL="0" distR="0" wp14:anchorId="53CBA584" wp14:editId="7796167E">
                  <wp:extent cx="18859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3557948E" w14:textId="625F657D"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under a long term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41B08E58" w14:textId="77777777" w:rsidR="004738FA" w:rsidRPr="00282BF7" w:rsidRDefault="004738FA" w:rsidP="004738FA">
            <w:pPr>
              <w:pStyle w:val="MText"/>
              <w:rPr>
                <w:rFonts w:eastAsia="Calibri"/>
              </w:rPr>
            </w:pPr>
          </w:p>
          <w:p w14:paraId="75F7A106" w14:textId="17C4484A" w:rsidR="004738FA" w:rsidRDefault="004738FA" w:rsidP="009D5A02">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6015EC96" w14:textId="44222F0D" w:rsidR="009D5A02" w:rsidRDefault="009D5A02" w:rsidP="009D5A02">
            <w:pPr>
              <w:pStyle w:val="MText"/>
              <w:rPr>
                <w:rFonts w:eastAsia="Calibri"/>
                <w:u w:val="single"/>
              </w:rPr>
            </w:pPr>
          </w:p>
          <w:p w14:paraId="6E73E986" w14:textId="28F4B9C6" w:rsidR="009D5A02" w:rsidRPr="009D5A02" w:rsidRDefault="009D5A02" w:rsidP="009D5A02">
            <w:pPr>
              <w:pStyle w:val="MText"/>
              <w:rPr>
                <w:rFonts w:eastAsia="Calibri"/>
              </w:rPr>
            </w:pPr>
            <w:r w:rsidRPr="009D5A02">
              <w:rPr>
                <w:rFonts w:eastAsia="Calibri"/>
                <w:noProof/>
              </w:rPr>
              <w:drawing>
                <wp:inline distT="0" distB="0" distL="0" distR="0" wp14:anchorId="45288D7F" wp14:editId="074CD0D9">
                  <wp:extent cx="1885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01E16879" w14:textId="3F71A454" w:rsidR="009D5A02" w:rsidRDefault="009D5A02" w:rsidP="009D5A02">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425DD752" w14:textId="77777777" w:rsidR="009D5A02" w:rsidRDefault="004738FA" w:rsidP="009D5A02">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F51C2C5" w14:textId="548FA4DF" w:rsidR="004738FA" w:rsidRPr="00282BF7" w:rsidRDefault="009D5A02" w:rsidP="009D5A02">
            <w:pPr>
              <w:pStyle w:val="MText"/>
              <w:rPr>
                <w:rFonts w:eastAsia="Calibri"/>
              </w:rPr>
            </w:pPr>
            <w:r>
              <w:rPr>
                <w:rFonts w:eastAsia="Calibri"/>
                <w:noProof/>
              </w:rPr>
              <w:drawing>
                <wp:inline distT="0" distB="0" distL="0" distR="0" wp14:anchorId="1ACB19F7" wp14:editId="7A958155">
                  <wp:extent cx="1885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r w:rsidR="004738FA" w:rsidRPr="00282BF7">
              <w:rPr>
                <w:rFonts w:eastAsia="Calibri"/>
              </w:rPr>
              <w:tab/>
            </w:r>
          </w:p>
          <w:p w14:paraId="038621BF" w14:textId="71DE2D19" w:rsidR="004738FA" w:rsidRPr="00670F4A" w:rsidRDefault="004738FA" w:rsidP="009D5A02">
            <w:pPr>
              <w:rPr>
                <w:rFonts w:eastAsia="Calibri"/>
                <w:u w:val="single"/>
              </w:rPr>
            </w:pPr>
            <w:r w:rsidRPr="00282BF7">
              <w:rPr>
                <w:rFonts w:eastAsia="Calibri" w:cstheme="minorHAnsi"/>
                <w:u w:val="single"/>
              </w:rPr>
              <w:br w:type="page"/>
            </w: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11"/>
  </w:num>
  <w:num w:numId="5">
    <w:abstractNumId w:val="5"/>
  </w:num>
  <w:num w:numId="6">
    <w:abstractNumId w:val="3"/>
  </w:num>
  <w:num w:numId="7">
    <w:abstractNumId w:val="15"/>
  </w:num>
  <w:num w:numId="8">
    <w:abstractNumId w:val="0"/>
  </w:num>
  <w:num w:numId="9">
    <w:abstractNumId w:val="1"/>
  </w:num>
  <w:num w:numId="10">
    <w:abstractNumId w:val="2"/>
  </w:num>
  <w:num w:numId="11">
    <w:abstractNumId w:val="6"/>
  </w:num>
  <w:num w:numId="12">
    <w:abstractNumId w:val="9"/>
  </w:num>
  <w:num w:numId="13">
    <w:abstractNumId w:val="14"/>
  </w:num>
  <w:num w:numId="14">
    <w:abstractNumId w:val="4"/>
  </w:num>
  <w:num w:numId="15">
    <w:abstractNumId w:val="1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27C1B"/>
    <w:rsid w:val="002313D6"/>
    <w:rsid w:val="00235F8D"/>
    <w:rsid w:val="002525CC"/>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6403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EC7"/>
    <w:rsid w:val="00881218"/>
    <w:rsid w:val="008A7300"/>
    <w:rsid w:val="008C141D"/>
    <w:rsid w:val="008D775E"/>
    <w:rsid w:val="008D7A9D"/>
    <w:rsid w:val="008E4413"/>
    <w:rsid w:val="008E6037"/>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5A02"/>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52301"/>
    <w:rsid w:val="00B71AEA"/>
    <w:rsid w:val="00B74489"/>
    <w:rsid w:val="00B8102F"/>
    <w:rsid w:val="00B818CA"/>
    <w:rsid w:val="00B97297"/>
    <w:rsid w:val="00BA3E62"/>
    <w:rsid w:val="00BB553B"/>
    <w:rsid w:val="00BD7158"/>
    <w:rsid w:val="00BE6584"/>
    <w:rsid w:val="00C057EA"/>
    <w:rsid w:val="00C141AF"/>
    <w:rsid w:val="00C210B4"/>
    <w:rsid w:val="00C22A2E"/>
    <w:rsid w:val="00C47725"/>
    <w:rsid w:val="00C605D4"/>
    <w:rsid w:val="00C73536"/>
    <w:rsid w:val="00C94E79"/>
    <w:rsid w:val="00C952EB"/>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16CC3"/>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a-au190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882-E219-4DF5-9BAF-383673F2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2020-05-06T21:02:00Z</dcterms:created>
  <dcterms:modified xsi:type="dcterms:W3CDTF">2020-05-20T16:34:00Z</dcterms:modified>
</cp:coreProperties>
</file>