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4A194115" w:rsidR="005377B9" w:rsidRPr="00837EC7" w:rsidRDefault="007C139F" w:rsidP="00356B1E">
            <w:pPr>
              <w:pStyle w:val="MGTHeader"/>
              <w:rPr>
                <w:rFonts w:cstheme="minorHAnsi"/>
              </w:rPr>
            </w:pPr>
            <w:r w:rsidRPr="00306C61">
              <w:t>Goal 15: Protect, restore and promote sustainable use of terrestrial ecosystems, sustainably manage forests, combat desertification, and halt and reverse land degradation and halt biodiversity loss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5EAB0486" w:rsidR="005377B9" w:rsidRPr="007C139F" w:rsidRDefault="007C139F" w:rsidP="00356B1E">
            <w:pPr>
              <w:pStyle w:val="MGTHeader"/>
              <w:rPr>
                <w:color w:val="1C75BC"/>
              </w:rPr>
            </w:pPr>
            <w:r w:rsidRPr="00306C61">
              <w:t>Target 15.4: By 2030, ensure the conservation of mountain ecosystems, including their biodiversity, in order to enhance their capacity to provide benefits that are essential for sustainable development</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71F77A61" w:rsidR="005377B9" w:rsidRPr="00DB2680" w:rsidRDefault="00356B1E" w:rsidP="00356B1E">
            <w:pPr>
              <w:pStyle w:val="MIndHeader"/>
              <w:rPr>
                <w:b/>
                <w:bCs/>
                <w:sz w:val="24"/>
                <w:szCs w:val="24"/>
              </w:rPr>
            </w:pPr>
            <w:bookmarkStart w:id="7" w:name="_Toc455213244"/>
            <w:r w:rsidRPr="00B226AD">
              <w:t>Indicator 15.4.2: Mountain Green Cover Index</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0DB486F4" w:rsidR="005377B9" w:rsidRPr="00837EC7" w:rsidRDefault="007C139F" w:rsidP="00356B1E">
            <w:pPr>
              <w:pStyle w:val="Header"/>
              <w:rPr>
                <w:color w:val="7F7F7F" w:themeColor="text1" w:themeTint="80"/>
                <w:sz w:val="18"/>
                <w:szCs w:val="18"/>
              </w:rPr>
            </w:pPr>
            <w:bookmarkStart w:id="8" w:name="_Hlk532729630"/>
            <w:bookmarkStart w:id="9" w:name="_Hlk532741981"/>
            <w:bookmarkStart w:id="10" w:name="_Hlk532741982"/>
            <w:bookmarkStart w:id="11" w:name="_Hlk532743218"/>
            <w:bookmarkStart w:id="12" w:name="_Hlk532743219"/>
            <w:bookmarkStart w:id="13" w:name="_Hlk532743720"/>
            <w:bookmarkStart w:id="14" w:name="_Hlk532743721"/>
            <w:bookmarkStart w:id="15" w:name="_Hlk532743878"/>
            <w:bookmarkStart w:id="16" w:name="_Hlk532743879"/>
            <w:bookmarkStart w:id="17" w:name="_Hlk532744020"/>
            <w:bookmarkStart w:id="18" w:name="_Hlk532744021"/>
            <w:bookmarkStart w:id="19" w:name="_Hlk532753304"/>
            <w:bookmarkStart w:id="20" w:name="_Hlk532753305"/>
            <w:bookmarkStart w:id="21" w:name="_Hlk532753645"/>
            <w:bookmarkStart w:id="22" w:name="_Hlk532753646"/>
            <w:bookmarkStart w:id="23" w:name="_Hlk532753695"/>
            <w:bookmarkStart w:id="24" w:name="_Hlk532753696"/>
            <w:bookmarkStart w:id="25" w:name="_Hlk532753792"/>
            <w:bookmarkStart w:id="26" w:name="_Hlk532753793"/>
            <w:bookmarkStart w:id="27" w:name="_Hlk532754282"/>
            <w:bookmarkStart w:id="28" w:name="_Hlk532754283"/>
            <w:bookmarkStart w:id="29" w:name="_Hlk532754330"/>
            <w:bookmarkStart w:id="30" w:name="_Hlk532754331"/>
            <w:r>
              <w:rPr>
                <w:color w:val="595959" w:themeColor="text1" w:themeTint="A6"/>
                <w:sz w:val="18"/>
                <w:szCs w:val="18"/>
              </w:rPr>
              <w:t xml:space="preserve">Last updated: </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002063EC">
              <w:rPr>
                <w:color w:val="595959" w:themeColor="text1" w:themeTint="A6"/>
                <w:sz w:val="18"/>
                <w:szCs w:val="18"/>
              </w:rPr>
              <w:t>14 December 2020</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54B0FCE4" w14:textId="43674B82" w:rsidR="00D42D69" w:rsidRPr="00306C61" w:rsidRDefault="00D42D69" w:rsidP="006012F0">
            <w:pPr>
              <w:pStyle w:val="MHeader"/>
            </w:pPr>
            <w:r w:rsidRPr="00306C61">
              <w:t>Related indicators</w:t>
            </w:r>
          </w:p>
          <w:p w14:paraId="1D8C2572" w14:textId="7AB20FA0" w:rsidR="005377B9" w:rsidRPr="00837EC7" w:rsidRDefault="00C23CF3" w:rsidP="00E37818">
            <w:pPr>
              <w:shd w:val="clear" w:color="auto" w:fill="FFFFFF"/>
              <w:spacing w:after="0"/>
              <w:contextualSpacing/>
              <w:rPr>
                <w:rFonts w:cstheme="minorHAnsi"/>
              </w:rPr>
            </w:pPr>
            <w:r w:rsidRPr="00306C61">
              <w:rPr>
                <w:rFonts w:eastAsia="Times New Roman" w:cs="Times New Roman"/>
                <w:color w:val="4A4A4A"/>
                <w:sz w:val="21"/>
                <w:szCs w:val="21"/>
                <w:lang w:eastAsia="en-GB"/>
              </w:rPr>
              <w:t>6.6</w:t>
            </w:r>
            <w:r>
              <w:rPr>
                <w:rFonts w:eastAsia="Times New Roman" w:cs="Times New Roman"/>
                <w:color w:val="4A4A4A"/>
                <w:sz w:val="21"/>
                <w:szCs w:val="21"/>
                <w:lang w:eastAsia="en-GB"/>
              </w:rPr>
              <w:t>.1</w:t>
            </w:r>
            <w:r w:rsidRPr="00306C61">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w:t>
            </w:r>
            <w:r w:rsidRPr="00306C61">
              <w:rPr>
                <w:rFonts w:eastAsia="Times New Roman" w:cs="Times New Roman"/>
                <w:color w:val="4A4A4A"/>
                <w:sz w:val="21"/>
                <w:szCs w:val="21"/>
                <w:lang w:eastAsia="en-GB"/>
              </w:rPr>
              <w:t>15.1</w:t>
            </w:r>
            <w:r>
              <w:rPr>
                <w:rFonts w:eastAsia="Times New Roman" w:cs="Times New Roman"/>
                <w:color w:val="4A4A4A"/>
                <w:sz w:val="21"/>
                <w:szCs w:val="21"/>
                <w:lang w:eastAsia="en-GB"/>
              </w:rPr>
              <w:t>.1, 15.2.1</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0.g. International organisations(s) responsible for global monitoring</w:t>
            </w:r>
          </w:p>
        </w:tc>
        <w:tc>
          <w:tcPr>
            <w:tcW w:w="5804" w:type="dxa"/>
            <w:tcBorders>
              <w:top w:val="nil"/>
              <w:left w:val="nil"/>
              <w:bottom w:val="single" w:sz="4" w:space="0" w:color="auto"/>
              <w:right w:val="single" w:sz="4" w:space="0" w:color="auto"/>
            </w:tcBorders>
            <w:shd w:val="clear" w:color="auto" w:fill="auto"/>
          </w:tcPr>
          <w:p w14:paraId="36C52E62" w14:textId="77777777" w:rsidR="007C139F" w:rsidRPr="00306C61" w:rsidRDefault="007C139F" w:rsidP="006012F0">
            <w:pPr>
              <w:pStyle w:val="MHeader"/>
            </w:pPr>
            <w:r w:rsidRPr="00306C61">
              <w:t>Institutional information</w:t>
            </w:r>
          </w:p>
          <w:p w14:paraId="702D445E" w14:textId="77777777" w:rsidR="007C139F" w:rsidRPr="00306C61" w:rsidRDefault="007C139F" w:rsidP="006012F0">
            <w:pPr>
              <w:pStyle w:val="MSubHeader"/>
            </w:pPr>
            <w:r w:rsidRPr="00306C61">
              <w:t>Organization(s):</w:t>
            </w:r>
          </w:p>
          <w:p w14:paraId="716FA1AC" w14:textId="7CE3B079" w:rsidR="005377B9" w:rsidRPr="00837EC7" w:rsidRDefault="007C139F" w:rsidP="006012F0">
            <w:pPr>
              <w:pStyle w:val="MText"/>
              <w:rPr>
                <w:rFonts w:cstheme="minorHAnsi"/>
              </w:rPr>
            </w:pPr>
            <w:r w:rsidRPr="00306C61">
              <w:t>Food and Agriculture Organization of the United Nations (FAO)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31" w:name="_Toc36655609"/>
            <w:bookmarkStart w:id="32" w:name="_Toc36812572"/>
            <w:bookmarkStart w:id="33" w:name="_Toc36812685"/>
            <w:bookmarkStart w:id="34" w:name="_Toc36813072"/>
            <w:bookmarkStart w:id="35" w:name="_Toc37932744"/>
            <w:r w:rsidRPr="00837EC7">
              <w:rPr>
                <w:sz w:val="32"/>
                <w:szCs w:val="32"/>
              </w:rPr>
              <w:t>1. Data reporter</w:t>
            </w:r>
            <w:bookmarkEnd w:id="31"/>
            <w:bookmarkEnd w:id="32"/>
            <w:bookmarkEnd w:id="33"/>
            <w:bookmarkEnd w:id="34"/>
            <w:bookmarkEnd w:id="35"/>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1.a. Organisation</w:t>
            </w:r>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1.c. Contact organisation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45F5FD67"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36" w:name="_Toc36655610"/>
            <w:bookmarkStart w:id="37" w:name="_Toc36812573"/>
            <w:bookmarkStart w:id="38" w:name="_Toc36812686"/>
            <w:bookmarkStart w:id="39" w:name="_Toc36813073"/>
            <w:bookmarkStart w:id="40" w:name="_Toc37932745"/>
            <w:r w:rsidRPr="00837EC7">
              <w:rPr>
                <w:sz w:val="32"/>
                <w:szCs w:val="32"/>
              </w:rPr>
              <w:t>2. Definition, concepts, and classifications</w:t>
            </w:r>
            <w:bookmarkEnd w:id="36"/>
            <w:bookmarkEnd w:id="37"/>
            <w:bookmarkEnd w:id="38"/>
            <w:bookmarkEnd w:id="39"/>
            <w:bookmarkEnd w:id="40"/>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7E9C3D54" w14:textId="77777777" w:rsidR="007C139F" w:rsidRPr="00306C61" w:rsidRDefault="007C139F" w:rsidP="00563B54">
            <w:pPr>
              <w:pStyle w:val="MHeader"/>
            </w:pPr>
            <w:r w:rsidRPr="00306C61">
              <w:t>Concepts and definitions</w:t>
            </w:r>
          </w:p>
          <w:p w14:paraId="04C8C375" w14:textId="77777777" w:rsidR="007C139F" w:rsidRPr="00306C61" w:rsidRDefault="007C139F" w:rsidP="00563B54">
            <w:pPr>
              <w:pStyle w:val="MSubHeader"/>
            </w:pPr>
            <w:r w:rsidRPr="00306C61">
              <w:t>Definition:</w:t>
            </w:r>
          </w:p>
          <w:p w14:paraId="7B06C6B8" w14:textId="218CF671" w:rsidR="007C139F" w:rsidRDefault="007C139F" w:rsidP="005C62D1">
            <w:pPr>
              <w:pStyle w:val="MText"/>
            </w:pPr>
            <w:r w:rsidRPr="00306C61">
              <w:t xml:space="preserve">The Green Cover Index is </w:t>
            </w:r>
            <w:r w:rsidR="002063EC">
              <w:t>designed</w:t>
            </w:r>
            <w:r w:rsidR="002063EC" w:rsidRPr="00306C61">
              <w:t xml:space="preserve"> </w:t>
            </w:r>
            <w:r w:rsidRPr="00306C61">
              <w:t xml:space="preserve">to measure the </w:t>
            </w:r>
            <w:r w:rsidR="002063EC">
              <w:t xml:space="preserve">extent and the </w:t>
            </w:r>
            <w:r w:rsidRPr="00306C61">
              <w:t>changes of the green vegetation in mountain areas - i.e. forest, shrubs, trees, pasture land, crop land, etc. – in order to monitor progress on the mountain target.</w:t>
            </w:r>
          </w:p>
          <w:p w14:paraId="038F12E5" w14:textId="77777777" w:rsidR="008769D5" w:rsidRDefault="008769D5" w:rsidP="005C62D1">
            <w:pPr>
              <w:pStyle w:val="MText"/>
            </w:pPr>
          </w:p>
          <w:p w14:paraId="4AB3853F" w14:textId="6B68289F" w:rsidR="002063EC" w:rsidRPr="00FD208B" w:rsidRDefault="002063EC" w:rsidP="005C62D1">
            <w:pPr>
              <w:pStyle w:val="MText"/>
            </w:pPr>
            <w:r w:rsidRPr="00FD208B">
              <w:t xml:space="preserve">MGCI is defined as the percentage of green cover over the total surface of the mountain region of a given country and for given reporting year. The aim of the index is to monitor the evolution of the green cover and </w:t>
            </w:r>
            <w:r>
              <w:t xml:space="preserve">thus </w:t>
            </w:r>
            <w:r w:rsidRPr="00FD208B">
              <w:t>assess the status of conservation of mountain ecosystems.</w:t>
            </w:r>
          </w:p>
          <w:p w14:paraId="273171B2" w14:textId="77777777" w:rsidR="002063EC" w:rsidRDefault="002063EC" w:rsidP="00563B54">
            <w:pPr>
              <w:pStyle w:val="MText"/>
            </w:pPr>
          </w:p>
          <w:p w14:paraId="13F318F7" w14:textId="77777777" w:rsidR="00A44D87" w:rsidRPr="00FD208B" w:rsidRDefault="00A44D87" w:rsidP="005C62D1">
            <w:pPr>
              <w:pStyle w:val="MSubHeader"/>
            </w:pPr>
            <w:r w:rsidRPr="00FD208B">
              <w:t>Concepts:</w:t>
            </w:r>
          </w:p>
          <w:p w14:paraId="68D2AB31" w14:textId="77777777" w:rsidR="00A44D87" w:rsidRPr="00FD208B" w:rsidRDefault="00A44D87" w:rsidP="005C62D1">
            <w:pPr>
              <w:pStyle w:val="MText"/>
            </w:pPr>
            <w:r w:rsidRPr="00FD208B">
              <w:t xml:space="preserve">The Mountain Green Cover index is based </w:t>
            </w:r>
            <w:r>
              <w:t>on</w:t>
            </w:r>
            <w:r w:rsidRPr="00FD208B">
              <w:t xml:space="preserve"> </w:t>
            </w:r>
            <w:r>
              <w:t>two</w:t>
            </w:r>
            <w:r w:rsidRPr="00FD208B">
              <w:t xml:space="preserve"> descriptor layers of information:</w:t>
            </w:r>
          </w:p>
          <w:p w14:paraId="74FE537C" w14:textId="77777777" w:rsidR="00A44D87" w:rsidRPr="00FD208B" w:rsidRDefault="00A44D87" w:rsidP="00A44D87">
            <w:pPr>
              <w:shd w:val="clear" w:color="auto" w:fill="FFFFFF"/>
              <w:spacing w:after="0"/>
              <w:contextualSpacing/>
              <w:rPr>
                <w:rFonts w:eastAsia="Times New Roman" w:cs="Times New Roman"/>
                <w:color w:val="4A4A4A"/>
                <w:sz w:val="21"/>
                <w:szCs w:val="21"/>
                <w:lang w:eastAsia="en-GB"/>
              </w:rPr>
            </w:pPr>
          </w:p>
          <w:p w14:paraId="5BD5B056" w14:textId="0BD79765" w:rsidR="00A44D87" w:rsidRPr="00FD208B" w:rsidRDefault="00A44D87" w:rsidP="005C62D1">
            <w:pPr>
              <w:pStyle w:val="MText"/>
            </w:pPr>
            <w:r>
              <w:rPr>
                <w:u w:val="single"/>
              </w:rPr>
              <w:t>1.</w:t>
            </w:r>
            <w:r w:rsidRPr="00FD208B">
              <w:rPr>
                <w:u w:val="single"/>
              </w:rPr>
              <w:t>A mountain descriptor layer</w:t>
            </w:r>
            <w:r w:rsidRPr="00FD208B">
              <w:t xml:space="preserve">:  mountains can be defined </w:t>
            </w:r>
            <w:r>
              <w:t>with reference to a variety of parameters</w:t>
            </w:r>
            <w:r w:rsidRPr="00FD208B">
              <w:t xml:space="preserve">, such as climate, elevation, ecology </w:t>
            </w:r>
            <w:sdt>
              <w:sdtPr>
                <w:id w:val="-1533866827"/>
                <w:citation/>
              </w:sdtPr>
              <w:sdtEndPr/>
              <w:sdtContent>
                <w:r w:rsidRPr="00FD208B">
                  <w:fldChar w:fldCharType="begin"/>
                </w:r>
                <w:r w:rsidRPr="00FD208B">
                  <w:instrText xml:space="preserve"> CITATION Kör11 \l 2057 </w:instrText>
                </w:r>
                <w:r w:rsidRPr="00FD208B">
                  <w:fldChar w:fldCharType="separate"/>
                </w:r>
                <w:r w:rsidRPr="00FD208B">
                  <w:rPr>
                    <w:noProof/>
                  </w:rPr>
                  <w:t>(Körner, Paulsen, &amp; Spehn, 2011)</w:t>
                </w:r>
                <w:r w:rsidRPr="00FD208B">
                  <w:fldChar w:fldCharType="end"/>
                </w:r>
              </w:sdtContent>
            </w:sdt>
            <w:sdt>
              <w:sdtPr>
                <w:id w:val="2123502159"/>
                <w:citation/>
              </w:sdtPr>
              <w:sdtEndPr/>
              <w:sdtContent>
                <w:r w:rsidRPr="00FD208B">
                  <w:fldChar w:fldCharType="begin"/>
                </w:r>
                <w:r w:rsidRPr="00FD208B">
                  <w:instrText xml:space="preserve"> CITATION Kar17 \l 2057 </w:instrText>
                </w:r>
                <w:r w:rsidRPr="00FD208B">
                  <w:fldChar w:fldCharType="separate"/>
                </w:r>
                <w:r w:rsidRPr="00FD208B">
                  <w:rPr>
                    <w:noProof/>
                  </w:rPr>
                  <w:t xml:space="preserve"> (Karagulle, et al., 2017)</w:t>
                </w:r>
                <w:r w:rsidRPr="00FD208B">
                  <w:fldChar w:fldCharType="end"/>
                </w:r>
              </w:sdtContent>
            </w:sdt>
            <w:r>
              <w:t xml:space="preserve">. This methodology adheres to </w:t>
            </w:r>
            <w:r w:rsidRPr="00FD208B">
              <w:t xml:space="preserve">the UNEP- WCMC mountain definition, </w:t>
            </w:r>
            <w:r>
              <w:t xml:space="preserve">relying in turn on </w:t>
            </w:r>
            <w:r w:rsidRPr="00FD208B">
              <w:t xml:space="preserve">the mountain description proposed by </w:t>
            </w:r>
            <w:sdt>
              <w:sdtPr>
                <w:id w:val="558291919"/>
                <w:citation/>
              </w:sdtPr>
              <w:sdtEndPr/>
              <w:sdtContent>
                <w:r w:rsidRPr="00FD208B">
                  <w:fldChar w:fldCharType="begin"/>
                </w:r>
                <w:r w:rsidRPr="00FD208B">
                  <w:instrText xml:space="preserve"> CITATION Kap00 \l 2057 </w:instrText>
                </w:r>
                <w:r w:rsidRPr="00FD208B">
                  <w:fldChar w:fldCharType="separate"/>
                </w:r>
                <w:r w:rsidRPr="00FD208B">
                  <w:rPr>
                    <w:noProof/>
                  </w:rPr>
                  <w:t>(Kapos, Rhind, Edwards, Prince, &amp; Ravillous, 2000)</w:t>
                </w:r>
                <w:r w:rsidRPr="00FD208B">
                  <w:fldChar w:fldCharType="end"/>
                </w:r>
              </w:sdtContent>
            </w:sdt>
            <w:r w:rsidRPr="00FD208B">
              <w:t>.</w:t>
            </w:r>
          </w:p>
          <w:p w14:paraId="2FDAA97C" w14:textId="77777777" w:rsidR="00A44D87" w:rsidRPr="00FD208B" w:rsidRDefault="00A44D87" w:rsidP="005C62D1">
            <w:pPr>
              <w:pStyle w:val="MText"/>
            </w:pPr>
          </w:p>
          <w:p w14:paraId="72A4D681" w14:textId="77777777" w:rsidR="00A44D87" w:rsidRPr="00FD208B" w:rsidRDefault="00A44D87" w:rsidP="005C62D1">
            <w:pPr>
              <w:pStyle w:val="MText"/>
            </w:pPr>
            <w:r w:rsidRPr="00FD208B">
              <w:t>This description classifies mountains according altitude, slope and elevation range into 6 categories.</w:t>
            </w:r>
          </w:p>
          <w:p w14:paraId="38C6189C" w14:textId="77777777" w:rsidR="00A44D87" w:rsidRPr="00FD208B" w:rsidRDefault="00A44D87" w:rsidP="00A44D87">
            <w:pPr>
              <w:shd w:val="clear" w:color="auto" w:fill="FFFFFF"/>
              <w:spacing w:after="0"/>
              <w:contextualSpacing/>
              <w:rPr>
                <w:rFonts w:eastAsia="Times New Roman" w:cs="Times New Roman"/>
                <w:color w:val="4A4A4A"/>
                <w:sz w:val="21"/>
                <w:szCs w:val="21"/>
                <w:lang w:eastAsia="en-GB"/>
              </w:rPr>
            </w:pPr>
          </w:p>
          <w:tbl>
            <w:tblPr>
              <w:tblStyle w:val="TableGrid"/>
              <w:tblW w:w="67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90"/>
              <w:gridCol w:w="5389"/>
              <w:gridCol w:w="270"/>
            </w:tblGrid>
            <w:tr w:rsidR="00A44D87" w:rsidRPr="00FD208B" w14:paraId="16497BD5" w14:textId="77777777" w:rsidTr="005C62D1">
              <w:trPr>
                <w:gridAfter w:val="1"/>
                <w:wAfter w:w="270" w:type="dxa"/>
              </w:trPr>
              <w:tc>
                <w:tcPr>
                  <w:tcW w:w="1090" w:type="dxa"/>
                  <w:tcBorders>
                    <w:bottom w:val="single" w:sz="4" w:space="0" w:color="auto"/>
                  </w:tcBorders>
                </w:tcPr>
                <w:p w14:paraId="22AAFB5B" w14:textId="4F6E0888" w:rsidR="00A44D87" w:rsidRPr="00FD208B" w:rsidRDefault="00A44D87" w:rsidP="005C62D1">
                  <w:pPr>
                    <w:contextualSpacing/>
                    <w:jc w:val="center"/>
                    <w:rPr>
                      <w:rFonts w:eastAsia="Times New Roman" w:cs="Times New Roman"/>
                      <w:color w:val="4A4A4A"/>
                      <w:sz w:val="21"/>
                      <w:szCs w:val="21"/>
                      <w:lang w:eastAsia="en-GB"/>
                    </w:rPr>
                  </w:pPr>
                  <w:r>
                    <w:rPr>
                      <w:rFonts w:eastAsia="Times New Roman" w:cs="Times New Roman"/>
                      <w:color w:val="4A4A4A"/>
                      <w:sz w:val="21"/>
                      <w:szCs w:val="21"/>
                      <w:lang w:eastAsia="en-GB"/>
                    </w:rPr>
                    <w:lastRenderedPageBreak/>
                    <w:t>Mountain</w:t>
                  </w:r>
                  <w:r w:rsidRPr="00FD208B">
                    <w:rPr>
                      <w:rFonts w:eastAsia="Times New Roman" w:cs="Times New Roman"/>
                      <w:color w:val="4A4A4A"/>
                      <w:sz w:val="21"/>
                      <w:szCs w:val="21"/>
                      <w:lang w:eastAsia="en-GB"/>
                    </w:rPr>
                    <w:t xml:space="preserve"> Class</w:t>
                  </w:r>
                </w:p>
              </w:tc>
              <w:tc>
                <w:tcPr>
                  <w:tcW w:w="5389" w:type="dxa"/>
                  <w:tcBorders>
                    <w:bottom w:val="single" w:sz="4" w:space="0" w:color="auto"/>
                  </w:tcBorders>
                </w:tcPr>
                <w:p w14:paraId="14798E01" w14:textId="77777777" w:rsidR="00A44D87" w:rsidRPr="00FD208B" w:rsidRDefault="00A44D87" w:rsidP="00A44D87">
                  <w:pPr>
                    <w:contextualSpacing/>
                    <w:rPr>
                      <w:rFonts w:eastAsia="Times New Roman" w:cs="Times New Roman"/>
                      <w:color w:val="4A4A4A"/>
                      <w:sz w:val="21"/>
                      <w:szCs w:val="21"/>
                      <w:lang w:eastAsia="en-GB"/>
                    </w:rPr>
                  </w:pPr>
                  <w:r w:rsidRPr="00FD208B">
                    <w:rPr>
                      <w:rFonts w:eastAsia="Times New Roman" w:cs="Times New Roman"/>
                      <w:color w:val="4A4A4A"/>
                      <w:sz w:val="21"/>
                      <w:szCs w:val="21"/>
                      <w:lang w:eastAsia="en-GB"/>
                    </w:rPr>
                    <w:t xml:space="preserve">Description </w:t>
                  </w:r>
                </w:p>
              </w:tc>
            </w:tr>
            <w:tr w:rsidR="00A44D87" w:rsidRPr="00FD208B" w14:paraId="76E3833D" w14:textId="77777777" w:rsidTr="005C62D1">
              <w:trPr>
                <w:trHeight w:val="197"/>
              </w:trPr>
              <w:tc>
                <w:tcPr>
                  <w:tcW w:w="1090" w:type="dxa"/>
                  <w:tcBorders>
                    <w:top w:val="single" w:sz="4" w:space="0" w:color="auto"/>
                  </w:tcBorders>
                </w:tcPr>
                <w:p w14:paraId="1C204816" w14:textId="77777777" w:rsidR="00A44D87" w:rsidRPr="00FD208B" w:rsidRDefault="00A44D87" w:rsidP="00A44D87">
                  <w:pPr>
                    <w:contextualSpacing/>
                    <w:jc w:val="center"/>
                    <w:rPr>
                      <w:rFonts w:eastAsia="Times New Roman" w:cs="Times New Roman"/>
                      <w:color w:val="4A4A4A"/>
                      <w:sz w:val="21"/>
                      <w:szCs w:val="21"/>
                      <w:lang w:eastAsia="en-GB"/>
                    </w:rPr>
                  </w:pPr>
                  <w:r w:rsidRPr="00FD208B">
                    <w:rPr>
                      <w:rFonts w:eastAsia="Times New Roman" w:cs="Times New Roman"/>
                      <w:color w:val="4A4A4A"/>
                      <w:sz w:val="21"/>
                      <w:szCs w:val="21"/>
                      <w:lang w:eastAsia="en-GB"/>
                    </w:rPr>
                    <w:t>1</w:t>
                  </w:r>
                </w:p>
              </w:tc>
              <w:tc>
                <w:tcPr>
                  <w:tcW w:w="5659" w:type="dxa"/>
                  <w:gridSpan w:val="2"/>
                  <w:tcBorders>
                    <w:top w:val="single" w:sz="4" w:space="0" w:color="auto"/>
                  </w:tcBorders>
                </w:tcPr>
                <w:p w14:paraId="1D7A4631" w14:textId="77777777" w:rsidR="00A44D87" w:rsidRPr="00FD208B" w:rsidRDefault="00A44D87" w:rsidP="00A44D87">
                  <w:pPr>
                    <w:contextualSpacing/>
                    <w:rPr>
                      <w:rFonts w:eastAsia="Times New Roman" w:cs="Times New Roman"/>
                      <w:color w:val="4A4A4A"/>
                      <w:sz w:val="21"/>
                      <w:szCs w:val="21"/>
                      <w:lang w:eastAsia="en-GB"/>
                    </w:rPr>
                  </w:pPr>
                  <w:r w:rsidRPr="00FD208B">
                    <w:rPr>
                      <w:rFonts w:eastAsia="Times New Roman" w:cs="Times New Roman"/>
                      <w:color w:val="4A4A4A"/>
                      <w:sz w:val="21"/>
                      <w:szCs w:val="21"/>
                      <w:lang w:eastAsia="en-GB"/>
                    </w:rPr>
                    <w:t>Elevation &gt; 4.500 meters</w:t>
                  </w:r>
                </w:p>
              </w:tc>
            </w:tr>
            <w:tr w:rsidR="00A44D87" w:rsidRPr="00FD208B" w14:paraId="5F8B9CD3" w14:textId="77777777" w:rsidTr="005C62D1">
              <w:tc>
                <w:tcPr>
                  <w:tcW w:w="1090" w:type="dxa"/>
                </w:tcPr>
                <w:p w14:paraId="112EB945" w14:textId="77777777" w:rsidR="00A44D87" w:rsidRPr="00FD208B" w:rsidRDefault="00A44D87" w:rsidP="00A44D87">
                  <w:pPr>
                    <w:contextualSpacing/>
                    <w:jc w:val="center"/>
                    <w:rPr>
                      <w:rFonts w:eastAsia="Times New Roman" w:cs="Times New Roman"/>
                      <w:color w:val="4A4A4A"/>
                      <w:sz w:val="21"/>
                      <w:szCs w:val="21"/>
                      <w:lang w:eastAsia="en-GB"/>
                    </w:rPr>
                  </w:pPr>
                  <w:r w:rsidRPr="00FD208B">
                    <w:rPr>
                      <w:rFonts w:eastAsia="Times New Roman" w:cs="Times New Roman"/>
                      <w:color w:val="4A4A4A"/>
                      <w:sz w:val="21"/>
                      <w:szCs w:val="21"/>
                      <w:lang w:eastAsia="en-GB"/>
                    </w:rPr>
                    <w:t>2</w:t>
                  </w:r>
                </w:p>
              </w:tc>
              <w:tc>
                <w:tcPr>
                  <w:tcW w:w="5659" w:type="dxa"/>
                  <w:gridSpan w:val="2"/>
                </w:tcPr>
                <w:p w14:paraId="48863427" w14:textId="77777777" w:rsidR="00A44D87" w:rsidRPr="00FD208B" w:rsidRDefault="00A44D87" w:rsidP="00A44D87">
                  <w:pPr>
                    <w:contextualSpacing/>
                    <w:rPr>
                      <w:rFonts w:eastAsia="Times New Roman" w:cs="Times New Roman"/>
                      <w:color w:val="4A4A4A"/>
                      <w:sz w:val="21"/>
                      <w:szCs w:val="21"/>
                      <w:lang w:eastAsia="en-GB"/>
                    </w:rPr>
                  </w:pPr>
                  <w:r w:rsidRPr="00FD208B">
                    <w:rPr>
                      <w:rFonts w:eastAsia="Times New Roman" w:cs="Times New Roman"/>
                      <w:color w:val="4A4A4A"/>
                      <w:sz w:val="21"/>
                      <w:szCs w:val="21"/>
                      <w:lang w:eastAsia="en-GB"/>
                    </w:rPr>
                    <w:t>Elevation 3.500–4.500 meters</w:t>
                  </w:r>
                </w:p>
              </w:tc>
            </w:tr>
            <w:tr w:rsidR="00A44D87" w:rsidRPr="00FD208B" w14:paraId="28DF3C18" w14:textId="77777777" w:rsidTr="005C62D1">
              <w:tc>
                <w:tcPr>
                  <w:tcW w:w="1090" w:type="dxa"/>
                </w:tcPr>
                <w:p w14:paraId="0A0C30A2" w14:textId="77777777" w:rsidR="00A44D87" w:rsidRPr="00FD208B" w:rsidRDefault="00A44D87" w:rsidP="00A44D87">
                  <w:pPr>
                    <w:contextualSpacing/>
                    <w:jc w:val="center"/>
                    <w:rPr>
                      <w:rFonts w:eastAsia="Times New Roman" w:cs="Times New Roman"/>
                      <w:color w:val="4A4A4A"/>
                      <w:sz w:val="21"/>
                      <w:szCs w:val="21"/>
                      <w:lang w:eastAsia="en-GB"/>
                    </w:rPr>
                  </w:pPr>
                  <w:r w:rsidRPr="00FD208B">
                    <w:rPr>
                      <w:rFonts w:eastAsia="Times New Roman" w:cs="Times New Roman"/>
                      <w:color w:val="4A4A4A"/>
                      <w:sz w:val="21"/>
                      <w:szCs w:val="21"/>
                      <w:lang w:eastAsia="en-GB"/>
                    </w:rPr>
                    <w:t>3</w:t>
                  </w:r>
                </w:p>
              </w:tc>
              <w:tc>
                <w:tcPr>
                  <w:tcW w:w="5659" w:type="dxa"/>
                  <w:gridSpan w:val="2"/>
                </w:tcPr>
                <w:p w14:paraId="10B2727F" w14:textId="77777777" w:rsidR="00A44D87" w:rsidRPr="00FD208B" w:rsidRDefault="00A44D87" w:rsidP="00A44D87">
                  <w:pPr>
                    <w:contextualSpacing/>
                    <w:rPr>
                      <w:rFonts w:eastAsia="Times New Roman" w:cs="Times New Roman"/>
                      <w:color w:val="4A4A4A"/>
                      <w:sz w:val="21"/>
                      <w:szCs w:val="21"/>
                      <w:lang w:eastAsia="en-GB"/>
                    </w:rPr>
                  </w:pPr>
                  <w:r w:rsidRPr="00FD208B">
                    <w:rPr>
                      <w:rFonts w:eastAsia="Times New Roman" w:cs="Times New Roman"/>
                      <w:color w:val="4A4A4A"/>
                      <w:sz w:val="21"/>
                      <w:szCs w:val="21"/>
                      <w:lang w:eastAsia="en-GB"/>
                    </w:rPr>
                    <w:t>Elevation 2.500–3.500 meters</w:t>
                  </w:r>
                </w:p>
              </w:tc>
            </w:tr>
            <w:tr w:rsidR="00A44D87" w:rsidRPr="00FD208B" w14:paraId="31C09C7F" w14:textId="77777777" w:rsidTr="005C62D1">
              <w:tc>
                <w:tcPr>
                  <w:tcW w:w="1090" w:type="dxa"/>
                </w:tcPr>
                <w:p w14:paraId="171122E9" w14:textId="77777777" w:rsidR="00A44D87" w:rsidRPr="00FD208B" w:rsidRDefault="00A44D87" w:rsidP="00A44D87">
                  <w:pPr>
                    <w:contextualSpacing/>
                    <w:jc w:val="center"/>
                    <w:rPr>
                      <w:rFonts w:eastAsia="Times New Roman" w:cs="Times New Roman"/>
                      <w:color w:val="4A4A4A"/>
                      <w:sz w:val="21"/>
                      <w:szCs w:val="21"/>
                      <w:lang w:eastAsia="en-GB"/>
                    </w:rPr>
                  </w:pPr>
                  <w:r w:rsidRPr="00FD208B">
                    <w:rPr>
                      <w:rFonts w:eastAsia="Times New Roman" w:cs="Times New Roman"/>
                      <w:color w:val="4A4A4A"/>
                      <w:sz w:val="21"/>
                      <w:szCs w:val="21"/>
                      <w:lang w:eastAsia="en-GB"/>
                    </w:rPr>
                    <w:t>4</w:t>
                  </w:r>
                </w:p>
              </w:tc>
              <w:tc>
                <w:tcPr>
                  <w:tcW w:w="5659" w:type="dxa"/>
                  <w:gridSpan w:val="2"/>
                </w:tcPr>
                <w:p w14:paraId="07751559" w14:textId="77777777" w:rsidR="00A44D87" w:rsidRPr="00FD208B" w:rsidRDefault="00A44D87" w:rsidP="00A44D87">
                  <w:pPr>
                    <w:contextualSpacing/>
                    <w:rPr>
                      <w:rFonts w:eastAsia="Times New Roman" w:cs="Times New Roman"/>
                      <w:color w:val="4A4A4A"/>
                      <w:sz w:val="21"/>
                      <w:szCs w:val="21"/>
                      <w:lang w:eastAsia="en-GB"/>
                    </w:rPr>
                  </w:pPr>
                  <w:r w:rsidRPr="00FD208B">
                    <w:rPr>
                      <w:rFonts w:eastAsia="Times New Roman" w:cs="Times New Roman"/>
                      <w:color w:val="4A4A4A"/>
                      <w:sz w:val="21"/>
                      <w:szCs w:val="21"/>
                      <w:lang w:eastAsia="en-GB"/>
                    </w:rPr>
                    <w:t>Elevation 1.500–2.500 meters and slope &gt; 2</w:t>
                  </w:r>
                </w:p>
              </w:tc>
            </w:tr>
            <w:tr w:rsidR="00A44D87" w:rsidRPr="00FD208B" w14:paraId="5B0F72EA" w14:textId="77777777" w:rsidTr="005C62D1">
              <w:tc>
                <w:tcPr>
                  <w:tcW w:w="1090" w:type="dxa"/>
                </w:tcPr>
                <w:p w14:paraId="45409193" w14:textId="77777777" w:rsidR="00A44D87" w:rsidRPr="00FD208B" w:rsidRDefault="00A44D87" w:rsidP="00A44D87">
                  <w:pPr>
                    <w:contextualSpacing/>
                    <w:jc w:val="center"/>
                    <w:rPr>
                      <w:rFonts w:eastAsia="Times New Roman" w:cs="Times New Roman"/>
                      <w:color w:val="4A4A4A"/>
                      <w:sz w:val="21"/>
                      <w:szCs w:val="21"/>
                      <w:lang w:eastAsia="en-GB"/>
                    </w:rPr>
                  </w:pPr>
                  <w:r w:rsidRPr="00FD208B">
                    <w:rPr>
                      <w:rFonts w:eastAsia="Times New Roman" w:cs="Times New Roman"/>
                      <w:color w:val="4A4A4A"/>
                      <w:sz w:val="21"/>
                      <w:szCs w:val="21"/>
                      <w:lang w:eastAsia="en-GB"/>
                    </w:rPr>
                    <w:t>5</w:t>
                  </w:r>
                </w:p>
              </w:tc>
              <w:tc>
                <w:tcPr>
                  <w:tcW w:w="5659" w:type="dxa"/>
                  <w:gridSpan w:val="2"/>
                </w:tcPr>
                <w:p w14:paraId="591D7B49" w14:textId="77777777" w:rsidR="00A44D87" w:rsidRPr="00FD208B" w:rsidRDefault="00A44D87" w:rsidP="00A44D87">
                  <w:pPr>
                    <w:contextualSpacing/>
                    <w:rPr>
                      <w:rFonts w:eastAsia="Times New Roman" w:cs="Times New Roman"/>
                      <w:color w:val="4A4A4A"/>
                      <w:sz w:val="21"/>
                      <w:szCs w:val="21"/>
                      <w:lang w:eastAsia="en-GB"/>
                    </w:rPr>
                  </w:pPr>
                  <w:r w:rsidRPr="00FD208B">
                    <w:rPr>
                      <w:rFonts w:eastAsia="Times New Roman" w:cs="Times New Roman"/>
                      <w:color w:val="4A4A4A"/>
                      <w:sz w:val="21"/>
                      <w:szCs w:val="21"/>
                      <w:lang w:eastAsia="en-GB"/>
                    </w:rPr>
                    <w:t>Elevation 1.000–1.500 meters and slope &gt; 5 or local elevation range (LER 7 kilometer radius) &gt; 300 meters</w:t>
                  </w:r>
                </w:p>
              </w:tc>
            </w:tr>
            <w:tr w:rsidR="00A44D87" w:rsidRPr="00FD208B" w14:paraId="7144ECF1" w14:textId="77777777" w:rsidTr="005C62D1">
              <w:tc>
                <w:tcPr>
                  <w:tcW w:w="1090" w:type="dxa"/>
                </w:tcPr>
                <w:p w14:paraId="7AB85B36" w14:textId="77777777" w:rsidR="00A44D87" w:rsidRPr="00FD208B" w:rsidRDefault="00A44D87" w:rsidP="00A44D87">
                  <w:pPr>
                    <w:contextualSpacing/>
                    <w:jc w:val="center"/>
                    <w:rPr>
                      <w:rFonts w:eastAsia="Times New Roman" w:cs="Times New Roman"/>
                      <w:color w:val="4A4A4A"/>
                      <w:sz w:val="21"/>
                      <w:szCs w:val="21"/>
                      <w:lang w:eastAsia="en-GB"/>
                    </w:rPr>
                  </w:pPr>
                  <w:r w:rsidRPr="00FD208B">
                    <w:rPr>
                      <w:rFonts w:eastAsia="Times New Roman" w:cs="Times New Roman"/>
                      <w:color w:val="4A4A4A"/>
                      <w:sz w:val="21"/>
                      <w:szCs w:val="21"/>
                      <w:lang w:eastAsia="en-GB"/>
                    </w:rPr>
                    <w:t>6</w:t>
                  </w:r>
                </w:p>
                <w:p w14:paraId="0D902F84" w14:textId="77777777" w:rsidR="00A44D87" w:rsidRPr="00FD208B" w:rsidRDefault="00A44D87" w:rsidP="00A44D87">
                  <w:pPr>
                    <w:contextualSpacing/>
                    <w:jc w:val="center"/>
                    <w:rPr>
                      <w:rFonts w:eastAsia="Times New Roman" w:cs="Times New Roman"/>
                      <w:color w:val="4A4A4A"/>
                      <w:sz w:val="21"/>
                      <w:szCs w:val="21"/>
                      <w:lang w:eastAsia="en-GB"/>
                    </w:rPr>
                  </w:pPr>
                </w:p>
              </w:tc>
              <w:tc>
                <w:tcPr>
                  <w:tcW w:w="5659" w:type="dxa"/>
                  <w:gridSpan w:val="2"/>
                </w:tcPr>
                <w:p w14:paraId="6F7B8908" w14:textId="77777777" w:rsidR="00A44D87" w:rsidRPr="00FD208B" w:rsidRDefault="00A44D87" w:rsidP="00A44D87">
                  <w:pPr>
                    <w:contextualSpacing/>
                    <w:rPr>
                      <w:rFonts w:eastAsia="Times New Roman" w:cs="Times New Roman"/>
                      <w:color w:val="4A4A4A"/>
                      <w:sz w:val="21"/>
                      <w:szCs w:val="21"/>
                      <w:lang w:eastAsia="en-GB"/>
                    </w:rPr>
                  </w:pPr>
                  <w:r w:rsidRPr="00FD208B">
                    <w:rPr>
                      <w:rFonts w:eastAsia="Times New Roman" w:cs="Times New Roman"/>
                      <w:color w:val="4A4A4A"/>
                      <w:sz w:val="21"/>
                      <w:szCs w:val="21"/>
                      <w:lang w:eastAsia="en-GB"/>
                    </w:rPr>
                    <w:t>Elevation 300–1.000 meters and local elevation range (7 kilometer radius) &gt; 300 meters</w:t>
                  </w:r>
                </w:p>
              </w:tc>
            </w:tr>
          </w:tbl>
          <w:p w14:paraId="085D8257" w14:textId="37D06DA6" w:rsidR="00A44D87" w:rsidRDefault="00A44D87" w:rsidP="00563B54">
            <w:pPr>
              <w:pStyle w:val="MText"/>
            </w:pPr>
          </w:p>
          <w:p w14:paraId="042F5351" w14:textId="1D9E2E8D" w:rsidR="00981A7C" w:rsidRPr="00FD208B" w:rsidRDefault="00981A7C" w:rsidP="005C62D1">
            <w:pPr>
              <w:pStyle w:val="MText"/>
            </w:pPr>
            <w:r>
              <w:rPr>
                <w:u w:val="single"/>
              </w:rPr>
              <w:t>2.</w:t>
            </w:r>
            <w:r w:rsidR="005C62D1">
              <w:rPr>
                <w:u w:val="single"/>
              </w:rPr>
              <w:t xml:space="preserve"> </w:t>
            </w:r>
            <w:r w:rsidRPr="00FD208B">
              <w:rPr>
                <w:u w:val="single"/>
              </w:rPr>
              <w:t>A vegetation descriptor layer</w:t>
            </w:r>
            <w:r w:rsidRPr="00FD208B">
              <w:t>: The vegetation descriptor layer c</w:t>
            </w:r>
            <w:r>
              <w:t>ategorizes</w:t>
            </w:r>
            <w:r w:rsidRPr="00FD208B">
              <w:t xml:space="preserve"> land cover into green and non</w:t>
            </w:r>
            <w:r>
              <w:t>-</w:t>
            </w:r>
            <w:r w:rsidRPr="00FD208B">
              <w:t xml:space="preserve">green areas. </w:t>
            </w:r>
            <w:r>
              <w:t>G</w:t>
            </w:r>
            <w:r w:rsidRPr="00FD208B">
              <w:t>reen vegetation includes both natural vegetation and vegetation resulting from anthropic activity (e.g. crops, afforestation, etc</w:t>
            </w:r>
            <w:r>
              <w:t>.</w:t>
            </w:r>
            <w:r w:rsidRPr="00FD208B">
              <w:t>). Non-green areas include</w:t>
            </w:r>
            <w:r>
              <w:t xml:space="preserve"> </w:t>
            </w:r>
            <w:r>
              <w:rPr>
                <w:rStyle w:val="normaltextrun"/>
                <w:rFonts w:ascii="Calibri" w:hAnsi="Calibri" w:cs="Calibri"/>
              </w:rPr>
              <w:t>very sparsely vegetated areas,</w:t>
            </w:r>
            <w:r w:rsidRPr="00FD208B">
              <w:t xml:space="preserve"> bare land, water</w:t>
            </w:r>
            <w:r>
              <w:t>, permanent ice/snow</w:t>
            </w:r>
            <w:r w:rsidRPr="00FD208B">
              <w:t xml:space="preserve"> and urban areas. </w:t>
            </w:r>
            <w:r>
              <w:t>The vegetation description layer can be derived in different ways, but remote sensing based l</w:t>
            </w:r>
            <w:r w:rsidRPr="00FD208B">
              <w:t xml:space="preserve">and </w:t>
            </w:r>
            <w:r>
              <w:t>c</w:t>
            </w:r>
            <w:r w:rsidRPr="00FD208B">
              <w:t xml:space="preserve">over </w:t>
            </w:r>
            <w:r>
              <w:t xml:space="preserve">maps are the most convenient data source for this purpose, </w:t>
            </w:r>
            <w:r w:rsidRPr="00FD208B">
              <w:t>as they provide the required information on green and non</w:t>
            </w:r>
            <w:r>
              <w:t>-</w:t>
            </w:r>
            <w:r w:rsidRPr="00FD208B">
              <w:t>green areas in a spatially ex</w:t>
            </w:r>
            <w:r>
              <w:t>plicit</w:t>
            </w:r>
            <w:r w:rsidRPr="00FD208B">
              <w:t xml:space="preserve"> manner and allow for comparison </w:t>
            </w:r>
            <w:r>
              <w:t>over</w:t>
            </w:r>
            <w:r w:rsidRPr="00FD208B">
              <w:t xml:space="preserve"> time through land cover change analysis. </w:t>
            </w:r>
          </w:p>
          <w:p w14:paraId="269C0D0A" w14:textId="77777777" w:rsidR="00981A7C" w:rsidRPr="00FD208B" w:rsidRDefault="00981A7C" w:rsidP="00981A7C">
            <w:pPr>
              <w:shd w:val="clear" w:color="auto" w:fill="FFFFFF"/>
              <w:spacing w:after="0"/>
              <w:contextualSpacing/>
              <w:jc w:val="both"/>
              <w:rPr>
                <w:rFonts w:eastAsia="Times New Roman" w:cs="Times New Roman"/>
                <w:color w:val="4A4A4A"/>
                <w:sz w:val="21"/>
                <w:szCs w:val="21"/>
                <w:lang w:eastAsia="en-GB"/>
              </w:rPr>
            </w:pPr>
          </w:p>
          <w:p w14:paraId="4BACFE77" w14:textId="77777777" w:rsidR="00981A7C" w:rsidRDefault="00981A7C" w:rsidP="005C62D1">
            <w:pPr>
              <w:pStyle w:val="MText"/>
            </w:pPr>
            <w:r>
              <w:t xml:space="preserve">Currently, </w:t>
            </w:r>
            <w:r w:rsidRPr="00FD208B">
              <w:t xml:space="preserve">FAO </w:t>
            </w:r>
            <w:r>
              <w:t>uses</w:t>
            </w:r>
            <w:r w:rsidRPr="00FD208B">
              <w:t xml:space="preserve"> land cover time series produced by the European Space Agency (ESA) under the Climate Change Initiative (CCI) as a general solution. </w:t>
            </w:r>
            <w:r>
              <w:t>The original CCI classes are re-classified into six IPCC classes and further into binary green/non-green cover classes as follows:</w:t>
            </w:r>
          </w:p>
          <w:p w14:paraId="46AB0029" w14:textId="77777777" w:rsidR="00981A7C" w:rsidRDefault="00981A7C" w:rsidP="00981A7C">
            <w:pPr>
              <w:shd w:val="clear" w:color="auto" w:fill="FFFFFF"/>
              <w:spacing w:after="0"/>
              <w:contextualSpacing/>
              <w:jc w:val="both"/>
              <w:rPr>
                <w:rFonts w:eastAsia="Times New Roman" w:cs="Times New Roman"/>
                <w:color w:val="4A4A4A"/>
                <w:sz w:val="21"/>
                <w:szCs w:val="21"/>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05"/>
              <w:gridCol w:w="3005"/>
              <w:gridCol w:w="3006"/>
            </w:tblGrid>
            <w:tr w:rsidR="00981A7C" w:rsidRPr="00FD208B" w14:paraId="4ABD2301" w14:textId="77777777" w:rsidTr="00790B98">
              <w:trPr>
                <w:trHeight w:val="261"/>
              </w:trPr>
              <w:tc>
                <w:tcPr>
                  <w:tcW w:w="3005" w:type="dxa"/>
                  <w:tcBorders>
                    <w:bottom w:val="single" w:sz="4" w:space="0" w:color="auto"/>
                  </w:tcBorders>
                </w:tcPr>
                <w:p w14:paraId="2931F213" w14:textId="77777777" w:rsidR="00981A7C" w:rsidRPr="00FD208B" w:rsidRDefault="00981A7C" w:rsidP="00981A7C">
                  <w:pPr>
                    <w:contextualSpacing/>
                    <w:rPr>
                      <w:rFonts w:eastAsia="Times New Roman" w:cs="Times New Roman"/>
                      <w:color w:val="4A4A4A"/>
                      <w:sz w:val="21"/>
                      <w:szCs w:val="21"/>
                      <w:lang w:eastAsia="en-GB"/>
                    </w:rPr>
                  </w:pPr>
                  <w:r w:rsidRPr="00FD208B">
                    <w:rPr>
                      <w:rFonts w:eastAsia="Times New Roman" w:cs="Times New Roman"/>
                      <w:color w:val="4A4A4A"/>
                      <w:sz w:val="21"/>
                      <w:szCs w:val="21"/>
                      <w:lang w:eastAsia="en-GB"/>
                    </w:rPr>
                    <w:t>ESA CCI</w:t>
                  </w:r>
                  <w:r>
                    <w:rPr>
                      <w:rFonts w:eastAsia="Times New Roman" w:cs="Times New Roman"/>
                      <w:color w:val="4A4A4A"/>
                      <w:sz w:val="21"/>
                      <w:szCs w:val="21"/>
                      <w:lang w:eastAsia="en-GB"/>
                    </w:rPr>
                    <w:t xml:space="preserve"> class</w:t>
                  </w:r>
                </w:p>
              </w:tc>
              <w:tc>
                <w:tcPr>
                  <w:tcW w:w="3005" w:type="dxa"/>
                  <w:tcBorders>
                    <w:bottom w:val="single" w:sz="4" w:space="0" w:color="auto"/>
                  </w:tcBorders>
                </w:tcPr>
                <w:p w14:paraId="7C2079D2" w14:textId="77777777" w:rsidR="00981A7C" w:rsidRPr="00FD208B" w:rsidRDefault="00981A7C" w:rsidP="00981A7C">
                  <w:pPr>
                    <w:contextualSpacing/>
                    <w:jc w:val="center"/>
                    <w:rPr>
                      <w:rFonts w:eastAsia="Times New Roman" w:cs="Times New Roman"/>
                      <w:color w:val="4A4A4A"/>
                      <w:sz w:val="21"/>
                      <w:szCs w:val="21"/>
                      <w:lang w:eastAsia="en-GB"/>
                    </w:rPr>
                  </w:pPr>
                  <w:r w:rsidRPr="00FD208B">
                    <w:rPr>
                      <w:rFonts w:eastAsia="Times New Roman" w:cs="Times New Roman"/>
                      <w:color w:val="4A4A4A"/>
                      <w:sz w:val="21"/>
                      <w:szCs w:val="21"/>
                      <w:lang w:eastAsia="en-GB"/>
                    </w:rPr>
                    <w:t>IPCC</w:t>
                  </w:r>
                  <w:r>
                    <w:rPr>
                      <w:rFonts w:eastAsia="Times New Roman" w:cs="Times New Roman"/>
                      <w:color w:val="4A4A4A"/>
                      <w:sz w:val="21"/>
                      <w:szCs w:val="21"/>
                      <w:lang w:eastAsia="en-GB"/>
                    </w:rPr>
                    <w:t xml:space="preserve"> class</w:t>
                  </w:r>
                </w:p>
              </w:tc>
              <w:tc>
                <w:tcPr>
                  <w:tcW w:w="3006" w:type="dxa"/>
                  <w:tcBorders>
                    <w:bottom w:val="single" w:sz="4" w:space="0" w:color="auto"/>
                  </w:tcBorders>
                </w:tcPr>
                <w:p w14:paraId="04EE72F7" w14:textId="77777777" w:rsidR="00981A7C" w:rsidRPr="00FD208B" w:rsidRDefault="00981A7C" w:rsidP="00981A7C">
                  <w:pPr>
                    <w:contextualSpacing/>
                    <w:jc w:val="center"/>
                    <w:rPr>
                      <w:rFonts w:eastAsia="Times New Roman" w:cs="Times New Roman"/>
                      <w:color w:val="4A4A4A"/>
                      <w:sz w:val="21"/>
                      <w:szCs w:val="21"/>
                      <w:lang w:eastAsia="en-GB"/>
                    </w:rPr>
                  </w:pPr>
                  <w:r w:rsidRPr="00FD208B">
                    <w:rPr>
                      <w:rFonts w:eastAsia="Times New Roman" w:cs="Times New Roman"/>
                      <w:color w:val="4A4A4A"/>
                      <w:sz w:val="21"/>
                      <w:szCs w:val="21"/>
                      <w:lang w:eastAsia="en-GB"/>
                    </w:rPr>
                    <w:t>Green / Non green</w:t>
                  </w:r>
                </w:p>
              </w:tc>
            </w:tr>
            <w:tr w:rsidR="00981A7C" w:rsidRPr="00FD208B" w14:paraId="154CEED4" w14:textId="77777777" w:rsidTr="00790B98">
              <w:trPr>
                <w:trHeight w:val="620"/>
              </w:trPr>
              <w:tc>
                <w:tcPr>
                  <w:tcW w:w="3005" w:type="dxa"/>
                  <w:tcBorders>
                    <w:top w:val="single" w:sz="4" w:space="0" w:color="auto"/>
                  </w:tcBorders>
                </w:tcPr>
                <w:p w14:paraId="54F4BCD2" w14:textId="77777777" w:rsidR="00981A7C" w:rsidRPr="00FD208B" w:rsidRDefault="00981A7C" w:rsidP="00981A7C">
                  <w:pPr>
                    <w:contextualSpacing/>
                    <w:rPr>
                      <w:rFonts w:eastAsia="Times New Roman" w:cs="Times New Roman"/>
                      <w:color w:val="4A4A4A"/>
                      <w:sz w:val="21"/>
                      <w:szCs w:val="21"/>
                      <w:lang w:eastAsia="en-GB"/>
                    </w:rPr>
                  </w:pPr>
                  <w:r w:rsidRPr="00FD208B">
                    <w:rPr>
                      <w:rFonts w:eastAsia="Times New Roman" w:cs="Times New Roman"/>
                      <w:color w:val="4A4A4A"/>
                      <w:sz w:val="21"/>
                      <w:szCs w:val="21"/>
                      <w:lang w:eastAsia="en-GB"/>
                    </w:rPr>
                    <w:t>50, 60, 61, 62, 70, 71, 72, 80, 81, 82, 90, 100</w:t>
                  </w:r>
                </w:p>
              </w:tc>
              <w:tc>
                <w:tcPr>
                  <w:tcW w:w="3005" w:type="dxa"/>
                  <w:tcBorders>
                    <w:top w:val="single" w:sz="4" w:space="0" w:color="auto"/>
                  </w:tcBorders>
                </w:tcPr>
                <w:p w14:paraId="4BFCADDD" w14:textId="77777777" w:rsidR="00981A7C" w:rsidRPr="00FD208B" w:rsidRDefault="00981A7C" w:rsidP="00981A7C">
                  <w:pPr>
                    <w:contextualSpacing/>
                    <w:jc w:val="center"/>
                    <w:rPr>
                      <w:rFonts w:eastAsia="Times New Roman" w:cs="Times New Roman"/>
                      <w:color w:val="4A4A4A"/>
                      <w:sz w:val="21"/>
                      <w:szCs w:val="21"/>
                      <w:lang w:eastAsia="en-GB"/>
                    </w:rPr>
                  </w:pPr>
                  <w:r w:rsidRPr="00FD208B">
                    <w:rPr>
                      <w:rFonts w:eastAsia="Times New Roman" w:cs="Times New Roman"/>
                      <w:color w:val="4A4A4A"/>
                      <w:sz w:val="21"/>
                      <w:szCs w:val="21"/>
                      <w:lang w:eastAsia="en-GB"/>
                    </w:rPr>
                    <w:t>Forest</w:t>
                  </w:r>
                  <w:r>
                    <w:rPr>
                      <w:rStyle w:val="FootnoteReference"/>
                    </w:rPr>
                    <w:footnoteReference w:id="1"/>
                  </w:r>
                </w:p>
              </w:tc>
              <w:tc>
                <w:tcPr>
                  <w:tcW w:w="3006" w:type="dxa"/>
                  <w:tcBorders>
                    <w:top w:val="single" w:sz="4" w:space="0" w:color="auto"/>
                  </w:tcBorders>
                </w:tcPr>
                <w:p w14:paraId="37A6CE81" w14:textId="77777777" w:rsidR="00981A7C" w:rsidRPr="00FD208B" w:rsidRDefault="00981A7C" w:rsidP="00981A7C">
                  <w:pPr>
                    <w:contextualSpacing/>
                    <w:jc w:val="center"/>
                    <w:rPr>
                      <w:rFonts w:eastAsia="Times New Roman" w:cs="Times New Roman"/>
                      <w:color w:val="4A4A4A"/>
                      <w:sz w:val="21"/>
                      <w:szCs w:val="21"/>
                      <w:lang w:eastAsia="en-GB"/>
                    </w:rPr>
                  </w:pPr>
                  <w:r w:rsidRPr="00FD208B">
                    <w:rPr>
                      <w:rFonts w:eastAsia="Times New Roman" w:cs="Times New Roman"/>
                      <w:color w:val="4A4A4A"/>
                      <w:sz w:val="21"/>
                      <w:szCs w:val="21"/>
                      <w:lang w:eastAsia="en-GB"/>
                    </w:rPr>
                    <w:t>Green</w:t>
                  </w:r>
                </w:p>
              </w:tc>
            </w:tr>
            <w:tr w:rsidR="00981A7C" w:rsidRPr="00FD208B" w14:paraId="4223E9E8" w14:textId="77777777" w:rsidTr="00790B98">
              <w:trPr>
                <w:trHeight w:val="630"/>
              </w:trPr>
              <w:tc>
                <w:tcPr>
                  <w:tcW w:w="3005" w:type="dxa"/>
                </w:tcPr>
                <w:p w14:paraId="4372E4D3" w14:textId="77777777" w:rsidR="00981A7C" w:rsidRPr="00FD208B" w:rsidRDefault="00981A7C" w:rsidP="00981A7C">
                  <w:pPr>
                    <w:contextualSpacing/>
                    <w:rPr>
                      <w:rFonts w:eastAsia="Times New Roman" w:cs="Times New Roman"/>
                      <w:color w:val="4A4A4A"/>
                      <w:sz w:val="21"/>
                      <w:szCs w:val="21"/>
                      <w:lang w:eastAsia="en-GB"/>
                    </w:rPr>
                  </w:pPr>
                  <w:r w:rsidRPr="00FD208B">
                    <w:rPr>
                      <w:rFonts w:eastAsia="Times New Roman" w:cs="Times New Roman"/>
                      <w:color w:val="4A4A4A"/>
                      <w:sz w:val="21"/>
                      <w:szCs w:val="21"/>
                      <w:lang w:eastAsia="en-GB"/>
                    </w:rPr>
                    <w:t xml:space="preserve">110, 120, 121, 122, 130, 140, </w:t>
                  </w:r>
                </w:p>
              </w:tc>
              <w:tc>
                <w:tcPr>
                  <w:tcW w:w="3005" w:type="dxa"/>
                </w:tcPr>
                <w:p w14:paraId="29C15A21" w14:textId="77777777" w:rsidR="00981A7C" w:rsidRPr="00FD208B" w:rsidRDefault="00981A7C" w:rsidP="00981A7C">
                  <w:pPr>
                    <w:contextualSpacing/>
                    <w:jc w:val="center"/>
                    <w:rPr>
                      <w:rFonts w:eastAsia="Times New Roman" w:cs="Times New Roman"/>
                      <w:color w:val="4A4A4A"/>
                      <w:sz w:val="21"/>
                      <w:szCs w:val="21"/>
                      <w:lang w:eastAsia="en-GB"/>
                    </w:rPr>
                  </w:pPr>
                  <w:r w:rsidRPr="00FD208B">
                    <w:rPr>
                      <w:rFonts w:eastAsia="Times New Roman" w:cs="Times New Roman"/>
                      <w:color w:val="4A4A4A"/>
                      <w:sz w:val="21"/>
                      <w:szCs w:val="21"/>
                      <w:lang w:eastAsia="en-GB"/>
                    </w:rPr>
                    <w:t>Grassland</w:t>
                  </w:r>
                </w:p>
              </w:tc>
              <w:tc>
                <w:tcPr>
                  <w:tcW w:w="3006" w:type="dxa"/>
                </w:tcPr>
                <w:p w14:paraId="79AB77E8" w14:textId="77777777" w:rsidR="00981A7C" w:rsidRPr="00FD208B" w:rsidRDefault="00981A7C" w:rsidP="00981A7C">
                  <w:pPr>
                    <w:contextualSpacing/>
                    <w:jc w:val="center"/>
                    <w:rPr>
                      <w:rFonts w:eastAsia="Times New Roman" w:cs="Times New Roman"/>
                      <w:color w:val="4A4A4A"/>
                      <w:sz w:val="21"/>
                      <w:szCs w:val="21"/>
                      <w:lang w:eastAsia="en-GB"/>
                    </w:rPr>
                  </w:pPr>
                  <w:r w:rsidRPr="00FD208B">
                    <w:rPr>
                      <w:rFonts w:eastAsia="Times New Roman" w:cs="Times New Roman"/>
                      <w:color w:val="4A4A4A"/>
                      <w:sz w:val="21"/>
                      <w:szCs w:val="21"/>
                      <w:lang w:eastAsia="en-GB"/>
                    </w:rPr>
                    <w:t>Green</w:t>
                  </w:r>
                </w:p>
              </w:tc>
            </w:tr>
            <w:tr w:rsidR="00981A7C" w:rsidRPr="00FD208B" w14:paraId="77628C9A" w14:textId="77777777" w:rsidTr="00790B98">
              <w:trPr>
                <w:trHeight w:val="369"/>
              </w:trPr>
              <w:tc>
                <w:tcPr>
                  <w:tcW w:w="3005" w:type="dxa"/>
                </w:tcPr>
                <w:p w14:paraId="76D12F09" w14:textId="77777777" w:rsidR="00981A7C" w:rsidRPr="00FD208B" w:rsidRDefault="00981A7C" w:rsidP="00981A7C">
                  <w:pPr>
                    <w:contextualSpacing/>
                    <w:rPr>
                      <w:rFonts w:eastAsia="Times New Roman" w:cs="Times New Roman"/>
                      <w:color w:val="4A4A4A"/>
                      <w:sz w:val="21"/>
                      <w:szCs w:val="21"/>
                      <w:lang w:eastAsia="en-GB"/>
                    </w:rPr>
                  </w:pPr>
                  <w:r w:rsidRPr="00FD208B">
                    <w:rPr>
                      <w:rFonts w:eastAsia="Times New Roman" w:cs="Times New Roman"/>
                      <w:color w:val="4A4A4A"/>
                      <w:sz w:val="21"/>
                      <w:szCs w:val="21"/>
                      <w:lang w:eastAsia="en-GB"/>
                    </w:rPr>
                    <w:t>10,11, 12, 20, 30, 40</w:t>
                  </w:r>
                </w:p>
              </w:tc>
              <w:tc>
                <w:tcPr>
                  <w:tcW w:w="3005" w:type="dxa"/>
                </w:tcPr>
                <w:p w14:paraId="52067098" w14:textId="77777777" w:rsidR="00981A7C" w:rsidRPr="00FD208B" w:rsidRDefault="00981A7C" w:rsidP="00981A7C">
                  <w:pPr>
                    <w:contextualSpacing/>
                    <w:jc w:val="center"/>
                    <w:rPr>
                      <w:rFonts w:eastAsia="Times New Roman" w:cs="Times New Roman"/>
                      <w:color w:val="4A4A4A"/>
                      <w:sz w:val="21"/>
                      <w:szCs w:val="21"/>
                      <w:lang w:eastAsia="en-GB"/>
                    </w:rPr>
                  </w:pPr>
                  <w:r w:rsidRPr="00FD208B">
                    <w:rPr>
                      <w:rFonts w:eastAsia="Times New Roman" w:cs="Times New Roman"/>
                      <w:color w:val="4A4A4A"/>
                      <w:sz w:val="21"/>
                      <w:szCs w:val="21"/>
                      <w:lang w:eastAsia="en-GB"/>
                    </w:rPr>
                    <w:t>Cropland</w:t>
                  </w:r>
                </w:p>
              </w:tc>
              <w:tc>
                <w:tcPr>
                  <w:tcW w:w="3006" w:type="dxa"/>
                </w:tcPr>
                <w:p w14:paraId="5C1A48AA" w14:textId="77777777" w:rsidR="00981A7C" w:rsidRPr="00FD208B" w:rsidRDefault="00981A7C" w:rsidP="00981A7C">
                  <w:pPr>
                    <w:contextualSpacing/>
                    <w:jc w:val="center"/>
                    <w:rPr>
                      <w:rFonts w:eastAsia="Times New Roman" w:cs="Times New Roman"/>
                      <w:color w:val="4A4A4A"/>
                      <w:sz w:val="21"/>
                      <w:szCs w:val="21"/>
                      <w:lang w:eastAsia="en-GB"/>
                    </w:rPr>
                  </w:pPr>
                  <w:r w:rsidRPr="00FD208B">
                    <w:rPr>
                      <w:rFonts w:eastAsia="Times New Roman" w:cs="Times New Roman"/>
                      <w:color w:val="4A4A4A"/>
                      <w:sz w:val="21"/>
                      <w:szCs w:val="21"/>
                      <w:lang w:eastAsia="en-GB"/>
                    </w:rPr>
                    <w:t>Green</w:t>
                  </w:r>
                </w:p>
              </w:tc>
            </w:tr>
            <w:tr w:rsidR="00981A7C" w:rsidRPr="00FD208B" w14:paraId="1DFB2843" w14:textId="77777777" w:rsidTr="00790B98">
              <w:trPr>
                <w:trHeight w:val="450"/>
              </w:trPr>
              <w:tc>
                <w:tcPr>
                  <w:tcW w:w="3005" w:type="dxa"/>
                </w:tcPr>
                <w:p w14:paraId="1AB8F0E6" w14:textId="77777777" w:rsidR="00981A7C" w:rsidRPr="00FD208B" w:rsidRDefault="00981A7C" w:rsidP="00981A7C">
                  <w:pPr>
                    <w:contextualSpacing/>
                    <w:rPr>
                      <w:rFonts w:eastAsia="Times New Roman" w:cs="Times New Roman"/>
                      <w:color w:val="4A4A4A"/>
                      <w:sz w:val="21"/>
                      <w:szCs w:val="21"/>
                      <w:lang w:eastAsia="en-GB"/>
                    </w:rPr>
                  </w:pPr>
                  <w:r w:rsidRPr="00FD208B">
                    <w:rPr>
                      <w:rFonts w:eastAsia="Times New Roman" w:cs="Times New Roman"/>
                      <w:color w:val="4A4A4A"/>
                      <w:sz w:val="21"/>
                      <w:szCs w:val="21"/>
                      <w:lang w:eastAsia="en-GB"/>
                    </w:rPr>
                    <w:t>160, 170, 180</w:t>
                  </w:r>
                </w:p>
              </w:tc>
              <w:tc>
                <w:tcPr>
                  <w:tcW w:w="3005" w:type="dxa"/>
                </w:tcPr>
                <w:p w14:paraId="43FE7242" w14:textId="77777777" w:rsidR="00981A7C" w:rsidRPr="00FD208B" w:rsidRDefault="00981A7C" w:rsidP="00981A7C">
                  <w:pPr>
                    <w:contextualSpacing/>
                    <w:jc w:val="center"/>
                    <w:rPr>
                      <w:rFonts w:eastAsia="Times New Roman" w:cs="Times New Roman"/>
                      <w:color w:val="4A4A4A"/>
                      <w:sz w:val="21"/>
                      <w:szCs w:val="21"/>
                      <w:lang w:eastAsia="en-GB"/>
                    </w:rPr>
                  </w:pPr>
                  <w:r w:rsidRPr="00FD208B">
                    <w:rPr>
                      <w:rFonts w:eastAsia="Times New Roman" w:cs="Times New Roman"/>
                      <w:color w:val="4A4A4A"/>
                      <w:sz w:val="21"/>
                      <w:szCs w:val="21"/>
                      <w:lang w:eastAsia="en-GB"/>
                    </w:rPr>
                    <w:t>Wetland</w:t>
                  </w:r>
                </w:p>
              </w:tc>
              <w:tc>
                <w:tcPr>
                  <w:tcW w:w="3006" w:type="dxa"/>
                </w:tcPr>
                <w:p w14:paraId="13722B7D" w14:textId="77777777" w:rsidR="00981A7C" w:rsidRPr="00FD208B" w:rsidRDefault="00981A7C" w:rsidP="00981A7C">
                  <w:pPr>
                    <w:contextualSpacing/>
                    <w:jc w:val="center"/>
                    <w:rPr>
                      <w:rFonts w:eastAsia="Times New Roman" w:cs="Times New Roman"/>
                      <w:color w:val="4A4A4A"/>
                      <w:sz w:val="21"/>
                      <w:szCs w:val="21"/>
                      <w:lang w:eastAsia="en-GB"/>
                    </w:rPr>
                  </w:pPr>
                  <w:r w:rsidRPr="00FD208B">
                    <w:rPr>
                      <w:rFonts w:eastAsia="Times New Roman" w:cs="Times New Roman"/>
                      <w:color w:val="4A4A4A"/>
                      <w:sz w:val="21"/>
                      <w:szCs w:val="21"/>
                      <w:lang w:eastAsia="en-GB"/>
                    </w:rPr>
                    <w:t>Green</w:t>
                  </w:r>
                </w:p>
              </w:tc>
            </w:tr>
            <w:tr w:rsidR="00981A7C" w:rsidRPr="00FD208B" w14:paraId="2FE91BE9" w14:textId="77777777" w:rsidTr="00790B98">
              <w:trPr>
                <w:trHeight w:val="450"/>
              </w:trPr>
              <w:tc>
                <w:tcPr>
                  <w:tcW w:w="3005" w:type="dxa"/>
                </w:tcPr>
                <w:p w14:paraId="4744619D" w14:textId="77777777" w:rsidR="00981A7C" w:rsidRPr="00FD208B" w:rsidRDefault="00981A7C" w:rsidP="00981A7C">
                  <w:pPr>
                    <w:contextualSpacing/>
                    <w:rPr>
                      <w:rFonts w:eastAsia="Times New Roman" w:cs="Times New Roman"/>
                      <w:color w:val="4A4A4A"/>
                      <w:sz w:val="21"/>
                      <w:szCs w:val="21"/>
                      <w:lang w:eastAsia="en-GB"/>
                    </w:rPr>
                  </w:pPr>
                  <w:r w:rsidRPr="00FD208B">
                    <w:rPr>
                      <w:rFonts w:eastAsia="Times New Roman" w:cs="Times New Roman"/>
                      <w:color w:val="4A4A4A"/>
                      <w:sz w:val="21"/>
                      <w:szCs w:val="21"/>
                      <w:lang w:eastAsia="en-GB"/>
                    </w:rPr>
                    <w:t>190</w:t>
                  </w:r>
                </w:p>
              </w:tc>
              <w:tc>
                <w:tcPr>
                  <w:tcW w:w="3005" w:type="dxa"/>
                </w:tcPr>
                <w:p w14:paraId="2561A49F" w14:textId="77777777" w:rsidR="00981A7C" w:rsidRPr="00FD208B" w:rsidRDefault="00981A7C" w:rsidP="00981A7C">
                  <w:pPr>
                    <w:contextualSpacing/>
                    <w:jc w:val="center"/>
                    <w:rPr>
                      <w:rFonts w:eastAsia="Times New Roman" w:cs="Times New Roman"/>
                      <w:color w:val="4A4A4A"/>
                      <w:sz w:val="21"/>
                      <w:szCs w:val="21"/>
                      <w:lang w:eastAsia="en-GB"/>
                    </w:rPr>
                  </w:pPr>
                  <w:r w:rsidRPr="00FD208B">
                    <w:rPr>
                      <w:rFonts w:eastAsia="Times New Roman" w:cs="Times New Roman"/>
                      <w:color w:val="4A4A4A"/>
                      <w:sz w:val="21"/>
                      <w:szCs w:val="21"/>
                      <w:lang w:eastAsia="en-GB"/>
                    </w:rPr>
                    <w:t>Settlement</w:t>
                  </w:r>
                </w:p>
              </w:tc>
              <w:tc>
                <w:tcPr>
                  <w:tcW w:w="3006" w:type="dxa"/>
                </w:tcPr>
                <w:p w14:paraId="2DF52069" w14:textId="77777777" w:rsidR="00981A7C" w:rsidRPr="00FD208B" w:rsidRDefault="00981A7C" w:rsidP="00981A7C">
                  <w:pPr>
                    <w:contextualSpacing/>
                    <w:jc w:val="center"/>
                    <w:rPr>
                      <w:rFonts w:eastAsia="Times New Roman" w:cs="Times New Roman"/>
                      <w:color w:val="4A4A4A"/>
                      <w:sz w:val="21"/>
                      <w:szCs w:val="21"/>
                      <w:lang w:eastAsia="en-GB"/>
                    </w:rPr>
                  </w:pPr>
                  <w:r w:rsidRPr="00FD208B">
                    <w:rPr>
                      <w:rFonts w:eastAsia="Times New Roman" w:cs="Times New Roman"/>
                      <w:color w:val="4A4A4A"/>
                      <w:sz w:val="21"/>
                      <w:szCs w:val="21"/>
                      <w:lang w:eastAsia="en-GB"/>
                    </w:rPr>
                    <w:t>Non Green</w:t>
                  </w:r>
                </w:p>
              </w:tc>
            </w:tr>
            <w:tr w:rsidR="00981A7C" w:rsidRPr="00FD208B" w14:paraId="6D4D0105" w14:textId="77777777" w:rsidTr="00790B98">
              <w:tc>
                <w:tcPr>
                  <w:tcW w:w="3005" w:type="dxa"/>
                </w:tcPr>
                <w:p w14:paraId="1CE0833A" w14:textId="77777777" w:rsidR="00981A7C" w:rsidRPr="00FD208B" w:rsidRDefault="00981A7C" w:rsidP="00981A7C">
                  <w:pPr>
                    <w:contextualSpacing/>
                    <w:rPr>
                      <w:rFonts w:eastAsia="Times New Roman" w:cs="Times New Roman"/>
                      <w:color w:val="4A4A4A"/>
                      <w:sz w:val="21"/>
                      <w:szCs w:val="21"/>
                      <w:lang w:eastAsia="en-GB"/>
                    </w:rPr>
                  </w:pPr>
                  <w:r w:rsidRPr="00FD208B">
                    <w:rPr>
                      <w:rFonts w:eastAsia="Times New Roman" w:cs="Times New Roman"/>
                      <w:color w:val="4A4A4A"/>
                      <w:sz w:val="21"/>
                      <w:szCs w:val="21"/>
                      <w:lang w:eastAsia="en-GB"/>
                    </w:rPr>
                    <w:t>150, 151, 152, 153</w:t>
                  </w:r>
                  <w:r>
                    <w:rPr>
                      <w:rFonts w:eastAsia="Times New Roman" w:cs="Times New Roman"/>
                      <w:color w:val="4A4A4A"/>
                      <w:sz w:val="21"/>
                      <w:szCs w:val="21"/>
                      <w:lang w:eastAsia="en-GB"/>
                    </w:rPr>
                    <w:t xml:space="preserve">, </w:t>
                  </w:r>
                  <w:r w:rsidRPr="00FD208B">
                    <w:rPr>
                      <w:rFonts w:eastAsia="Times New Roman" w:cs="Times New Roman"/>
                      <w:color w:val="4A4A4A"/>
                      <w:sz w:val="21"/>
                      <w:szCs w:val="21"/>
                      <w:lang w:eastAsia="en-GB"/>
                    </w:rPr>
                    <w:t>200, 201, 202, 210, 220</w:t>
                  </w:r>
                </w:p>
              </w:tc>
              <w:tc>
                <w:tcPr>
                  <w:tcW w:w="3005" w:type="dxa"/>
                </w:tcPr>
                <w:p w14:paraId="6C1709C8" w14:textId="77777777" w:rsidR="00981A7C" w:rsidRPr="00FD208B" w:rsidRDefault="00981A7C" w:rsidP="00981A7C">
                  <w:pPr>
                    <w:contextualSpacing/>
                    <w:jc w:val="center"/>
                    <w:rPr>
                      <w:rFonts w:eastAsia="Times New Roman" w:cs="Times New Roman"/>
                      <w:color w:val="4A4A4A"/>
                      <w:sz w:val="21"/>
                      <w:szCs w:val="21"/>
                      <w:lang w:eastAsia="en-GB"/>
                    </w:rPr>
                  </w:pPr>
                  <w:r w:rsidRPr="00FD208B">
                    <w:rPr>
                      <w:rFonts w:eastAsia="Times New Roman" w:cs="Times New Roman"/>
                      <w:color w:val="4A4A4A"/>
                      <w:sz w:val="21"/>
                      <w:szCs w:val="21"/>
                      <w:lang w:eastAsia="en-GB"/>
                    </w:rPr>
                    <w:t>Other land</w:t>
                  </w:r>
                </w:p>
              </w:tc>
              <w:tc>
                <w:tcPr>
                  <w:tcW w:w="3006" w:type="dxa"/>
                </w:tcPr>
                <w:p w14:paraId="4ADF22F5" w14:textId="77777777" w:rsidR="00981A7C" w:rsidRPr="00FD208B" w:rsidRDefault="00981A7C" w:rsidP="00981A7C">
                  <w:pPr>
                    <w:contextualSpacing/>
                    <w:jc w:val="center"/>
                    <w:rPr>
                      <w:rFonts w:eastAsia="Times New Roman" w:cs="Times New Roman"/>
                      <w:color w:val="4A4A4A"/>
                      <w:sz w:val="21"/>
                      <w:szCs w:val="21"/>
                      <w:lang w:eastAsia="en-GB"/>
                    </w:rPr>
                  </w:pPr>
                  <w:r w:rsidRPr="00FD208B">
                    <w:rPr>
                      <w:rFonts w:eastAsia="Times New Roman" w:cs="Times New Roman"/>
                      <w:color w:val="4A4A4A"/>
                      <w:sz w:val="21"/>
                      <w:szCs w:val="21"/>
                      <w:lang w:eastAsia="en-GB"/>
                    </w:rPr>
                    <w:t>Non Green</w:t>
                  </w:r>
                </w:p>
              </w:tc>
            </w:tr>
          </w:tbl>
          <w:p w14:paraId="520B50D2" w14:textId="77777777" w:rsidR="00981A7C" w:rsidRDefault="00981A7C" w:rsidP="00563B54">
            <w:pPr>
              <w:pStyle w:val="MText"/>
            </w:pPr>
          </w:p>
          <w:p w14:paraId="6C84E827" w14:textId="7080DD26" w:rsidR="0015178E" w:rsidRPr="00837EC7" w:rsidRDefault="0015178E" w:rsidP="00563B54">
            <w:pPr>
              <w:pStyle w:val="MText"/>
              <w:rPr>
                <w:rFonts w:cstheme="minorHAnsi"/>
              </w:rPr>
            </w:pP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41" w:name="_Toc36813074"/>
            <w:bookmarkStart w:id="42" w:name="_Toc37932746"/>
            <w:r w:rsidRPr="00837EC7">
              <w:rPr>
                <w:sz w:val="32"/>
                <w:szCs w:val="32"/>
              </w:rPr>
              <w:t>3. Data source type and data collection method</w:t>
            </w:r>
            <w:bookmarkEnd w:id="41"/>
            <w:bookmarkEnd w:id="42"/>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B36F0AE" w14:textId="6871E755" w:rsidR="007C139F" w:rsidRPr="00306C61" w:rsidRDefault="007C139F" w:rsidP="00890B26">
            <w:pPr>
              <w:pStyle w:val="MHeader"/>
            </w:pPr>
            <w:r w:rsidRPr="00306C61">
              <w:t xml:space="preserve">Data </w:t>
            </w:r>
            <w:r w:rsidR="00F62823">
              <w:t>s</w:t>
            </w:r>
            <w:r w:rsidRPr="00306C61">
              <w:t>ources</w:t>
            </w:r>
          </w:p>
          <w:p w14:paraId="27A007DA" w14:textId="77777777" w:rsidR="007C139F" w:rsidRPr="00306C61" w:rsidRDefault="007C139F" w:rsidP="00890B26">
            <w:pPr>
              <w:pStyle w:val="MSubHeader"/>
            </w:pPr>
            <w:r w:rsidRPr="00306C61">
              <w:t>Description:</w:t>
            </w:r>
          </w:p>
          <w:p w14:paraId="3B76DE82" w14:textId="08701F23" w:rsidR="008769D5" w:rsidRPr="005C62D1" w:rsidRDefault="008313DB" w:rsidP="008313DB">
            <w:pPr>
              <w:pStyle w:val="MText"/>
              <w:rPr>
                <w:b/>
                <w:bCs/>
              </w:rPr>
            </w:pPr>
            <w:r>
              <w:rPr>
                <w:b/>
                <w:bCs/>
              </w:rPr>
              <w:t xml:space="preserve">1) </w:t>
            </w:r>
            <w:r w:rsidR="008769D5" w:rsidRPr="005C62D1">
              <w:rPr>
                <w:b/>
                <w:bCs/>
              </w:rPr>
              <w:t>ESA CCI Land Cover data</w:t>
            </w:r>
            <w:r w:rsidR="005C62D1">
              <w:rPr>
                <w:b/>
                <w:bCs/>
              </w:rPr>
              <w:t>:</w:t>
            </w:r>
            <w:r w:rsidR="008769D5" w:rsidRPr="005C62D1">
              <w:rPr>
                <w:b/>
                <w:bCs/>
              </w:rPr>
              <w:t xml:space="preserve"> </w:t>
            </w:r>
          </w:p>
          <w:p w14:paraId="5A42EDCD" w14:textId="77777777" w:rsidR="008769D5" w:rsidRPr="003D43E0" w:rsidRDefault="008769D5" w:rsidP="005C62D1">
            <w:pPr>
              <w:pStyle w:val="MText"/>
            </w:pPr>
            <w:r w:rsidRPr="003D43E0">
              <w:t xml:space="preserve">The European Space Agency Climate Change Initiative (ESA CCI) is a programme aiming at exploiting the full potential of the earth observation data collected by ESA to contribute to the Essential Climate Variables databases required by the United Nations Framework Convention on Climate Change (UNFCCC). </w:t>
            </w:r>
          </w:p>
          <w:p w14:paraId="54A9C3BD" w14:textId="77777777" w:rsidR="008769D5" w:rsidRPr="00B114CE" w:rsidRDefault="008769D5" w:rsidP="005C62D1">
            <w:pPr>
              <w:pStyle w:val="MText"/>
            </w:pPr>
            <w:r w:rsidRPr="003D43E0">
              <w:t>The CCI Land Cover products have been produced using a combination of remote sensing data such as the 300 m MERIS, 1km SPOT –VEGETATION, 1km PROBA –V and 1km AVHRR. The CCI product consists of a series of annual Land Cover maps at 300 m resolution spanning the period 1992 to 2018. The period from 1992-2015 is available in raster format, whereas the 2016-2018 is available in netCDF format and a transformation to GTIFF is required to make these datasets available for processing in a GIS environment.</w:t>
            </w:r>
            <w:r w:rsidRPr="00B114CE">
              <w:t xml:space="preserve"> The land cover data is updated every year by the European Space Agency</w:t>
            </w:r>
            <w:r>
              <w:t>.</w:t>
            </w:r>
            <w:r w:rsidRPr="00B114CE">
              <w:t xml:space="preserve">  </w:t>
            </w:r>
          </w:p>
          <w:p w14:paraId="0FC70394" w14:textId="77777777" w:rsidR="008769D5" w:rsidRPr="00FD208B" w:rsidRDefault="008769D5" w:rsidP="005C62D1">
            <w:pPr>
              <w:pStyle w:val="MText"/>
            </w:pPr>
          </w:p>
          <w:p w14:paraId="60E0F70A" w14:textId="37927D84" w:rsidR="008769D5" w:rsidRDefault="008769D5" w:rsidP="005C62D1">
            <w:pPr>
              <w:pStyle w:val="MText"/>
            </w:pPr>
            <w:r w:rsidRPr="00FD208B">
              <w:t>The ESA CCI adheres to the Cover Classification System of the United Nations Food and Agriculture Organization (UN FAO)</w:t>
            </w:r>
            <w:sdt>
              <w:sdtPr>
                <w:id w:val="-916624393"/>
                <w:citation/>
              </w:sdtPr>
              <w:sdtEndPr/>
              <w:sdtContent>
                <w:r w:rsidRPr="00FD208B">
                  <w:fldChar w:fldCharType="begin"/>
                </w:r>
                <w:r w:rsidRPr="00FD208B">
                  <w:instrText xml:space="preserve">CITATION San15 \l 2057 </w:instrText>
                </w:r>
                <w:r w:rsidRPr="00FD208B">
                  <w:fldChar w:fldCharType="separate"/>
                </w:r>
                <w:r w:rsidRPr="00FD208B">
                  <w:rPr>
                    <w:noProof/>
                  </w:rPr>
                  <w:t xml:space="preserve"> (Santoro, et al., 2015)</w:t>
                </w:r>
                <w:r w:rsidRPr="00FD208B">
                  <w:fldChar w:fldCharType="end"/>
                </w:r>
              </w:sdtContent>
            </w:sdt>
            <w:r w:rsidRPr="00FD208B">
              <w:t xml:space="preserve">. </w:t>
            </w:r>
          </w:p>
          <w:p w14:paraId="09E5EF4C" w14:textId="77777777" w:rsidR="005C62D1" w:rsidRPr="00FD208B" w:rsidRDefault="005C62D1" w:rsidP="005C62D1">
            <w:pPr>
              <w:pStyle w:val="MText"/>
            </w:pPr>
          </w:p>
          <w:p w14:paraId="2E9471C6" w14:textId="500674A8" w:rsidR="00414171" w:rsidRPr="005C62D1" w:rsidRDefault="008313DB" w:rsidP="008313DB">
            <w:pPr>
              <w:pStyle w:val="MText"/>
              <w:rPr>
                <w:b/>
                <w:bCs/>
              </w:rPr>
            </w:pPr>
            <w:r>
              <w:rPr>
                <w:b/>
                <w:bCs/>
              </w:rPr>
              <w:t xml:space="preserve">2) </w:t>
            </w:r>
            <w:r w:rsidR="00414171" w:rsidRPr="005C62D1">
              <w:rPr>
                <w:b/>
                <w:bCs/>
              </w:rPr>
              <w:t>Kapos mountain class layer:</w:t>
            </w:r>
          </w:p>
          <w:p w14:paraId="0FDD8D3A" w14:textId="464D47C4" w:rsidR="00414171" w:rsidRPr="00FD208B" w:rsidRDefault="00414171" w:rsidP="005C62D1">
            <w:pPr>
              <w:pStyle w:val="MText"/>
            </w:pPr>
            <w:r w:rsidRPr="00FD208B">
              <w:t xml:space="preserve">The Kapos dataset </w:t>
            </w:r>
            <w:r>
              <w:t xml:space="preserve">is </w:t>
            </w:r>
            <w:r w:rsidRPr="00FD208B">
              <w:t>a global mountain descriptor raster file. The file provides a classification of mountain ranges in accordance with the definitions proposed by Kapos et al 2000 :</w:t>
            </w:r>
          </w:p>
          <w:p w14:paraId="417FAACF" w14:textId="77777777" w:rsidR="00414171" w:rsidRPr="00FD208B" w:rsidRDefault="00414171" w:rsidP="005C62D1">
            <w:pPr>
              <w:pStyle w:val="MText"/>
              <w:numPr>
                <w:ilvl w:val="0"/>
                <w:numId w:val="22"/>
              </w:numPr>
            </w:pPr>
            <w:r w:rsidRPr="00FD208B">
              <w:t xml:space="preserve">Class 1:  elevation &gt; 4500 meters </w:t>
            </w:r>
          </w:p>
          <w:p w14:paraId="59C89EA4" w14:textId="77777777" w:rsidR="00414171" w:rsidRPr="00FD208B" w:rsidRDefault="00414171" w:rsidP="005C62D1">
            <w:pPr>
              <w:pStyle w:val="MText"/>
              <w:numPr>
                <w:ilvl w:val="0"/>
                <w:numId w:val="22"/>
              </w:numPr>
            </w:pPr>
            <w:r w:rsidRPr="00FD208B">
              <w:t>Class 2:  elevation 3500 - 4500 meters</w:t>
            </w:r>
          </w:p>
          <w:p w14:paraId="007AD273" w14:textId="77777777" w:rsidR="00414171" w:rsidRPr="00FD208B" w:rsidRDefault="00414171" w:rsidP="005C62D1">
            <w:pPr>
              <w:pStyle w:val="MText"/>
              <w:numPr>
                <w:ilvl w:val="0"/>
                <w:numId w:val="22"/>
              </w:numPr>
            </w:pPr>
            <w:r w:rsidRPr="00FD208B">
              <w:t xml:space="preserve">Class 3:  elevation 2500 – 3500 meters </w:t>
            </w:r>
          </w:p>
          <w:p w14:paraId="02E8233A" w14:textId="77777777" w:rsidR="00414171" w:rsidRPr="00FD208B" w:rsidRDefault="00414171" w:rsidP="005C62D1">
            <w:pPr>
              <w:pStyle w:val="MText"/>
              <w:numPr>
                <w:ilvl w:val="0"/>
                <w:numId w:val="22"/>
              </w:numPr>
            </w:pPr>
            <w:r w:rsidRPr="00FD208B">
              <w:t>Class 4: elevation 1500 – 2500 meters and slope ≥ 2</w:t>
            </w:r>
          </w:p>
          <w:p w14:paraId="1E9C2A4F" w14:textId="77777777" w:rsidR="00414171" w:rsidRPr="00FD208B" w:rsidRDefault="00414171" w:rsidP="005C62D1">
            <w:pPr>
              <w:pStyle w:val="MText"/>
              <w:numPr>
                <w:ilvl w:val="0"/>
                <w:numId w:val="22"/>
              </w:numPr>
            </w:pPr>
            <w:r w:rsidRPr="00FD208B">
              <w:t>Class 5: elevation 1,000–1,500 meters and slope ≥ 5 or local elevation range (7 kilometers radius) ≥ 300 meters</w:t>
            </w:r>
          </w:p>
          <w:p w14:paraId="680FED8D" w14:textId="77777777" w:rsidR="00414171" w:rsidRPr="00FD208B" w:rsidRDefault="00414171" w:rsidP="005C62D1">
            <w:pPr>
              <w:pStyle w:val="MText"/>
              <w:numPr>
                <w:ilvl w:val="0"/>
                <w:numId w:val="22"/>
              </w:numPr>
            </w:pPr>
            <w:r w:rsidRPr="00FD208B">
              <w:lastRenderedPageBreak/>
              <w:t xml:space="preserve">Class 6: elevation 300–1,000 meters and local elevation range (7 kilometres radius) ≥ 300 meters outside 23°N—19°S </w:t>
            </w:r>
          </w:p>
          <w:p w14:paraId="571CD33E" w14:textId="466D7E2B" w:rsidR="0035311B" w:rsidRPr="00E37818" w:rsidRDefault="00414171" w:rsidP="005C62D1">
            <w:pPr>
              <w:pStyle w:val="MText"/>
              <w:numPr>
                <w:ilvl w:val="0"/>
                <w:numId w:val="22"/>
              </w:numPr>
            </w:pPr>
            <w:r w:rsidRPr="00FD208B">
              <w:t>Class 0: Defined to represent the non-mountainous areas</w:t>
            </w:r>
            <w:r>
              <w:t>.</w:t>
            </w:r>
            <w:r w:rsidRPr="00FD208B">
              <w:t xml:space="preserve"> </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1660CD23" w14:textId="77777777" w:rsidR="007C139F" w:rsidRPr="00306C61" w:rsidRDefault="007C139F" w:rsidP="00890B26">
            <w:pPr>
              <w:pStyle w:val="MSubHeader"/>
            </w:pPr>
            <w:r w:rsidRPr="00306C61">
              <w:t>Collection process:</w:t>
            </w:r>
          </w:p>
          <w:p w14:paraId="60E54013" w14:textId="7668F1DF" w:rsidR="00414171" w:rsidRPr="00837EC7" w:rsidRDefault="00414171" w:rsidP="00E37818">
            <w:pPr>
              <w:pStyle w:val="MText"/>
              <w:rPr>
                <w:rFonts w:cstheme="minorHAnsi"/>
              </w:rPr>
            </w:pPr>
            <w:r>
              <w:t xml:space="preserve">The indicator is generated for all countries and regions having mountain areas by FAO using the geospatial data layers described in this document. FAO shares country figures with NSO SDG focal points for their validation before publication, in accordance to the IAEG-SDG guidelines of Global Data Flows and Reporting. On the same occasion, FAO requests countries to provide their own estimates for the indicator in case these are available. </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026125F7" w14:textId="77777777" w:rsidR="001B66E6" w:rsidRPr="00306C61" w:rsidRDefault="001B66E6" w:rsidP="003348F1">
            <w:pPr>
              <w:pStyle w:val="MHeader"/>
            </w:pPr>
            <w:r w:rsidRPr="00306C61">
              <w:t>Calendar</w:t>
            </w:r>
          </w:p>
          <w:p w14:paraId="112FB08C" w14:textId="77777777" w:rsidR="001B66E6" w:rsidRPr="00306C61" w:rsidRDefault="001B66E6" w:rsidP="003348F1">
            <w:pPr>
              <w:pStyle w:val="MSubHeader"/>
            </w:pPr>
            <w:r w:rsidRPr="00306C61">
              <w:t>Data collection:</w:t>
            </w:r>
          </w:p>
          <w:p w14:paraId="604493E0" w14:textId="10D07A12" w:rsidR="0035311B" w:rsidRPr="00837EC7" w:rsidRDefault="00C23CF3" w:rsidP="005C62D1">
            <w:pPr>
              <w:pStyle w:val="MText"/>
              <w:rPr>
                <w:rFonts w:cstheme="minorHAnsi"/>
              </w:rPr>
            </w:pPr>
            <w:r>
              <w:t>ESA CCI Land Cover is available from 1992 to 2018. A new global land cover map is delivered</w:t>
            </w:r>
            <w:r w:rsidRPr="005420A6">
              <w:t xml:space="preserve"> </w:t>
            </w:r>
            <w:r>
              <w:t>every year.</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050B394D" w14:textId="77777777" w:rsidR="001B66E6" w:rsidRPr="005C62D1" w:rsidRDefault="001B66E6" w:rsidP="005C62D1">
            <w:pPr>
              <w:pStyle w:val="MSubHeader"/>
            </w:pPr>
            <w:r w:rsidRPr="005C62D1">
              <w:t>Data release:</w:t>
            </w:r>
          </w:p>
          <w:p w14:paraId="35EF5915" w14:textId="20FADE29" w:rsidR="0035311B" w:rsidRPr="00837EC7" w:rsidRDefault="00C23CF3" w:rsidP="005C62D1">
            <w:pPr>
              <w:pStyle w:val="MText"/>
              <w:rPr>
                <w:rFonts w:cstheme="minorHAnsi"/>
              </w:rPr>
            </w:pPr>
            <w:r>
              <w:t>All data is already available</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14EDAD88" w14:textId="77777777" w:rsidR="00AC4CB8" w:rsidRPr="00306C61" w:rsidRDefault="00AC4CB8" w:rsidP="00811E79">
            <w:pPr>
              <w:pStyle w:val="MHeader"/>
            </w:pPr>
            <w:r w:rsidRPr="00306C61">
              <w:t>Data providers</w:t>
            </w:r>
          </w:p>
          <w:p w14:paraId="3B442A5B" w14:textId="77777777" w:rsidR="00C23CF3" w:rsidRDefault="00C23CF3" w:rsidP="005C62D1">
            <w:pPr>
              <w:pStyle w:val="MText"/>
            </w:pPr>
            <w:r>
              <w:t xml:space="preserve">European Space Agency </w:t>
            </w:r>
          </w:p>
          <w:p w14:paraId="4119C63E" w14:textId="77777777" w:rsidR="00C23CF3" w:rsidRDefault="00C23CF3" w:rsidP="005C62D1">
            <w:pPr>
              <w:pStyle w:val="MText"/>
            </w:pPr>
            <w:r>
              <w:t>Mountain Partnership, FAO</w:t>
            </w:r>
          </w:p>
          <w:p w14:paraId="49E07E1E" w14:textId="1F15A375" w:rsidR="0035311B" w:rsidRPr="00837EC7" w:rsidRDefault="00C23CF3" w:rsidP="005C62D1">
            <w:pPr>
              <w:pStyle w:val="MText"/>
              <w:rPr>
                <w:rFonts w:cstheme="minorHAnsi"/>
              </w:rPr>
            </w:pPr>
            <w:r>
              <w:t xml:space="preserve">USGS </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71BEC2C4" w14:textId="77777777" w:rsidR="00AC4CB8" w:rsidRPr="00306C61" w:rsidRDefault="00AC4CB8" w:rsidP="00811E79">
            <w:pPr>
              <w:pStyle w:val="MHeader"/>
            </w:pPr>
            <w:r w:rsidRPr="00306C61">
              <w:t>Data compilers</w:t>
            </w:r>
          </w:p>
          <w:p w14:paraId="0A85CE62" w14:textId="251F9EE4" w:rsidR="0035311B" w:rsidRPr="00AC4CB8" w:rsidRDefault="00AC4CB8" w:rsidP="00811E79">
            <w:pPr>
              <w:pStyle w:val="MText"/>
            </w:pPr>
            <w:r w:rsidRPr="00306C61">
              <w:t>FAO</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43" w:name="_Toc36655612"/>
            <w:bookmarkStart w:id="44" w:name="_Toc36812575"/>
            <w:bookmarkStart w:id="45" w:name="_Toc36812688"/>
            <w:bookmarkStart w:id="46" w:name="_Toc36813075"/>
            <w:bookmarkStart w:id="47" w:name="_Toc37932747"/>
            <w:r w:rsidRPr="00837EC7">
              <w:rPr>
                <w:sz w:val="32"/>
                <w:szCs w:val="32"/>
              </w:rPr>
              <w:t>4. Other methodological considerations</w:t>
            </w:r>
            <w:bookmarkEnd w:id="43"/>
            <w:bookmarkEnd w:id="44"/>
            <w:bookmarkEnd w:id="45"/>
            <w:bookmarkEnd w:id="46"/>
            <w:bookmarkEnd w:id="47"/>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7E99E2D6" w14:textId="77777777" w:rsidR="007C139F" w:rsidRPr="00306C61" w:rsidRDefault="007C139F" w:rsidP="00811E79">
            <w:pPr>
              <w:pStyle w:val="MSubHeader"/>
            </w:pPr>
            <w:r w:rsidRPr="00306C61">
              <w:t>Rationale:</w:t>
            </w:r>
          </w:p>
          <w:p w14:paraId="7D13CE47" w14:textId="77777777" w:rsidR="002063EC" w:rsidRPr="00385330" w:rsidRDefault="002063EC" w:rsidP="00E37818">
            <w:pPr>
              <w:pStyle w:val="MText"/>
            </w:pPr>
            <w:r w:rsidRPr="00E37818">
              <w:t xml:space="preserve">Mountain ecosystems are important biodiversity centres that provide valuable ecosystem services to upstream and downstream areas. Yet, mountains are very fragile and impacted easily by both natural and anthropogenic factors. These can include climate change, natural hazards such as landslides and flooding, unplanned agricultural expansion, unplanned </w:t>
            </w:r>
            <w:r w:rsidRPr="00E37818">
              <w:lastRenderedPageBreak/>
              <w:t>urbanization, timber extraction and recreational activities. The degradation of mountain ecosystems such as loss of the glacial cover, mountain biodiversity and green cover will affect the</w:t>
            </w:r>
            <w:r w:rsidRPr="00385330">
              <w:t xml:space="preserve"> ability of the ecosystem to supply water downstream. The loss of forest and vegetative cover will reduce the ability of the ecosystem to retain soil and prevent landslides and flooding downstream. </w:t>
            </w:r>
          </w:p>
          <w:p w14:paraId="62980565" w14:textId="61CAD62A" w:rsidR="002063EC" w:rsidRDefault="002063EC" w:rsidP="00E37818">
            <w:pPr>
              <w:pStyle w:val="MText"/>
            </w:pPr>
          </w:p>
          <w:p w14:paraId="7BD9DB35" w14:textId="77777777" w:rsidR="002063EC" w:rsidRPr="00385330" w:rsidRDefault="002063EC" w:rsidP="00E37818">
            <w:pPr>
              <w:pStyle w:val="MText"/>
            </w:pPr>
            <w:r w:rsidRPr="00385330">
              <w:t xml:space="preserve">Therefore, monitoring mountain vegetation changes provides information on the status of mountain ecosystems. Monitoring the MGCI over time can provide information on the extent of vegetational change and of the general health of the mountain ecosystem. Assessing the change of green cover differentiated by elevation is important in understanding the changes that are occurring in the mountain regions due to the influence of slope, aspect and altitude of the mountain terrain to the ecosystem. </w:t>
            </w:r>
          </w:p>
          <w:p w14:paraId="6FBB6FE5" w14:textId="77777777" w:rsidR="002063EC" w:rsidRPr="00385330" w:rsidRDefault="002063EC" w:rsidP="00E37818">
            <w:pPr>
              <w:pStyle w:val="MText"/>
            </w:pPr>
          </w:p>
          <w:p w14:paraId="04C096E9" w14:textId="77777777" w:rsidR="002063EC" w:rsidRPr="00385330" w:rsidRDefault="002063EC" w:rsidP="00E37818">
            <w:pPr>
              <w:pStyle w:val="MText"/>
            </w:pPr>
            <w:r w:rsidRPr="00385330">
              <w:t xml:space="preserve">However, the MGCI values should be interpreted with care. It does not provide the details on species change, change in the tree line or rain shadow areas. Understanding the variation in the species composition and the tree line will be important in identifying the long-term impacts of climate change in mountain regions. Analysing the vegetative variations in each of the elevation zones over time will assist in determining the appropriate management and adaption measures. </w:t>
            </w:r>
          </w:p>
          <w:p w14:paraId="3D86EA5E" w14:textId="1519C9AF" w:rsidR="002063EC" w:rsidRDefault="002063EC" w:rsidP="00E37818">
            <w:pPr>
              <w:pStyle w:val="MText"/>
            </w:pPr>
          </w:p>
          <w:p w14:paraId="2E3517AC" w14:textId="09E3F611" w:rsidR="002063EC" w:rsidRPr="00837EC7" w:rsidRDefault="002063EC" w:rsidP="005C62D1">
            <w:pPr>
              <w:pStyle w:val="MText"/>
              <w:rPr>
                <w:rFonts w:cstheme="minorHAnsi"/>
              </w:rPr>
            </w:pPr>
            <w:r w:rsidRPr="00385330">
              <w:t>In some cases, an increase in the indicator value in high elevation classes may also signify the encroachment of vegetation on areas previously covered by glaciers or other permanent or semi-permanent ice or snow layers, as a result of global warming due to climate change. Such a change can be tracked with the current methodology and flagged accordingly at the level of disaggregated data by land cover type and elevation class, to distinguish this case from the general desired trend of increasing mountain green cover.</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2ACA57F6" w14:textId="77777777" w:rsidR="007C139F" w:rsidRPr="00306C61" w:rsidRDefault="007C139F" w:rsidP="00532F2F">
            <w:pPr>
              <w:pStyle w:val="MSubHeader"/>
            </w:pPr>
            <w:r w:rsidRPr="00306C61">
              <w:t>Comments and limitations:</w:t>
            </w:r>
          </w:p>
          <w:p w14:paraId="1F7EE3E8" w14:textId="77777777" w:rsidR="00981A7C" w:rsidRPr="00FD208B" w:rsidRDefault="00981A7C" w:rsidP="005C62D1">
            <w:pPr>
              <w:pStyle w:val="MText"/>
            </w:pPr>
            <w:r w:rsidRPr="00FD208B">
              <w:t xml:space="preserve">The indicator can be calculated using freely available Earth Observation data and simple GIS operations that can be processed in free and open source software (FOSS) GIS. </w:t>
            </w:r>
          </w:p>
          <w:p w14:paraId="61FA0AA1" w14:textId="77777777" w:rsidR="00981A7C" w:rsidRPr="00FD208B" w:rsidRDefault="00981A7C" w:rsidP="005C62D1">
            <w:pPr>
              <w:pStyle w:val="MText"/>
            </w:pPr>
          </w:p>
          <w:p w14:paraId="5076AA0A" w14:textId="28D61351" w:rsidR="00981A7C" w:rsidRPr="005C62D1" w:rsidRDefault="00981A7C" w:rsidP="005C62D1">
            <w:pPr>
              <w:pStyle w:val="MText"/>
            </w:pPr>
            <w:r>
              <w:t>Potential</w:t>
            </w:r>
            <w:r w:rsidRPr="00FD208B">
              <w:t xml:space="preserve"> limitations of the </w:t>
            </w:r>
            <w:r>
              <w:t xml:space="preserve">above describe </w:t>
            </w:r>
            <w:r w:rsidRPr="00FD208B">
              <w:t xml:space="preserve">methodology are related </w:t>
            </w:r>
            <w:r>
              <w:t xml:space="preserve">mainly </w:t>
            </w:r>
            <w:r w:rsidRPr="00FD208B">
              <w:t>to the quality of the</w:t>
            </w:r>
            <w:r>
              <w:t xml:space="preserve"> land cover data.</w:t>
            </w:r>
            <w:r w:rsidRPr="00FD208B">
              <w:t xml:space="preserve"> The ESA CCI land cover maps </w:t>
            </w:r>
            <w:r>
              <w:t>are currently available</w:t>
            </w:r>
            <w:r w:rsidRPr="00FD208B">
              <w:t xml:space="preserve"> at 300 meter resolution </w:t>
            </w:r>
            <w:r w:rsidRPr="005C62D1">
              <w:lastRenderedPageBreak/>
              <w:t xml:space="preserve">which limits their applicability in the monitoring of small and highly heterogeneous landscapes. Therefore, if countries have national land cover maps of higher spatial resolution and comparable or better quality, FAO advises using them, following the same methodology presented here, for the generation of MGCI values. </w:t>
            </w:r>
          </w:p>
          <w:p w14:paraId="73661C85" w14:textId="77777777" w:rsidR="00981A7C" w:rsidRPr="005C62D1" w:rsidRDefault="00981A7C" w:rsidP="005C62D1">
            <w:pPr>
              <w:pStyle w:val="MText"/>
            </w:pPr>
          </w:p>
          <w:p w14:paraId="48EF8537" w14:textId="534E94CC" w:rsidR="007F2D9F" w:rsidRPr="00837EC7" w:rsidRDefault="00981A7C" w:rsidP="005C62D1">
            <w:pPr>
              <w:pStyle w:val="MText"/>
              <w:rPr>
                <w:rFonts w:cstheme="minorHAnsi"/>
              </w:rPr>
            </w:pPr>
            <w:r w:rsidRPr="005C62D1">
              <w:t>Regarding the interpretation of the indicator, although in the great majority of cases the desired direction is an increase in green mountain cover which reflects restriction of damage to natural ecosystems and possibly even the expansion of forest, shrubland and grasslands through conservation efforts, in more limited cases, an increase in the indicator value in high elevation classes may also signify the encroachment of vegetation on areas previously covered by glaciers or other permanent or semi-permanent ice or snow layers, as a result of global warming due to climate change. Such a change can be tracked with the current methodology and flagged accordingly at the level of disaggregated data by land cover type and elevation class, to distinguish this case from the general desired trend of increasing mountain green cover.</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4768FAC4" w14:textId="77777777" w:rsidR="007C139F" w:rsidRPr="00306C61" w:rsidRDefault="007C139F" w:rsidP="0076622C">
            <w:pPr>
              <w:pStyle w:val="MHeader"/>
            </w:pPr>
            <w:r w:rsidRPr="00306C61">
              <w:t>Methodology</w:t>
            </w:r>
          </w:p>
          <w:p w14:paraId="579CC25D" w14:textId="731E0177" w:rsidR="007C139F" w:rsidRPr="00306C61" w:rsidRDefault="007C139F" w:rsidP="0076622C">
            <w:pPr>
              <w:pStyle w:val="MSubHeader"/>
            </w:pPr>
            <w:r w:rsidRPr="00306C61">
              <w:t xml:space="preserve">Computation </w:t>
            </w:r>
            <w:r w:rsidR="0076622C">
              <w:t>m</w:t>
            </w:r>
            <w:r w:rsidRPr="00306C61">
              <w:t>ethod:</w:t>
            </w:r>
          </w:p>
          <w:p w14:paraId="29556372" w14:textId="2B03F51E" w:rsidR="00981A7C" w:rsidRDefault="00981A7C" w:rsidP="005C62D1">
            <w:pPr>
              <w:pStyle w:val="MText"/>
            </w:pPr>
            <w:r w:rsidRPr="00FD208B">
              <w:t xml:space="preserve">The Mountain Green Cover Index is defined as </w:t>
            </w:r>
          </w:p>
          <w:p w14:paraId="51DF44E8" w14:textId="77777777" w:rsidR="005C62D1" w:rsidRDefault="005C62D1" w:rsidP="005C62D1">
            <w:pPr>
              <w:pStyle w:val="MText"/>
            </w:pPr>
          </w:p>
          <w:p w14:paraId="478ACF93" w14:textId="58937520" w:rsidR="00981A7C" w:rsidRPr="00E37818" w:rsidRDefault="00981A7C" w:rsidP="005C62D1">
            <w:pPr>
              <w:pStyle w:val="MText"/>
              <w:rPr>
                <w:i/>
                <w:iCs/>
              </w:rPr>
            </w:pPr>
            <w:r w:rsidRPr="00E37818">
              <w:rPr>
                <w:i/>
                <w:iCs/>
              </w:rPr>
              <w:t>MGCI = (Mountain Green Cover Area/Total Mountain Area) X 100</w:t>
            </w:r>
          </w:p>
          <w:p w14:paraId="67FE8DA9" w14:textId="77777777" w:rsidR="005C62D1" w:rsidRDefault="005C62D1" w:rsidP="005C62D1">
            <w:pPr>
              <w:pStyle w:val="MText"/>
            </w:pPr>
          </w:p>
          <w:p w14:paraId="45951301" w14:textId="7D635D48" w:rsidR="00981A7C" w:rsidRPr="000F7AD2" w:rsidRDefault="00981A7C" w:rsidP="005C62D1">
            <w:pPr>
              <w:pStyle w:val="MText"/>
            </w:pPr>
            <w:r w:rsidRPr="000F7AD2">
              <w:t>Where Mountain Green Cover area = Sum of areas covered by Cropland, Grassland</w:t>
            </w:r>
            <w:r>
              <w:t>,</w:t>
            </w:r>
            <w:r w:rsidRPr="000F7AD2">
              <w:t xml:space="preserve"> Forest </w:t>
            </w:r>
            <w:r>
              <w:t xml:space="preserve">and Wetland </w:t>
            </w:r>
            <w:r w:rsidRPr="000F7AD2">
              <w:t>land cover classes</w:t>
            </w:r>
            <w:r>
              <w:t>.</w:t>
            </w:r>
          </w:p>
          <w:p w14:paraId="70409C49" w14:textId="77777777" w:rsidR="005C62D1" w:rsidRDefault="005C62D1" w:rsidP="005C62D1">
            <w:pPr>
              <w:pStyle w:val="MText"/>
            </w:pPr>
          </w:p>
          <w:p w14:paraId="0306E4CF" w14:textId="2B8D8C00" w:rsidR="00981A7C" w:rsidRPr="001023A3" w:rsidRDefault="00981A7C" w:rsidP="005C62D1">
            <w:pPr>
              <w:pStyle w:val="MText"/>
            </w:pPr>
            <w:r>
              <w:t>T</w:t>
            </w:r>
            <w:r w:rsidRPr="00FD208B">
              <w:t>he vegetation descriptor</w:t>
            </w:r>
            <w:r>
              <w:t xml:space="preserve"> is calculated from a land cover map using basic GIS functions. </w:t>
            </w:r>
          </w:p>
          <w:p w14:paraId="3981010B" w14:textId="77777777" w:rsidR="005C62D1" w:rsidRDefault="005C62D1" w:rsidP="005C62D1">
            <w:pPr>
              <w:pStyle w:val="MText"/>
              <w:rPr>
                <w:bCs/>
              </w:rPr>
            </w:pPr>
          </w:p>
          <w:p w14:paraId="5A53B8A7" w14:textId="79B896E0" w:rsidR="007F2D9F" w:rsidRPr="00837EC7" w:rsidRDefault="00981A7C" w:rsidP="005C62D1">
            <w:pPr>
              <w:pStyle w:val="MText"/>
              <w:rPr>
                <w:rFonts w:cstheme="minorHAnsi"/>
              </w:rPr>
            </w:pPr>
            <w:r w:rsidRPr="002B1FB0">
              <w:rPr>
                <w:bCs/>
              </w:rPr>
              <w:t>If the country</w:t>
            </w:r>
            <w:r>
              <w:rPr>
                <w:bCs/>
              </w:rPr>
              <w:t>/region has no mountain area, it will be assigned value N/A.</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(i) at country level and (ii) at regional level</w:t>
            </w:r>
          </w:p>
        </w:tc>
        <w:tc>
          <w:tcPr>
            <w:tcW w:w="3261" w:type="pct"/>
            <w:tcBorders>
              <w:top w:val="nil"/>
              <w:left w:val="nil"/>
              <w:bottom w:val="single" w:sz="4" w:space="0" w:color="auto"/>
              <w:right w:val="single" w:sz="4" w:space="0" w:color="auto"/>
            </w:tcBorders>
            <w:shd w:val="clear" w:color="auto" w:fill="auto"/>
          </w:tcPr>
          <w:p w14:paraId="1F4A5A8A" w14:textId="77777777" w:rsidR="00643FF8" w:rsidRPr="00573631" w:rsidRDefault="00643FF8" w:rsidP="00E37818">
            <w:pPr>
              <w:pStyle w:val="MSubHeader"/>
            </w:pPr>
            <w:r w:rsidRPr="00573631">
              <w:t>Treatment of missing values:</w:t>
            </w:r>
          </w:p>
          <w:p w14:paraId="09E6F208" w14:textId="6C552151" w:rsidR="00643FF8" w:rsidRPr="00E37818" w:rsidRDefault="00643FF8" w:rsidP="00E37818">
            <w:pPr>
              <w:pStyle w:val="MText"/>
              <w:numPr>
                <w:ilvl w:val="0"/>
                <w:numId w:val="8"/>
              </w:numPr>
              <w:rPr>
                <w:b/>
                <w:bCs/>
                <w:i/>
                <w:iCs/>
              </w:rPr>
            </w:pPr>
            <w:r w:rsidRPr="00E37818">
              <w:rPr>
                <w:b/>
                <w:bCs/>
                <w:i/>
                <w:iCs/>
              </w:rPr>
              <w:t>At country level</w:t>
            </w:r>
            <w:r>
              <w:rPr>
                <w:b/>
                <w:bCs/>
                <w:i/>
                <w:iCs/>
              </w:rPr>
              <w:t>:</w:t>
            </w:r>
          </w:p>
          <w:p w14:paraId="7BDFDD1E" w14:textId="77777777" w:rsidR="00643FF8" w:rsidRPr="00A61D74" w:rsidRDefault="00643FF8" w:rsidP="00E37818">
            <w:pPr>
              <w:pStyle w:val="MText"/>
            </w:pPr>
            <w:r>
              <w:t>Not applicable, as the indicator has a universal coverage</w:t>
            </w:r>
          </w:p>
          <w:p w14:paraId="5632D248" w14:textId="77777777" w:rsidR="00643FF8" w:rsidRPr="00573631" w:rsidRDefault="00643FF8" w:rsidP="00643FF8">
            <w:pPr>
              <w:shd w:val="clear" w:color="auto" w:fill="FFFFFF"/>
              <w:spacing w:after="0"/>
              <w:ind w:left="495"/>
              <w:rPr>
                <w:rFonts w:eastAsia="Times New Roman" w:cs="Times New Roman"/>
                <w:color w:val="4A4A4A"/>
                <w:sz w:val="21"/>
                <w:szCs w:val="21"/>
                <w:lang w:eastAsia="en-GB"/>
              </w:rPr>
            </w:pPr>
          </w:p>
          <w:p w14:paraId="76B9F197" w14:textId="607C2F2D" w:rsidR="00643FF8" w:rsidRPr="00E37818" w:rsidRDefault="00643FF8" w:rsidP="00E37818">
            <w:pPr>
              <w:pStyle w:val="MText"/>
              <w:numPr>
                <w:ilvl w:val="0"/>
                <w:numId w:val="8"/>
              </w:numPr>
              <w:rPr>
                <w:b/>
                <w:bCs/>
                <w:i/>
                <w:iCs/>
              </w:rPr>
            </w:pPr>
            <w:r w:rsidRPr="00E37818">
              <w:rPr>
                <w:b/>
                <w:bCs/>
                <w:i/>
                <w:iCs/>
              </w:rPr>
              <w:t>At regional and global levels</w:t>
            </w:r>
            <w:r>
              <w:rPr>
                <w:b/>
                <w:bCs/>
                <w:i/>
                <w:iCs/>
              </w:rPr>
              <w:t>:</w:t>
            </w:r>
          </w:p>
          <w:p w14:paraId="55C0FDEF" w14:textId="6C4FB824" w:rsidR="007F2D9F" w:rsidRPr="00837EC7" w:rsidRDefault="00643FF8" w:rsidP="00E37818">
            <w:pPr>
              <w:shd w:val="clear" w:color="auto" w:fill="FFFFFF"/>
              <w:spacing w:after="0"/>
              <w:rPr>
                <w:rFonts w:cstheme="minorHAnsi"/>
                <w:sz w:val="21"/>
                <w:szCs w:val="21"/>
              </w:rPr>
            </w:pPr>
            <w:r w:rsidRPr="0069316C">
              <w:rPr>
                <w:rFonts w:eastAsia="Times New Roman" w:cs="Times New Roman"/>
                <w:color w:val="4A4A4A"/>
                <w:sz w:val="21"/>
                <w:szCs w:val="21"/>
                <w:lang w:eastAsia="en-GB"/>
              </w:rPr>
              <w:lastRenderedPageBreak/>
              <w:t>Not applicable, as the indicator has a universal coverage</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4D9FA32E" w14:textId="77777777" w:rsidR="007C139F" w:rsidRPr="00306C61" w:rsidRDefault="007C139F" w:rsidP="0076622C">
            <w:pPr>
              <w:pStyle w:val="MSubHeader"/>
            </w:pPr>
            <w:r w:rsidRPr="00306C61">
              <w:t>Regional aggregates:</w:t>
            </w:r>
          </w:p>
          <w:p w14:paraId="27492CB0" w14:textId="4DD31174" w:rsidR="007F2D9F" w:rsidRPr="00837EC7" w:rsidRDefault="001D67F0" w:rsidP="005C62D1">
            <w:pPr>
              <w:pStyle w:val="MText"/>
              <w:rPr>
                <w:rFonts w:cstheme="minorHAnsi"/>
              </w:rPr>
            </w:pPr>
            <w:r>
              <w:t xml:space="preserve">Using spatially explicit data allows straightforward calculation of the indicator value for any delineated area. However, giving the spatial resolution of 300 meters of the CCI layer, calculation of the indicator values for smallest regions consisting of only few pixels may results in abrupt changes in the indicator values due to the relatively higher impact of classification errors.  </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A6D91F9" w14:textId="77777777" w:rsidR="007C139F" w:rsidRPr="0076622C" w:rsidRDefault="007C139F" w:rsidP="0076622C">
            <w:pPr>
              <w:pStyle w:val="MSubHeader"/>
            </w:pPr>
            <w:r w:rsidRPr="0076622C">
              <w:t>Methods and guidance available to countries for the compilation of the data at the national level:</w:t>
            </w:r>
          </w:p>
          <w:p w14:paraId="258AB56A" w14:textId="77777777" w:rsidR="00433063" w:rsidRDefault="00433063" w:rsidP="00433063">
            <w:pPr>
              <w:pStyle w:val="paragraph"/>
              <w:spacing w:before="0" w:beforeAutospacing="0" w:after="0" w:afterAutospacing="0"/>
              <w:jc w:val="both"/>
              <w:textAlignment w:val="baseline"/>
              <w:rPr>
                <w:rStyle w:val="eop"/>
                <w:rFonts w:ascii="Calibri" w:hAnsi="Calibri" w:cs="Calibri"/>
                <w:color w:val="4A4A4A"/>
                <w:sz w:val="21"/>
                <w:szCs w:val="21"/>
              </w:rPr>
            </w:pPr>
            <w:r w:rsidRPr="005C62D1">
              <w:rPr>
                <w:rStyle w:val="MTextChar"/>
              </w:rPr>
              <w:t>The indicator value can be calculated as follows</w:t>
            </w:r>
            <w:r>
              <w:rPr>
                <w:rStyle w:val="normaltextrun"/>
                <w:rFonts w:ascii="Calibri" w:hAnsi="Calibri" w:cs="Calibri"/>
                <w:color w:val="4A4A4A"/>
                <w:sz w:val="21"/>
                <w:szCs w:val="21"/>
                <w:lang w:val="en-GB"/>
              </w:rPr>
              <w:t>: </w:t>
            </w:r>
            <w:r>
              <w:rPr>
                <w:rStyle w:val="eop"/>
                <w:rFonts w:ascii="Calibri" w:hAnsi="Calibri" w:cs="Calibri"/>
                <w:color w:val="4A4A4A"/>
                <w:sz w:val="21"/>
                <w:szCs w:val="21"/>
              </w:rPr>
              <w:t> </w:t>
            </w:r>
          </w:p>
          <w:p w14:paraId="555E7268" w14:textId="77777777" w:rsidR="00433063" w:rsidRDefault="00433063" w:rsidP="00433063">
            <w:pPr>
              <w:pStyle w:val="paragraph"/>
              <w:spacing w:before="0" w:beforeAutospacing="0" w:after="0" w:afterAutospacing="0"/>
              <w:textAlignment w:val="baseline"/>
              <w:rPr>
                <w:rFonts w:ascii="Calibri" w:hAnsi="Calibri" w:cs="Calibri"/>
                <w:sz w:val="21"/>
                <w:szCs w:val="21"/>
              </w:rPr>
            </w:pPr>
          </w:p>
          <w:p w14:paraId="2357E3E3" w14:textId="00DFB7F8" w:rsidR="00433063" w:rsidRDefault="00433063" w:rsidP="00A65B4A">
            <w:pPr>
              <w:pStyle w:val="MText"/>
              <w:numPr>
                <w:ilvl w:val="0"/>
                <w:numId w:val="23"/>
              </w:numPr>
              <w:ind w:left="550" w:hanging="270"/>
            </w:pPr>
            <w:r>
              <w:rPr>
                <w:rStyle w:val="normaltextrun"/>
                <w:rFonts w:ascii="Calibri" w:hAnsi="Calibri" w:cs="Calibri"/>
              </w:rPr>
              <w:t>The ESA CCI land cover classes are reclassified into six IPCC classes and Green/Non-Green cover map.</w:t>
            </w:r>
            <w:r>
              <w:rPr>
                <w:rStyle w:val="eop"/>
                <w:rFonts w:ascii="Calibri" w:hAnsi="Calibri" w:cs="Calibri"/>
              </w:rPr>
              <w:t> </w:t>
            </w:r>
          </w:p>
          <w:p w14:paraId="7DCE48B6" w14:textId="21A15AD2" w:rsidR="00433063" w:rsidRDefault="00433063" w:rsidP="00A65B4A">
            <w:pPr>
              <w:pStyle w:val="MText"/>
              <w:numPr>
                <w:ilvl w:val="0"/>
                <w:numId w:val="23"/>
              </w:numPr>
              <w:ind w:left="550" w:hanging="270"/>
            </w:pPr>
            <w:r>
              <w:rPr>
                <w:rStyle w:val="normaltextrun"/>
                <w:rFonts w:ascii="Calibri" w:hAnsi="Calibri" w:cs="Calibri"/>
              </w:rPr>
              <w:t>The Kapos Elevation Ranges map is overlaid on top of the map resulting from step 1.</w:t>
            </w:r>
            <w:r>
              <w:rPr>
                <w:rStyle w:val="eop"/>
                <w:rFonts w:ascii="Calibri" w:hAnsi="Calibri" w:cs="Calibri"/>
              </w:rPr>
              <w:t> </w:t>
            </w:r>
          </w:p>
          <w:p w14:paraId="6DC878BB" w14:textId="4625E6D5" w:rsidR="00433063" w:rsidRDefault="00433063" w:rsidP="00A65B4A">
            <w:pPr>
              <w:pStyle w:val="MText"/>
              <w:numPr>
                <w:ilvl w:val="0"/>
                <w:numId w:val="23"/>
              </w:numPr>
              <w:ind w:left="550" w:hanging="270"/>
            </w:pPr>
            <w:r>
              <w:rPr>
                <w:rStyle w:val="normaltextrun"/>
                <w:rFonts w:ascii="Calibri" w:hAnsi="Calibri" w:cs="Calibri"/>
              </w:rPr>
              <w:t>Zonal histogram is calculated for each country and regional grouping in such a way that the number of pixels belonging to green and non-green classes are counted within each elevation range.</w:t>
            </w:r>
            <w:r>
              <w:rPr>
                <w:rStyle w:val="eop"/>
                <w:rFonts w:ascii="Calibri" w:hAnsi="Calibri" w:cs="Calibri"/>
              </w:rPr>
              <w:t> </w:t>
            </w:r>
          </w:p>
          <w:p w14:paraId="3ECC9FA3" w14:textId="371555BB" w:rsidR="00433063" w:rsidRDefault="00433063" w:rsidP="00A65B4A">
            <w:pPr>
              <w:pStyle w:val="MText"/>
              <w:numPr>
                <w:ilvl w:val="0"/>
                <w:numId w:val="23"/>
              </w:numPr>
              <w:ind w:left="550" w:hanging="270"/>
            </w:pPr>
            <w:r>
              <w:rPr>
                <w:rStyle w:val="normaltextrun"/>
                <w:rFonts w:ascii="Calibri" w:hAnsi="Calibri" w:cs="Calibri"/>
              </w:rPr>
              <w:t>The ratio (%) between the sum of the green pixels and the total number of pixels (green plus non green) falling within each Kapos is calculated to obtain MGCI values per each Kapos class.</w:t>
            </w:r>
            <w:r>
              <w:rPr>
                <w:rStyle w:val="eop"/>
                <w:rFonts w:ascii="Calibri" w:hAnsi="Calibri" w:cs="Calibri"/>
              </w:rPr>
              <w:t> </w:t>
            </w:r>
          </w:p>
          <w:p w14:paraId="0232E6B5" w14:textId="21A3A1CA" w:rsidR="007F2D9F" w:rsidRPr="00837EC7" w:rsidRDefault="00433063" w:rsidP="00A65B4A">
            <w:pPr>
              <w:pStyle w:val="MText"/>
              <w:numPr>
                <w:ilvl w:val="0"/>
                <w:numId w:val="23"/>
              </w:numPr>
              <w:ind w:left="550" w:hanging="270"/>
              <w:rPr>
                <w:rFonts w:cstheme="minorHAnsi"/>
              </w:rPr>
            </w:pPr>
            <w:r>
              <w:rPr>
                <w:rStyle w:val="normaltextrun"/>
                <w:rFonts w:ascii="Calibri" w:hAnsi="Calibri" w:cs="Calibri"/>
              </w:rPr>
              <w:t>The same procedure is used to calculate the distribution of the land cover classes as defined by IPCC within each elevation range.</w:t>
            </w:r>
            <w:r>
              <w:rPr>
                <w:rStyle w:val="eop"/>
                <w:rFonts w:ascii="Calibri" w:hAnsi="Calibri" w:cs="Calibri"/>
              </w:rPr>
              <w:t> </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60C22D8B" w14:textId="77777777" w:rsidR="007C139F" w:rsidRPr="00370C5B" w:rsidRDefault="007C139F" w:rsidP="00370C5B">
            <w:pPr>
              <w:pStyle w:val="MSubHeader"/>
            </w:pPr>
            <w:r w:rsidRPr="00370C5B">
              <w:t>Quality assurance:</w:t>
            </w:r>
          </w:p>
          <w:p w14:paraId="49CC4A3F" w14:textId="1678B9EF" w:rsidR="009859D4" w:rsidRPr="00837EC7" w:rsidRDefault="009859D4" w:rsidP="00A65B4A">
            <w:pPr>
              <w:pStyle w:val="MText"/>
              <w:numPr>
                <w:ilvl w:val="0"/>
                <w:numId w:val="8"/>
              </w:numPr>
              <w:rPr>
                <w:rFonts w:ascii="Calibri" w:hAnsi="Calibri" w:cs="Calibri"/>
                <w:color w:val="000000"/>
              </w:rPr>
            </w:pPr>
            <w:r w:rsidRPr="00A65B4A">
              <w:rPr>
                <w:color w:val="auto"/>
              </w:rPr>
              <w:t>Country figures generated by FAO are sent to official NSO SDG focal points for validation before publication.</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48" w:name="_Toc36655613"/>
            <w:bookmarkStart w:id="49" w:name="_Toc36812576"/>
            <w:bookmarkStart w:id="50" w:name="_Toc36812689"/>
            <w:bookmarkStart w:id="51" w:name="_Toc36813076"/>
            <w:bookmarkStart w:id="52" w:name="_Toc37932748"/>
            <w:r w:rsidRPr="00837EC7">
              <w:rPr>
                <w:sz w:val="32"/>
                <w:szCs w:val="32"/>
              </w:rPr>
              <w:t>5. Data availability and disaggregation</w:t>
            </w:r>
            <w:bookmarkEnd w:id="48"/>
            <w:bookmarkEnd w:id="49"/>
            <w:bookmarkEnd w:id="50"/>
            <w:bookmarkEnd w:id="51"/>
            <w:bookmarkEnd w:id="52"/>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DEAC4F2" w14:textId="01312149" w:rsidR="0082380C" w:rsidRPr="00306C61" w:rsidRDefault="0082380C" w:rsidP="00C40225">
            <w:pPr>
              <w:pStyle w:val="MHeader"/>
            </w:pPr>
            <w:r w:rsidRPr="00306C61">
              <w:t xml:space="preserve">Data </w:t>
            </w:r>
            <w:r w:rsidR="00C40225">
              <w:t>a</w:t>
            </w:r>
            <w:r w:rsidRPr="00306C61">
              <w:t>vailability</w:t>
            </w:r>
          </w:p>
          <w:p w14:paraId="696FC2AD" w14:textId="77777777" w:rsidR="00414171" w:rsidRDefault="00414171" w:rsidP="00A65B4A">
            <w:pPr>
              <w:pStyle w:val="MText"/>
            </w:pPr>
            <w:r>
              <w:t xml:space="preserve">The indicator is generated by geospatial data and therefore has universal coverage. Countries with no values on the global SDG database are either A) countries with no mountains where the </w:t>
            </w:r>
            <w:r>
              <w:lastRenderedPageBreak/>
              <w:t>indicator is not applicable or B) countries that have not validated FAO’s estimates and yet have not provided figures of their own.</w:t>
            </w:r>
          </w:p>
          <w:p w14:paraId="7F8C6446" w14:textId="77777777" w:rsidR="00414171" w:rsidRPr="00573631" w:rsidRDefault="00414171" w:rsidP="00414171">
            <w:pPr>
              <w:shd w:val="clear" w:color="auto" w:fill="FFFFFF"/>
              <w:spacing w:after="0"/>
              <w:rPr>
                <w:rFonts w:eastAsia="Times New Roman" w:cs="Times New Roman"/>
                <w:color w:val="4A4A4A"/>
                <w:sz w:val="21"/>
                <w:szCs w:val="21"/>
                <w:lang w:eastAsia="en-GB"/>
              </w:rPr>
            </w:pPr>
          </w:p>
          <w:p w14:paraId="47EFD42E" w14:textId="77777777" w:rsidR="00414171" w:rsidRPr="00FD208B" w:rsidRDefault="00414171" w:rsidP="00A65B4A">
            <w:pPr>
              <w:pStyle w:val="ListParagraph"/>
              <w:numPr>
                <w:ilvl w:val="0"/>
                <w:numId w:val="24"/>
              </w:numPr>
              <w:jc w:val="both"/>
              <w:rPr>
                <w:rFonts w:cstheme="minorHAnsi"/>
              </w:rPr>
            </w:pPr>
            <w:r w:rsidRPr="00FD208B">
              <w:rPr>
                <w:rFonts w:cstheme="minorHAnsi"/>
                <w:color w:val="595959" w:themeColor="text1" w:themeTint="A6"/>
              </w:rPr>
              <w:t xml:space="preserve">ESA CCI Land Cover Data is freely available at: </w:t>
            </w:r>
            <w:hyperlink r:id="rId8" w:history="1">
              <w:r w:rsidRPr="00FD208B">
                <w:rPr>
                  <w:rStyle w:val="Hyperlink"/>
                </w:rPr>
                <w:t>https://www.esa-landcover-cci.org/?q=node/164</w:t>
              </w:r>
            </w:hyperlink>
          </w:p>
          <w:p w14:paraId="161FAF3A" w14:textId="77777777" w:rsidR="00414171" w:rsidRPr="00FD208B" w:rsidRDefault="00414171" w:rsidP="00070DC2">
            <w:pPr>
              <w:pStyle w:val="MText"/>
              <w:numPr>
                <w:ilvl w:val="0"/>
                <w:numId w:val="24"/>
              </w:numPr>
            </w:pPr>
            <w:r w:rsidRPr="00FD208B">
              <w:t>Kapos data is freely available at the below links:</w:t>
            </w:r>
          </w:p>
          <w:p w14:paraId="5891F48C" w14:textId="5F337813" w:rsidR="00414171" w:rsidRPr="00070DC2" w:rsidRDefault="00414171" w:rsidP="00070DC2">
            <w:pPr>
              <w:pStyle w:val="MText"/>
              <w:numPr>
                <w:ilvl w:val="0"/>
                <w:numId w:val="26"/>
              </w:numPr>
              <w:rPr>
                <w:color w:val="595959" w:themeColor="text1" w:themeTint="A6"/>
              </w:rPr>
            </w:pPr>
            <w:r w:rsidRPr="00FD208B">
              <w:rPr>
                <w:color w:val="595959" w:themeColor="text1" w:themeTint="A6"/>
              </w:rPr>
              <w:t xml:space="preserve">The FAO Mountain Partnership website, find the raster file in the right banner. Access in </w:t>
            </w:r>
            <w:hyperlink r:id="rId9" w:history="1">
              <w:r w:rsidRPr="00070DC2">
                <w:rPr>
                  <w:rStyle w:val="Hyperlink"/>
                  <w:lang w:val="fr-FR"/>
                </w:rPr>
                <w:t>http://www.fao.org/mountain-partnership/our-work/focusareas/foodsecurity/en/</w:t>
              </w:r>
            </w:hyperlink>
            <w:r w:rsidRPr="00070DC2">
              <w:rPr>
                <w:color w:val="595959" w:themeColor="text1" w:themeTint="A6"/>
              </w:rPr>
              <w:t xml:space="preserve"> </w:t>
            </w:r>
          </w:p>
          <w:p w14:paraId="725F8CB4" w14:textId="2A602B0C" w:rsidR="00414171" w:rsidRPr="00070DC2" w:rsidRDefault="00414171" w:rsidP="00070DC2">
            <w:pPr>
              <w:pStyle w:val="MText"/>
              <w:numPr>
                <w:ilvl w:val="0"/>
                <w:numId w:val="26"/>
              </w:numPr>
              <w:rPr>
                <w:color w:val="595959" w:themeColor="text1" w:themeTint="A6"/>
              </w:rPr>
            </w:pPr>
            <w:r w:rsidRPr="00FD208B">
              <w:rPr>
                <w:color w:val="595959" w:themeColor="text1" w:themeTint="A6"/>
              </w:rPr>
              <w:t xml:space="preserve">The USGS Mountain Explorer Kapos classification can be found as GME_K1classes.zip in:  </w:t>
            </w:r>
            <w:hyperlink r:id="rId10" w:history="1">
              <w:r w:rsidRPr="00070DC2">
                <w:rPr>
                  <w:rStyle w:val="Hyperlink"/>
                  <w:lang w:val="fr-FR"/>
                </w:rPr>
                <w:t>https://rmgsc.cr.usgs.gov/outgoing/ecosystems/Global</w:t>
              </w:r>
            </w:hyperlink>
          </w:p>
          <w:p w14:paraId="56A5BA2B" w14:textId="77777777" w:rsidR="00414171" w:rsidRPr="00FD208B" w:rsidRDefault="00414171" w:rsidP="00414171">
            <w:pPr>
              <w:pStyle w:val="ListParagraph"/>
              <w:shd w:val="clear" w:color="auto" w:fill="FFFFFF"/>
              <w:spacing w:after="0"/>
              <w:ind w:left="1080"/>
              <w:rPr>
                <w:rFonts w:eastAsia="Times New Roman" w:cs="Times New Roman"/>
                <w:b/>
                <w:bCs/>
                <w:color w:val="4A4A4A"/>
                <w:sz w:val="21"/>
                <w:szCs w:val="21"/>
                <w:lang w:eastAsia="en-GB"/>
              </w:rPr>
            </w:pPr>
          </w:p>
          <w:p w14:paraId="2EE3E94D" w14:textId="77777777" w:rsidR="00414171" w:rsidRPr="00FD208B" w:rsidRDefault="00414171" w:rsidP="00070DC2">
            <w:pPr>
              <w:pStyle w:val="ListParagraph"/>
              <w:numPr>
                <w:ilvl w:val="0"/>
                <w:numId w:val="24"/>
              </w:numPr>
              <w:shd w:val="clear" w:color="auto" w:fill="FFFFFF"/>
              <w:spacing w:after="0"/>
              <w:rPr>
                <w:color w:val="595959" w:themeColor="text1" w:themeTint="A6"/>
                <w:sz w:val="21"/>
                <w:szCs w:val="21"/>
              </w:rPr>
            </w:pPr>
            <w:r w:rsidRPr="00FD208B">
              <w:rPr>
                <w:color w:val="595959" w:themeColor="text1" w:themeTint="A6"/>
                <w:sz w:val="21"/>
                <w:szCs w:val="21"/>
              </w:rPr>
              <w:t>Administrative boundaries are available from various global databases at the links below:</w:t>
            </w:r>
          </w:p>
          <w:p w14:paraId="7879F51A" w14:textId="77777777" w:rsidR="00414171" w:rsidRPr="00FD208B" w:rsidRDefault="00414171" w:rsidP="00070DC2">
            <w:pPr>
              <w:pStyle w:val="MText"/>
              <w:numPr>
                <w:ilvl w:val="0"/>
                <w:numId w:val="26"/>
              </w:numPr>
              <w:rPr>
                <w:color w:val="595959" w:themeColor="text1" w:themeTint="A6"/>
              </w:rPr>
            </w:pPr>
            <w:r w:rsidRPr="00FD208B">
              <w:rPr>
                <w:color w:val="595959" w:themeColor="text1" w:themeTint="A6"/>
              </w:rPr>
              <w:t xml:space="preserve">FAO Global Administrative Units Layer (GAUL)  </w:t>
            </w:r>
            <w:hyperlink r:id="rId11" w:history="1">
              <w:r w:rsidRPr="00FD208B">
                <w:rPr>
                  <w:rStyle w:val="Hyperlink"/>
                  <w:lang w:val="fr-FR"/>
                </w:rPr>
                <w:t>https://data.europa.eu/euodp/data/dataset/jrc-10112-10004</w:t>
              </w:r>
            </w:hyperlink>
          </w:p>
          <w:p w14:paraId="79BCE73E" w14:textId="77777777" w:rsidR="00414171" w:rsidRPr="005E3ACB" w:rsidRDefault="00414171" w:rsidP="00070DC2">
            <w:pPr>
              <w:pStyle w:val="MText"/>
              <w:numPr>
                <w:ilvl w:val="0"/>
                <w:numId w:val="26"/>
              </w:numPr>
              <w:rPr>
                <w:b/>
                <w:bCs/>
                <w:lang w:val="es-ES"/>
              </w:rPr>
            </w:pPr>
            <w:r w:rsidRPr="005E3ACB">
              <w:rPr>
                <w:color w:val="595959" w:themeColor="text1" w:themeTint="A6"/>
                <w:lang w:val="es-ES"/>
              </w:rPr>
              <w:t xml:space="preserve">Divas-GIS </w:t>
            </w:r>
            <w:hyperlink r:id="rId12" w:history="1">
              <w:r w:rsidRPr="005E3ACB">
                <w:rPr>
                  <w:rStyle w:val="Hyperlink"/>
                  <w:lang w:val="es-ES"/>
                </w:rPr>
                <w:t>https://www.diva-gis.org/gdata</w:t>
              </w:r>
            </w:hyperlink>
            <w:r w:rsidRPr="005E3ACB">
              <w:rPr>
                <w:lang w:val="es-ES"/>
              </w:rPr>
              <w:t xml:space="preserve"> </w:t>
            </w:r>
          </w:p>
          <w:p w14:paraId="5F003F04" w14:textId="77777777" w:rsidR="00414171" w:rsidRPr="00B53C1A" w:rsidRDefault="00414171" w:rsidP="00070DC2">
            <w:pPr>
              <w:pStyle w:val="MText"/>
              <w:numPr>
                <w:ilvl w:val="0"/>
                <w:numId w:val="26"/>
              </w:numPr>
              <w:rPr>
                <w:b/>
                <w:bCs/>
              </w:rPr>
            </w:pPr>
            <w:r>
              <w:rPr>
                <w:color w:val="595959" w:themeColor="text1" w:themeTint="A6"/>
              </w:rPr>
              <w:t xml:space="preserve">UN </w:t>
            </w:r>
            <w:r w:rsidRPr="00B53C1A">
              <w:rPr>
                <w:color w:val="595959" w:themeColor="text1" w:themeTint="A6"/>
              </w:rPr>
              <w:t>Second Administrative Level Boundaries</w:t>
            </w:r>
            <w:r>
              <w:rPr>
                <w:color w:val="595959" w:themeColor="text1" w:themeTint="A6"/>
              </w:rPr>
              <w:t xml:space="preserve"> (SALB)  </w:t>
            </w:r>
            <w:hyperlink r:id="rId13" w:history="1">
              <w:r>
                <w:rPr>
                  <w:rStyle w:val="Hyperlink"/>
                </w:rPr>
                <w:t>https://www.unsalb.org/</w:t>
              </w:r>
            </w:hyperlink>
          </w:p>
          <w:p w14:paraId="68EF7677" w14:textId="72047257" w:rsidR="0082380C" w:rsidRDefault="0082380C" w:rsidP="00C40225">
            <w:pPr>
              <w:pStyle w:val="MText"/>
            </w:pPr>
          </w:p>
          <w:p w14:paraId="1183896C" w14:textId="77777777" w:rsidR="00414171" w:rsidRPr="00573631" w:rsidRDefault="00414171" w:rsidP="00070DC2">
            <w:pPr>
              <w:pStyle w:val="MSubHeader"/>
            </w:pPr>
            <w:r w:rsidRPr="00573631">
              <w:t>Time series:</w:t>
            </w:r>
          </w:p>
          <w:p w14:paraId="7E3BA9E1" w14:textId="77777777" w:rsidR="00414171" w:rsidRDefault="00414171" w:rsidP="00070DC2">
            <w:pPr>
              <w:pStyle w:val="MText"/>
            </w:pPr>
            <w:r>
              <w:t>Country, regional and global figures are available for the years 2000, 2010, 2015 and 2018.</w:t>
            </w:r>
          </w:p>
          <w:p w14:paraId="408F20D1" w14:textId="77777777" w:rsidR="0082380C" w:rsidRDefault="0082380C" w:rsidP="00C40225">
            <w:pPr>
              <w:pStyle w:val="MText"/>
            </w:pPr>
          </w:p>
          <w:p w14:paraId="47079F83" w14:textId="45A0B010" w:rsidR="007C139F" w:rsidRPr="00306C61" w:rsidRDefault="007C139F" w:rsidP="00C40225">
            <w:pPr>
              <w:pStyle w:val="MSubHeader"/>
            </w:pPr>
            <w:r w:rsidRPr="00306C61">
              <w:t>Disaggregation:</w:t>
            </w:r>
          </w:p>
          <w:p w14:paraId="39185D77" w14:textId="40738DF3" w:rsidR="00776312" w:rsidRPr="00837EC7" w:rsidRDefault="00CF2232" w:rsidP="00070DC2">
            <w:pPr>
              <w:pStyle w:val="MText"/>
              <w:rPr>
                <w:rFonts w:cstheme="minorHAnsi"/>
              </w:rPr>
            </w:pPr>
            <w:r>
              <w:t>In the global SDG database, t</w:t>
            </w:r>
            <w:r w:rsidRPr="0026631E">
              <w:t>he indicator is disaggregated by mountain elevation class</w:t>
            </w:r>
            <w:r w:rsidRPr="00FD208B">
              <w:t xml:space="preserve"> (mountain descriptor)</w:t>
            </w:r>
            <w:r>
              <w:t xml:space="preserve">. An additional disaggregation dimension, the IPCC land cover class, is available in FAO’s SDG indicators portal. The combination of six elevation classes and six main land cover types following the IPCC classification yields 36 different disaggregations per country per reporting year </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53" w:name="_Toc36655614"/>
            <w:bookmarkStart w:id="54" w:name="_Toc36812577"/>
            <w:bookmarkStart w:id="55" w:name="_Toc36812690"/>
            <w:bookmarkStart w:id="56" w:name="_Toc37932749"/>
            <w:bookmarkStart w:id="57"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53"/>
            <w:bookmarkEnd w:id="54"/>
            <w:bookmarkEnd w:id="55"/>
            <w:bookmarkEnd w:id="56"/>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02AA3222" w14:textId="77777777" w:rsidR="00BC532C" w:rsidRPr="00573631" w:rsidRDefault="00BC532C" w:rsidP="00E37818">
            <w:pPr>
              <w:pStyle w:val="MSubHeader"/>
            </w:pPr>
            <w:r w:rsidRPr="00573631">
              <w:t>Sources of discrepancies:</w:t>
            </w:r>
          </w:p>
          <w:p w14:paraId="1080AA3F" w14:textId="3D180FEA" w:rsidR="00BC532C" w:rsidRDefault="00BC532C" w:rsidP="00E37818">
            <w:pPr>
              <w:pStyle w:val="MText"/>
            </w:pPr>
            <w:r w:rsidRPr="000F7AD2">
              <w:lastRenderedPageBreak/>
              <w:t>The</w:t>
            </w:r>
            <w:r>
              <w:t xml:space="preserve"> default methodology presented here is based on the use of the global ESA CCI Land Cover product, which has been reported to have an overall accuracy of 73.2%. However, the accuracy estimate was calculated using the original 22 land cover classes. As the methodology presented here is based on use of aggregate classes, the accuracy can be expected to be higher. </w:t>
            </w:r>
          </w:p>
          <w:p w14:paraId="330FFDBE" w14:textId="77777777" w:rsidR="00BC532C" w:rsidRDefault="00BC532C" w:rsidP="00E37818">
            <w:pPr>
              <w:pStyle w:val="MText"/>
            </w:pPr>
          </w:p>
          <w:p w14:paraId="0786271C" w14:textId="77777777" w:rsidR="00BC532C" w:rsidRDefault="00BC532C" w:rsidP="00E37818">
            <w:pPr>
              <w:pStyle w:val="MText"/>
            </w:pPr>
            <w:r>
              <w:t xml:space="preserve">The accuracy of the global land cover products can vary regionally. For the same reason, the presented indicator values may differ from those derived using national land cover maps. </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57"/>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58" w:name="_Toc36655615"/>
            <w:bookmarkStart w:id="59" w:name="_Toc36812578"/>
            <w:bookmarkStart w:id="60" w:name="_Toc36812691"/>
            <w:bookmarkStart w:id="61" w:name="_Toc37932750"/>
            <w:r w:rsidRPr="00837EC7">
              <w:rPr>
                <w:sz w:val="32"/>
                <w:szCs w:val="32"/>
              </w:rPr>
              <w:t>7. References and documentation</w:t>
            </w:r>
            <w:bookmarkEnd w:id="58"/>
            <w:bookmarkEnd w:id="59"/>
            <w:bookmarkEnd w:id="60"/>
            <w:bookmarkEnd w:id="61"/>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52B58EB1" w14:textId="77777777" w:rsidR="00D42D69" w:rsidRPr="00306C61" w:rsidRDefault="00D42D69" w:rsidP="00021157">
            <w:pPr>
              <w:pStyle w:val="MHeader"/>
            </w:pPr>
            <w:r w:rsidRPr="00306C61">
              <w:t>References</w:t>
            </w:r>
          </w:p>
          <w:sdt>
            <w:sdtPr>
              <w:rPr>
                <w:rFonts w:eastAsiaTheme="minorHAnsi"/>
                <w:lang w:val="en-US" w:eastAsia="en-US"/>
              </w:rPr>
              <w:id w:val="-573587230"/>
              <w:bibliography/>
            </w:sdtPr>
            <w:sdtEndPr/>
            <w:sdtContent>
              <w:p w14:paraId="72B59C74" w14:textId="1CE20FA2" w:rsidR="00C23CF3" w:rsidRDefault="00C23CF3" w:rsidP="00C23CF3">
                <w:pPr>
                  <w:pStyle w:val="Bibliography"/>
                  <w:ind w:left="720" w:hanging="720"/>
                  <w:rPr>
                    <w:noProof/>
                    <w:sz w:val="24"/>
                    <w:szCs w:val="24"/>
                  </w:rPr>
                </w:pPr>
                <w:r>
                  <w:fldChar w:fldCharType="begin"/>
                </w:r>
                <w:r>
                  <w:instrText xml:space="preserve"> BIBLIOGRAPHY </w:instrText>
                </w:r>
                <w:r>
                  <w:fldChar w:fldCharType="separate"/>
                </w:r>
                <w:r>
                  <w:rPr>
                    <w:noProof/>
                  </w:rPr>
                  <w:t xml:space="preserve">Eurostat (2019). </w:t>
                </w:r>
                <w:r>
                  <w:rPr>
                    <w:i/>
                    <w:iCs/>
                    <w:noProof/>
                  </w:rPr>
                  <w:t>LUCAS Grid</w:t>
                </w:r>
                <w:r>
                  <w:rPr>
                    <w:noProof/>
                  </w:rPr>
                  <w:t>. Retrieved from Eurostat Your Key to European statistcs: https://ec.europa.eu/eurostat/web/lucas/data/lucas-grid</w:t>
                </w:r>
                <w:r w:rsidR="00070DC2">
                  <w:rPr>
                    <w:noProof/>
                  </w:rPr>
                  <w:t xml:space="preserve"> </w:t>
                </w:r>
              </w:p>
              <w:p w14:paraId="3C400B7F" w14:textId="47506640" w:rsidR="00C23CF3" w:rsidRDefault="00C23CF3" w:rsidP="00C23CF3">
                <w:pPr>
                  <w:pStyle w:val="Bibliography"/>
                  <w:ind w:left="720" w:hanging="720"/>
                  <w:rPr>
                    <w:noProof/>
                  </w:rPr>
                </w:pPr>
                <w:r>
                  <w:rPr>
                    <w:noProof/>
                  </w:rPr>
                  <w:t xml:space="preserve">Kapos, V., Rhind, J., Edwards, M., Prince, M., &amp; Ravillous, C. (2000). Developing a map of the world’s mountain forests. In M. F. Price , &amp; N. Butt (Eds.), </w:t>
                </w:r>
                <w:r>
                  <w:rPr>
                    <w:i/>
                    <w:iCs/>
                    <w:noProof/>
                  </w:rPr>
                  <w:t>Forests in Sustainable Mountain Development: A State-of-Knowledge Report for 2000</w:t>
                </w:r>
                <w:r>
                  <w:rPr>
                    <w:noProof/>
                  </w:rPr>
                  <w:t xml:space="preserve"> (pp. 4-9). Wallingford: CAB International.</w:t>
                </w:r>
              </w:p>
              <w:p w14:paraId="0005DCA2" w14:textId="77777777" w:rsidR="00C23CF3" w:rsidRPr="005E3ACB" w:rsidRDefault="00C23CF3" w:rsidP="00C23CF3">
                <w:pPr>
                  <w:pStyle w:val="Bibliography"/>
                  <w:ind w:left="720" w:hanging="720"/>
                  <w:rPr>
                    <w:noProof/>
                  </w:rPr>
                </w:pPr>
                <w:r>
                  <w:rPr>
                    <w:noProof/>
                  </w:rPr>
                  <w:t xml:space="preserve">Karagulle, D., Frye, C., Breyer, S., Aniello, P., Vaughan, R., &amp; Wright, D. (2017). Modeling global Hammond landform regions from 250-m elevation data. </w:t>
                </w:r>
                <w:r w:rsidRPr="005E3ACB">
                  <w:rPr>
                    <w:i/>
                    <w:iCs/>
                    <w:noProof/>
                  </w:rPr>
                  <w:t>Transactions in GIS</w:t>
                </w:r>
                <w:r w:rsidRPr="005E3ACB">
                  <w:rPr>
                    <w:noProof/>
                  </w:rPr>
                  <w:t>. doi:10.1111/tgis.12265</w:t>
                </w:r>
              </w:p>
              <w:p w14:paraId="7BEDEFFD" w14:textId="77777777" w:rsidR="00C23CF3" w:rsidRDefault="00C23CF3" w:rsidP="00C23CF3">
                <w:pPr>
                  <w:pStyle w:val="Bibliography"/>
                  <w:ind w:left="720" w:hanging="720"/>
                  <w:rPr>
                    <w:noProof/>
                  </w:rPr>
                </w:pPr>
                <w:r w:rsidRPr="005E3ACB">
                  <w:rPr>
                    <w:noProof/>
                  </w:rPr>
                  <w:t xml:space="preserve">Körner, C., Paulsen, J., &amp; Spehn, E. (2011). </w:t>
                </w:r>
                <w:r>
                  <w:rPr>
                    <w:noProof/>
                  </w:rPr>
                  <w:t xml:space="preserve">A definition of mountains and their bioclimatic belts for global comparisons of biodiversity data. </w:t>
                </w:r>
                <w:r>
                  <w:rPr>
                    <w:i/>
                    <w:iCs/>
                    <w:noProof/>
                  </w:rPr>
                  <w:t>Alpine Botany, 121</w:t>
                </w:r>
                <w:r>
                  <w:rPr>
                    <w:noProof/>
                  </w:rPr>
                  <w:t>, 73-78.</w:t>
                </w:r>
              </w:p>
              <w:p w14:paraId="721CC581" w14:textId="77777777" w:rsidR="00C23CF3" w:rsidRDefault="00C23CF3" w:rsidP="00C23CF3">
                <w:pPr>
                  <w:pStyle w:val="Bibliography"/>
                  <w:ind w:left="720" w:hanging="720"/>
                  <w:rPr>
                    <w:noProof/>
                  </w:rPr>
                </w:pPr>
                <w:r>
                  <w:rPr>
                    <w:noProof/>
                  </w:rPr>
                  <w:t xml:space="preserve">Santoro, M., Kirches, G., Wevers, J., Boettcher, M., Brockmann, C., Lamarche, C., . . . Defourny, P. (2015). </w:t>
                </w:r>
                <w:r>
                  <w:rPr>
                    <w:i/>
                    <w:iCs/>
                    <w:noProof/>
                  </w:rPr>
                  <w:t>Land Cover CCI PRODUCT USER GUIDE VERSION 2.0.</w:t>
                </w:r>
                <w:r>
                  <w:rPr>
                    <w:noProof/>
                  </w:rPr>
                  <w:t xml:space="preserve"> European Spatial Agency. European Spatial Agency. Retrieved </w:t>
                </w:r>
                <w:r>
                  <w:rPr>
                    <w:noProof/>
                  </w:rPr>
                  <w:lastRenderedPageBreak/>
                  <w:t>from http://maps.elie.ucl.ac.be/CCI/viewer/download/ESACCI-LC-Ph2-PUGv2_2.0.pdf</w:t>
                </w:r>
              </w:p>
              <w:p w14:paraId="39F5871D" w14:textId="6DA084D3" w:rsidR="00D42D69" w:rsidRPr="00306C61" w:rsidRDefault="00C23CF3" w:rsidP="00070DC2">
                <w:pPr>
                  <w:spacing w:after="0"/>
                </w:pPr>
                <w:r>
                  <w:rPr>
                    <w:b/>
                    <w:bCs/>
                    <w:noProof/>
                  </w:rPr>
                  <w:fldChar w:fldCharType="end"/>
                </w:r>
              </w:p>
            </w:sdtContent>
          </w:sdt>
          <w:p w14:paraId="1B4D40C0" w14:textId="77777777" w:rsidR="00D42D69" w:rsidRPr="00021157" w:rsidRDefault="008313DB" w:rsidP="00021157">
            <w:pPr>
              <w:pStyle w:val="MText"/>
            </w:pPr>
            <w:hyperlink r:id="rId14" w:history="1">
              <w:r w:rsidR="00D42D69" w:rsidRPr="00021157">
                <w:rPr>
                  <w:rStyle w:val="Hyperlink"/>
                </w:rPr>
                <w:t>http://www.mountainpartnership.org/our-work/focusareas/foodsecurity/en/</w:t>
              </w:r>
            </w:hyperlink>
            <w:r w:rsidR="00D42D69" w:rsidRPr="00021157">
              <w:t xml:space="preserve">  (GIS raster of mountains is available for download from the right-side bar) </w:t>
            </w:r>
          </w:p>
          <w:p w14:paraId="7DB9B7B9" w14:textId="77777777" w:rsidR="00D42D69" w:rsidRPr="00306C61" w:rsidRDefault="00D42D69" w:rsidP="00021157">
            <w:pPr>
              <w:pStyle w:val="MText"/>
            </w:pPr>
          </w:p>
          <w:p w14:paraId="58CA3A54" w14:textId="77777777" w:rsidR="00D42D69" w:rsidRPr="00021157" w:rsidRDefault="008313DB" w:rsidP="00021157">
            <w:pPr>
              <w:pStyle w:val="MText"/>
            </w:pPr>
            <w:hyperlink r:id="rId15" w:history="1">
              <w:r w:rsidR="00D42D69" w:rsidRPr="00021157">
                <w:rPr>
                  <w:rStyle w:val="Hyperlink"/>
                </w:rPr>
                <w:t>http://www.openforis.org/tools/collect-earth.html</w:t>
              </w:r>
            </w:hyperlink>
            <w:r w:rsidR="00D42D69" w:rsidRPr="00021157">
              <w:t xml:space="preserve"> </w:t>
            </w:r>
          </w:p>
          <w:p w14:paraId="612C87BF" w14:textId="77777777" w:rsidR="00D42D69" w:rsidRPr="00306C61" w:rsidRDefault="00D42D69" w:rsidP="00021157">
            <w:pPr>
              <w:pStyle w:val="MText"/>
            </w:pPr>
          </w:p>
          <w:p w14:paraId="0460A56C" w14:textId="77777777" w:rsidR="00D42D69" w:rsidRPr="00021157" w:rsidRDefault="008313DB" w:rsidP="00021157">
            <w:pPr>
              <w:pStyle w:val="MText"/>
            </w:pPr>
            <w:hyperlink r:id="rId16" w:history="1">
              <w:r w:rsidR="00D42D69" w:rsidRPr="00021157">
                <w:rPr>
                  <w:rStyle w:val="Hyperlink"/>
                </w:rPr>
                <w:t>http://www.fao.org/3/a-i5175e.pdf</w:t>
              </w:r>
            </w:hyperlink>
            <w:r w:rsidR="00D42D69" w:rsidRPr="00021157">
              <w:t xml:space="preserve">  </w:t>
            </w:r>
          </w:p>
          <w:p w14:paraId="0AB6DD74" w14:textId="77777777" w:rsidR="00D42D69" w:rsidRPr="00306C61" w:rsidRDefault="00D42D69" w:rsidP="00021157">
            <w:pPr>
              <w:pStyle w:val="MText"/>
            </w:pPr>
          </w:p>
          <w:p w14:paraId="245A6DFB" w14:textId="77777777" w:rsidR="00D42D69" w:rsidRPr="00021157" w:rsidRDefault="008313DB" w:rsidP="00021157">
            <w:pPr>
              <w:pStyle w:val="MText"/>
            </w:pPr>
            <w:hyperlink r:id="rId17" w:history="1">
              <w:r w:rsidR="00D42D69" w:rsidRPr="00021157">
                <w:rPr>
                  <w:rStyle w:val="Hyperlink"/>
                </w:rPr>
                <w:t>http://www.fao.org/</w:t>
              </w:r>
            </w:hyperlink>
            <w:r w:rsidR="00D42D69" w:rsidRPr="00021157">
              <w:t xml:space="preserve"> </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8"/>
      <w:footerReference w:type="first" r:id="rId19"/>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 w:id="1">
    <w:p w14:paraId="3E2D0BDC" w14:textId="77777777" w:rsidR="00981A7C" w:rsidRPr="000F7AD2" w:rsidRDefault="00981A7C" w:rsidP="00981A7C">
      <w:pPr>
        <w:pStyle w:val="FootnoteText"/>
      </w:pPr>
      <w:r>
        <w:rPr>
          <w:rStyle w:val="FootnoteReference"/>
        </w:rPr>
        <w:footnoteRef/>
      </w:r>
      <w:r>
        <w:t xml:space="preserve"> Please note, that here the term “Forest” refers to land cover, not necessarily land use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911B9"/>
    <w:multiLevelType w:val="multilevel"/>
    <w:tmpl w:val="4108223A"/>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057C15BF"/>
    <w:multiLevelType w:val="multilevel"/>
    <w:tmpl w:val="04F69A4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981455C"/>
    <w:multiLevelType w:val="multilevel"/>
    <w:tmpl w:val="2F9853B2"/>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15:restartNumberingAfterBreak="0">
    <w:nsid w:val="0C5247C0"/>
    <w:multiLevelType w:val="hybridMultilevel"/>
    <w:tmpl w:val="AF027E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E52715E"/>
    <w:multiLevelType w:val="hybridMultilevel"/>
    <w:tmpl w:val="0A8E5CEA"/>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616C0F"/>
    <w:multiLevelType w:val="hybridMultilevel"/>
    <w:tmpl w:val="ED00A0C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D293CEE"/>
    <w:multiLevelType w:val="hybridMultilevel"/>
    <w:tmpl w:val="4C8C01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E56431F"/>
    <w:multiLevelType w:val="multilevel"/>
    <w:tmpl w:val="7BB2D9C0"/>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444C44"/>
    <w:multiLevelType w:val="multilevel"/>
    <w:tmpl w:val="15FA61B6"/>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1" w15:restartNumberingAfterBreak="0">
    <w:nsid w:val="414A76C5"/>
    <w:multiLevelType w:val="hybridMultilevel"/>
    <w:tmpl w:val="74C647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252027D"/>
    <w:multiLevelType w:val="hybridMultilevel"/>
    <w:tmpl w:val="6C90411A"/>
    <w:lvl w:ilvl="0" w:tplc="04090001">
      <w:start w:val="1"/>
      <w:numFmt w:val="bullet"/>
      <w:lvlText w:val=""/>
      <w:lvlJc w:val="left"/>
      <w:pPr>
        <w:ind w:left="1128" w:hanging="360"/>
      </w:pPr>
      <w:rPr>
        <w:rFonts w:ascii="Symbol" w:hAnsi="Symbol" w:hint="default"/>
      </w:rPr>
    </w:lvl>
    <w:lvl w:ilvl="1" w:tplc="04090003" w:tentative="1">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13" w15:restartNumberingAfterBreak="0">
    <w:nsid w:val="449C5971"/>
    <w:multiLevelType w:val="hybridMultilevel"/>
    <w:tmpl w:val="04EAEC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6A206DB"/>
    <w:multiLevelType w:val="hybridMultilevel"/>
    <w:tmpl w:val="5E8EE7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BA12A49"/>
    <w:multiLevelType w:val="hybridMultilevel"/>
    <w:tmpl w:val="E4A05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6922D7"/>
    <w:multiLevelType w:val="hybridMultilevel"/>
    <w:tmpl w:val="097C4D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2C6322"/>
    <w:multiLevelType w:val="hybridMultilevel"/>
    <w:tmpl w:val="917001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1C08F2"/>
    <w:multiLevelType w:val="hybridMultilevel"/>
    <w:tmpl w:val="9A66B480"/>
    <w:lvl w:ilvl="0" w:tplc="8814C79E">
      <w:start w:val="1"/>
      <w:numFmt w:val="decimal"/>
      <w:lvlText w:val="%1)"/>
      <w:lvlJc w:val="left"/>
      <w:pPr>
        <w:ind w:left="720" w:hanging="360"/>
      </w:pPr>
      <w:rPr>
        <w:rFonts w:hint="default"/>
        <w:color w:val="595959" w:themeColor="text1" w:themeTint="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BF6D0C"/>
    <w:multiLevelType w:val="hybridMultilevel"/>
    <w:tmpl w:val="64C42D76"/>
    <w:lvl w:ilvl="0" w:tplc="04090011">
      <w:start w:val="1"/>
      <w:numFmt w:val="decimal"/>
      <w:lvlText w:val="%1)"/>
      <w:lvlJc w:val="left"/>
      <w:pPr>
        <w:ind w:left="720" w:hanging="360"/>
      </w:pPr>
      <w:rPr>
        <w:rFonts w:hint="default"/>
        <w:color w:val="595959" w:themeColor="text1" w:themeTint="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9E63F9"/>
    <w:multiLevelType w:val="hybridMultilevel"/>
    <w:tmpl w:val="20CEFCDA"/>
    <w:lvl w:ilvl="0" w:tplc="E1F03D9C">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357DE6"/>
    <w:multiLevelType w:val="hybridMultilevel"/>
    <w:tmpl w:val="7F241DCE"/>
    <w:lvl w:ilvl="0" w:tplc="04090011">
      <w:start w:val="1"/>
      <w:numFmt w:val="decimal"/>
      <w:lvlText w:val="%1)"/>
      <w:lvlJc w:val="left"/>
      <w:pPr>
        <w:ind w:left="720" w:hanging="360"/>
      </w:pPr>
      <w:rPr>
        <w:rFonts w:hint="default"/>
        <w:color w:val="595959" w:themeColor="text1" w:themeTint="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C61683"/>
    <w:multiLevelType w:val="hybridMultilevel"/>
    <w:tmpl w:val="458A4A9E"/>
    <w:lvl w:ilvl="0" w:tplc="FC669C8C">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F584470"/>
    <w:multiLevelType w:val="hybridMultilevel"/>
    <w:tmpl w:val="9BFCA92C"/>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6" w15:restartNumberingAfterBreak="0">
    <w:nsid w:val="75E0546D"/>
    <w:multiLevelType w:val="hybridMultilevel"/>
    <w:tmpl w:val="27901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5"/>
  </w:num>
  <w:num w:numId="3">
    <w:abstractNumId w:val="22"/>
  </w:num>
  <w:num w:numId="4">
    <w:abstractNumId w:val="9"/>
  </w:num>
  <w:num w:numId="5">
    <w:abstractNumId w:val="24"/>
  </w:num>
  <w:num w:numId="6">
    <w:abstractNumId w:val="15"/>
  </w:num>
  <w:num w:numId="7">
    <w:abstractNumId w:val="3"/>
  </w:num>
  <w:num w:numId="8">
    <w:abstractNumId w:val="16"/>
  </w:num>
  <w:num w:numId="9">
    <w:abstractNumId w:val="1"/>
  </w:num>
  <w:num w:numId="10">
    <w:abstractNumId w:val="10"/>
  </w:num>
  <w:num w:numId="11">
    <w:abstractNumId w:val="0"/>
  </w:num>
  <w:num w:numId="12">
    <w:abstractNumId w:val="8"/>
  </w:num>
  <w:num w:numId="13">
    <w:abstractNumId w:val="2"/>
  </w:num>
  <w:num w:numId="14">
    <w:abstractNumId w:val="7"/>
  </w:num>
  <w:num w:numId="15">
    <w:abstractNumId w:val="21"/>
  </w:num>
  <w:num w:numId="16">
    <w:abstractNumId w:val="26"/>
  </w:num>
  <w:num w:numId="17">
    <w:abstractNumId w:val="14"/>
  </w:num>
  <w:num w:numId="18">
    <w:abstractNumId w:val="12"/>
  </w:num>
  <w:num w:numId="19">
    <w:abstractNumId w:val="19"/>
  </w:num>
  <w:num w:numId="20">
    <w:abstractNumId w:val="6"/>
  </w:num>
  <w:num w:numId="21">
    <w:abstractNumId w:val="25"/>
  </w:num>
  <w:num w:numId="22">
    <w:abstractNumId w:val="13"/>
  </w:num>
  <w:num w:numId="23">
    <w:abstractNumId w:val="4"/>
  </w:num>
  <w:num w:numId="24">
    <w:abstractNumId w:val="20"/>
  </w:num>
  <w:num w:numId="25">
    <w:abstractNumId w:val="23"/>
  </w:num>
  <w:num w:numId="26">
    <w:abstractNumId w:val="11"/>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21157"/>
    <w:rsid w:val="00042B85"/>
    <w:rsid w:val="000434EA"/>
    <w:rsid w:val="000639BB"/>
    <w:rsid w:val="00070DC2"/>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83788"/>
    <w:rsid w:val="0018734D"/>
    <w:rsid w:val="001A0E35"/>
    <w:rsid w:val="001A6F28"/>
    <w:rsid w:val="001B66E6"/>
    <w:rsid w:val="001C1BC2"/>
    <w:rsid w:val="001D67F0"/>
    <w:rsid w:val="001F0C55"/>
    <w:rsid w:val="001F31C6"/>
    <w:rsid w:val="00202B2D"/>
    <w:rsid w:val="0020618B"/>
    <w:rsid w:val="002063EC"/>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348F1"/>
    <w:rsid w:val="00344199"/>
    <w:rsid w:val="00352386"/>
    <w:rsid w:val="0035311B"/>
    <w:rsid w:val="00355460"/>
    <w:rsid w:val="00356B1E"/>
    <w:rsid w:val="00370C5B"/>
    <w:rsid w:val="00372D21"/>
    <w:rsid w:val="00380958"/>
    <w:rsid w:val="0039535F"/>
    <w:rsid w:val="003A3746"/>
    <w:rsid w:val="003B3C76"/>
    <w:rsid w:val="003E7389"/>
    <w:rsid w:val="003E7F33"/>
    <w:rsid w:val="00406983"/>
    <w:rsid w:val="00413337"/>
    <w:rsid w:val="00414171"/>
    <w:rsid w:val="00416A6D"/>
    <w:rsid w:val="00417B9F"/>
    <w:rsid w:val="00430958"/>
    <w:rsid w:val="00431B2F"/>
    <w:rsid w:val="00433063"/>
    <w:rsid w:val="00433D18"/>
    <w:rsid w:val="00462DB8"/>
    <w:rsid w:val="00463306"/>
    <w:rsid w:val="00470BED"/>
    <w:rsid w:val="004875A8"/>
    <w:rsid w:val="00490C58"/>
    <w:rsid w:val="004962C5"/>
    <w:rsid w:val="004A31AD"/>
    <w:rsid w:val="004C06A8"/>
    <w:rsid w:val="004C665C"/>
    <w:rsid w:val="004D6154"/>
    <w:rsid w:val="004D68B6"/>
    <w:rsid w:val="004E5702"/>
    <w:rsid w:val="004E5E1A"/>
    <w:rsid w:val="004F29D3"/>
    <w:rsid w:val="004F3698"/>
    <w:rsid w:val="004F4616"/>
    <w:rsid w:val="00500E13"/>
    <w:rsid w:val="00514CB8"/>
    <w:rsid w:val="00514E59"/>
    <w:rsid w:val="0051738B"/>
    <w:rsid w:val="00522827"/>
    <w:rsid w:val="0052362A"/>
    <w:rsid w:val="00527741"/>
    <w:rsid w:val="00532F2F"/>
    <w:rsid w:val="0053509F"/>
    <w:rsid w:val="00535955"/>
    <w:rsid w:val="005370AC"/>
    <w:rsid w:val="00537550"/>
    <w:rsid w:val="005377B9"/>
    <w:rsid w:val="00560EB1"/>
    <w:rsid w:val="00563B54"/>
    <w:rsid w:val="00571DE4"/>
    <w:rsid w:val="005803B3"/>
    <w:rsid w:val="00581C4A"/>
    <w:rsid w:val="00581D14"/>
    <w:rsid w:val="005B657A"/>
    <w:rsid w:val="005C091C"/>
    <w:rsid w:val="005C570B"/>
    <w:rsid w:val="005C62D1"/>
    <w:rsid w:val="005C76A1"/>
    <w:rsid w:val="005F7B42"/>
    <w:rsid w:val="006012F0"/>
    <w:rsid w:val="00604A6A"/>
    <w:rsid w:val="00611159"/>
    <w:rsid w:val="006210B8"/>
    <w:rsid w:val="00633477"/>
    <w:rsid w:val="00643134"/>
    <w:rsid w:val="00643FF8"/>
    <w:rsid w:val="006459EE"/>
    <w:rsid w:val="006560A4"/>
    <w:rsid w:val="0068379D"/>
    <w:rsid w:val="00693674"/>
    <w:rsid w:val="006B0512"/>
    <w:rsid w:val="006B0FA2"/>
    <w:rsid w:val="006B3527"/>
    <w:rsid w:val="006C6768"/>
    <w:rsid w:val="006F2038"/>
    <w:rsid w:val="006F50E8"/>
    <w:rsid w:val="007100BD"/>
    <w:rsid w:val="00736C4F"/>
    <w:rsid w:val="007562D0"/>
    <w:rsid w:val="0076622C"/>
    <w:rsid w:val="00776312"/>
    <w:rsid w:val="007A078A"/>
    <w:rsid w:val="007A2617"/>
    <w:rsid w:val="007A28BA"/>
    <w:rsid w:val="007B2E39"/>
    <w:rsid w:val="007C139F"/>
    <w:rsid w:val="007C63C4"/>
    <w:rsid w:val="007E4EE0"/>
    <w:rsid w:val="007F2D9F"/>
    <w:rsid w:val="007F5448"/>
    <w:rsid w:val="007F6520"/>
    <w:rsid w:val="00811E79"/>
    <w:rsid w:val="0082380C"/>
    <w:rsid w:val="008313DB"/>
    <w:rsid w:val="00837EC7"/>
    <w:rsid w:val="008769D5"/>
    <w:rsid w:val="00881218"/>
    <w:rsid w:val="00890B26"/>
    <w:rsid w:val="008A7300"/>
    <w:rsid w:val="008C141D"/>
    <w:rsid w:val="008D775E"/>
    <w:rsid w:val="008E4413"/>
    <w:rsid w:val="008E6037"/>
    <w:rsid w:val="008F0CA2"/>
    <w:rsid w:val="008F0F40"/>
    <w:rsid w:val="00911199"/>
    <w:rsid w:val="009367AA"/>
    <w:rsid w:val="0095215C"/>
    <w:rsid w:val="0095217A"/>
    <w:rsid w:val="00952376"/>
    <w:rsid w:val="00954FBE"/>
    <w:rsid w:val="00957C60"/>
    <w:rsid w:val="00970B70"/>
    <w:rsid w:val="00970E8E"/>
    <w:rsid w:val="00971FA7"/>
    <w:rsid w:val="00972E38"/>
    <w:rsid w:val="009739C8"/>
    <w:rsid w:val="00981A7C"/>
    <w:rsid w:val="009859D4"/>
    <w:rsid w:val="009A5BA4"/>
    <w:rsid w:val="009C0447"/>
    <w:rsid w:val="009D6291"/>
    <w:rsid w:val="009D6F69"/>
    <w:rsid w:val="009E049D"/>
    <w:rsid w:val="00A167C6"/>
    <w:rsid w:val="00A200D3"/>
    <w:rsid w:val="00A3532A"/>
    <w:rsid w:val="00A36E8B"/>
    <w:rsid w:val="00A4314D"/>
    <w:rsid w:val="00A44D87"/>
    <w:rsid w:val="00A5114C"/>
    <w:rsid w:val="00A65B4A"/>
    <w:rsid w:val="00A67357"/>
    <w:rsid w:val="00A91915"/>
    <w:rsid w:val="00A92C73"/>
    <w:rsid w:val="00AA38A9"/>
    <w:rsid w:val="00AB65AE"/>
    <w:rsid w:val="00AC4CB8"/>
    <w:rsid w:val="00AD26C4"/>
    <w:rsid w:val="00AE7A74"/>
    <w:rsid w:val="00AF2FE1"/>
    <w:rsid w:val="00B137EE"/>
    <w:rsid w:val="00B13CEC"/>
    <w:rsid w:val="00B71AEA"/>
    <w:rsid w:val="00B74489"/>
    <w:rsid w:val="00B8102F"/>
    <w:rsid w:val="00B818CA"/>
    <w:rsid w:val="00B97297"/>
    <w:rsid w:val="00BB553B"/>
    <w:rsid w:val="00BC532C"/>
    <w:rsid w:val="00BD7158"/>
    <w:rsid w:val="00C057EA"/>
    <w:rsid w:val="00C141AF"/>
    <w:rsid w:val="00C210B4"/>
    <w:rsid w:val="00C22A2E"/>
    <w:rsid w:val="00C23CF3"/>
    <w:rsid w:val="00C40225"/>
    <w:rsid w:val="00C47725"/>
    <w:rsid w:val="00C605D4"/>
    <w:rsid w:val="00C94E79"/>
    <w:rsid w:val="00CA6252"/>
    <w:rsid w:val="00CC5969"/>
    <w:rsid w:val="00CD4533"/>
    <w:rsid w:val="00CF2232"/>
    <w:rsid w:val="00CF4869"/>
    <w:rsid w:val="00CF504E"/>
    <w:rsid w:val="00D12D35"/>
    <w:rsid w:val="00D15AD5"/>
    <w:rsid w:val="00D165CA"/>
    <w:rsid w:val="00D17114"/>
    <w:rsid w:val="00D42D69"/>
    <w:rsid w:val="00D51841"/>
    <w:rsid w:val="00D815D9"/>
    <w:rsid w:val="00D855E8"/>
    <w:rsid w:val="00DB2680"/>
    <w:rsid w:val="00DC4AE7"/>
    <w:rsid w:val="00DE10A6"/>
    <w:rsid w:val="00DE4848"/>
    <w:rsid w:val="00DF78A7"/>
    <w:rsid w:val="00E07CA1"/>
    <w:rsid w:val="00E37818"/>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7040"/>
    <w:rsid w:val="00F2310E"/>
    <w:rsid w:val="00F62823"/>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 w:type="character" w:customStyle="1" w:styleId="normaltextrun">
    <w:name w:val="normaltextrun"/>
    <w:basedOn w:val="DefaultParagraphFont"/>
    <w:rsid w:val="00981A7C"/>
  </w:style>
  <w:style w:type="paragraph" w:customStyle="1" w:styleId="paragraph">
    <w:name w:val="paragraph"/>
    <w:basedOn w:val="Normal"/>
    <w:rsid w:val="004330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433063"/>
  </w:style>
  <w:style w:type="paragraph" w:styleId="Bibliography">
    <w:name w:val="Bibliography"/>
    <w:basedOn w:val="Normal"/>
    <w:next w:val="Normal"/>
    <w:uiPriority w:val="37"/>
    <w:unhideWhenUsed/>
    <w:rsid w:val="00C23CF3"/>
    <w:pPr>
      <w:spacing w:after="200" w:line="276" w:lineRule="auto"/>
    </w:pPr>
    <w:rPr>
      <w:rFonts w:eastAsiaTheme="minorEastAsia"/>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sa-landcover-cci.org/?q=node/164" TargetMode="External"/><Relationship Id="rId13" Type="http://schemas.openxmlformats.org/officeDocument/2006/relationships/hyperlink" Target="https://www.unsalb.or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www.diva-gis.org/gdata" TargetMode="External"/><Relationship Id="rId17" Type="http://schemas.openxmlformats.org/officeDocument/2006/relationships/hyperlink" Target="http://www.fao.org/" TargetMode="External"/><Relationship Id="rId2" Type="http://schemas.openxmlformats.org/officeDocument/2006/relationships/numbering" Target="numbering.xml"/><Relationship Id="rId16" Type="http://schemas.openxmlformats.org/officeDocument/2006/relationships/hyperlink" Target="http://www.fao.org/3/a-i5175e.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europa.eu/euodp/data/dataset/jrc-10112-10004" TargetMode="External"/><Relationship Id="rId5" Type="http://schemas.openxmlformats.org/officeDocument/2006/relationships/webSettings" Target="webSettings.xml"/><Relationship Id="rId15" Type="http://schemas.openxmlformats.org/officeDocument/2006/relationships/hyperlink" Target="http://www.openforis.org/tools/collect-earth.html" TargetMode="External"/><Relationship Id="rId10" Type="http://schemas.openxmlformats.org/officeDocument/2006/relationships/hyperlink" Target="https://rmgsc.cr.usgs.gov/outgoing/ecosystems/Global/"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fao.org/mountain-partnership/our-work/focusareas/foodsecurity/en/" TargetMode="External"/><Relationship Id="rId14" Type="http://schemas.openxmlformats.org/officeDocument/2006/relationships/hyperlink" Target="http://www.mountainpartnership.org/our-work/focusareas/foodsecurity/en/"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319A7-E48B-467A-9B22-9905AA1E5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11</Pages>
  <Words>2719</Words>
  <Characters>15502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6</cp:revision>
  <cp:lastPrinted>2020-04-16T14:23:00Z</cp:lastPrinted>
  <dcterms:created xsi:type="dcterms:W3CDTF">2021-01-08T23:07:00Z</dcterms:created>
  <dcterms:modified xsi:type="dcterms:W3CDTF">2021-01-08T23:36:00Z</dcterms:modified>
</cp:coreProperties>
</file>