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9505F93" w:rsidR="006D23F0" w:rsidRDefault="006D23F0" w:rsidP="006D23F0">
      <w:r>
        <w:t>1</w:t>
      </w:r>
      <w:r w:rsidR="003700A1">
        <w:t>3</w:t>
      </w:r>
      <w:r>
        <w:t xml:space="preserve"> April 2020</w:t>
      </w:r>
    </w:p>
    <w:p w14:paraId="7B6F7014" w14:textId="7D2B9BC2" w:rsidR="00D7187D" w:rsidRDefault="00D7187D" w:rsidP="006D23F0"/>
    <w:p w14:paraId="5D5C5D31" w14:textId="77777777" w:rsidR="00D7187D" w:rsidRPr="00E263EC" w:rsidRDefault="00D7187D" w:rsidP="00D7187D">
      <w:pPr>
        <w:pStyle w:val="MHeader"/>
        <w:outlineLvl w:val="0"/>
      </w:pPr>
      <w:bookmarkStart w:id="0" w:name="_Toc37932741"/>
      <w:r w:rsidRPr="00E263EC">
        <w:t>Metadata Attachment</w:t>
      </w:r>
      <w:bookmarkEnd w:id="0"/>
    </w:p>
    <w:p w14:paraId="3B6FF95E" w14:textId="77777777" w:rsidR="00D7187D" w:rsidRPr="00E263EC" w:rsidRDefault="00D7187D" w:rsidP="00D7187D">
      <w:pPr>
        <w:spacing w:after="0"/>
        <w:rPr>
          <w:sz w:val="26"/>
          <w:szCs w:val="26"/>
        </w:rPr>
      </w:pPr>
      <w:r w:rsidRPr="00E263EC">
        <w:rPr>
          <w:sz w:val="26"/>
          <w:szCs w:val="26"/>
        </w:rPr>
        <w:t>Reporting type</w:t>
      </w:r>
    </w:p>
    <w:sdt>
      <w:sdtPr>
        <w:alias w:val="Reporting Type"/>
        <w:tag w:val="ddReportingType"/>
        <w:id w:val="-136573180"/>
        <w:placeholder>
          <w:docPart w:val="C533A448DE764916AAAB5C2202DA32F5"/>
        </w:placeholder>
        <w:dropDownList>
          <w:listItem w:displayText="Global" w:value="G"/>
          <w:listItem w:displayText="National" w:value="N"/>
          <w:listItem w:displayText="Regional" w:value="R"/>
        </w:dropDownList>
      </w:sdtPr>
      <w:sdtEndPr/>
      <w:sdtContent>
        <w:p w14:paraId="51BE5973" w14:textId="6B0EEEF5" w:rsidR="00D7187D" w:rsidRPr="00E263EC" w:rsidRDefault="00D7187D" w:rsidP="00D7187D">
          <w:r>
            <w:t>Global</w:t>
          </w:r>
        </w:p>
      </w:sdtContent>
    </w:sdt>
    <w:p w14:paraId="0E7A6380" w14:textId="77777777" w:rsidR="00D7187D" w:rsidRPr="00E263EC" w:rsidRDefault="00D7187D" w:rsidP="00D7187D">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847ED5C" w14:textId="000886AF" w:rsidR="00D7187D" w:rsidRPr="00E263EC" w:rsidRDefault="00D7187D" w:rsidP="00D7187D">
          <w:r>
            <w:t>17.1.1  Total government revenue as a proportion of GDP</w:t>
          </w:r>
        </w:p>
      </w:sdtContent>
    </w:sdt>
    <w:p w14:paraId="4A699D51" w14:textId="77777777" w:rsidR="00D7187D" w:rsidRPr="00E263EC" w:rsidRDefault="00D7187D" w:rsidP="00D7187D">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C4FD6C" w14:textId="08CF8C9E" w:rsidR="00D7187D" w:rsidRDefault="00D7187D" w:rsidP="00D7187D">
          <w:r>
            <w:t>World</w:t>
          </w:r>
        </w:p>
      </w:sdtContent>
    </w:sdt>
    <w:p w14:paraId="303AFFA3" w14:textId="77777777" w:rsidR="00D7187D" w:rsidRDefault="00D7187D" w:rsidP="00D7187D"/>
    <w:p w14:paraId="626DDD2A" w14:textId="77777777" w:rsidR="00D7187D" w:rsidRDefault="00D7187D" w:rsidP="00D7187D">
      <w:pPr>
        <w:pStyle w:val="MHeader"/>
        <w:outlineLvl w:val="0"/>
      </w:pPr>
      <w:bookmarkStart w:id="1" w:name="_Toc37932742"/>
      <w:r>
        <w:t>Metadata Submission Form</w:t>
      </w:r>
      <w:bookmarkEnd w:id="1"/>
    </w:p>
    <w:p w14:paraId="0D036248" w14:textId="77777777" w:rsidR="00D7187D" w:rsidRPr="006D23F0" w:rsidRDefault="00D7187D"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93F5C9F" w:rsidR="00A36E8B" w:rsidRPr="003700A1" w:rsidRDefault="009A7AF3" w:rsidP="00D6262B">
            <w:pPr>
              <w:pStyle w:val="MGTHeader"/>
              <w:rPr>
                <w:rFonts w:cstheme="minorHAnsi"/>
              </w:rPr>
            </w:pPr>
            <w:r>
              <w:rPr>
                <w:rFonts w:cstheme="minorHAnsi"/>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EDC3659" w:rsidR="00A36E8B" w:rsidRPr="003700A1" w:rsidRDefault="00D6262B" w:rsidP="003700A1">
            <w:pPr>
              <w:pStyle w:val="MGTHeader"/>
              <w:rPr>
                <w:rFonts w:cstheme="minorHAnsi"/>
              </w:rPr>
            </w:pPr>
            <w:r>
              <w:rPr>
                <w:rFonts w:cstheme="minorHAnsi"/>
              </w:rPr>
              <w:t>Target 17.1: Strengthen domestic resource mobilization, including through international support to developing countries, to improve domestic capacity for tax and other revenue collection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1BE1BA2" w:rsidR="00A36E8B" w:rsidRPr="00D6262B" w:rsidRDefault="00D6262B" w:rsidP="00D6262B">
            <w:pPr>
              <w:pStyle w:val="MIndHeader"/>
              <w:rPr>
                <w:rFonts w:cstheme="minorHAnsi"/>
              </w:rPr>
            </w:pPr>
            <w:r>
              <w:rPr>
                <w:rFonts w:cstheme="minorHAnsi"/>
              </w:rPr>
              <w:t>Indicator 17.1.1: Total government revenue as a proportion of GDP, by source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D0D0FD1" w:rsidR="00A36E8B" w:rsidRPr="003700A1" w:rsidRDefault="00D6262B" w:rsidP="00D6262B">
            <w:pPr>
              <w:pStyle w:val="Header"/>
              <w:rPr>
                <w:color w:val="7F7F7F" w:themeColor="text1" w:themeTint="80"/>
                <w:sz w:val="18"/>
                <w:szCs w:val="18"/>
              </w:rPr>
            </w:pPr>
            <w:r>
              <w:rPr>
                <w:color w:val="7F7F7F" w:themeColor="text1" w:themeTint="80"/>
                <w:sz w:val="18"/>
                <w:szCs w:val="18"/>
              </w:rPr>
              <w:t>Last updated: November 2017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1646CE">
        <w:trPr>
          <w:trHeight w:val="1214"/>
        </w:trPr>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551803C" w14:textId="77777777" w:rsidR="00451987" w:rsidRDefault="00451987" w:rsidP="00451987">
            <w:pPr>
              <w:pStyle w:val="MHeader"/>
              <w:rPr>
                <w:rFonts w:cstheme="minorHAnsi"/>
              </w:rPr>
            </w:pPr>
            <w:r>
              <w:rPr>
                <w:rFonts w:cstheme="minorHAnsi"/>
              </w:rPr>
              <w:t>Institutional information</w:t>
            </w:r>
          </w:p>
          <w:p w14:paraId="62B1480D" w14:textId="77777777" w:rsidR="00451987" w:rsidRDefault="00451987" w:rsidP="00451987">
            <w:pPr>
              <w:pStyle w:val="MSubHeader"/>
              <w:rPr>
                <w:rFonts w:cstheme="minorHAnsi"/>
              </w:rPr>
            </w:pPr>
            <w:r>
              <w:rPr>
                <w:rFonts w:cstheme="minorHAnsi"/>
              </w:rPr>
              <w:t>Organization(s):</w:t>
            </w:r>
          </w:p>
          <w:p w14:paraId="3E0416B7" w14:textId="512BF280" w:rsidR="00A36E8B" w:rsidRPr="00451987" w:rsidRDefault="00451987" w:rsidP="00D7187D">
            <w:pPr>
              <w:pStyle w:val="MText"/>
            </w:pPr>
            <w:r>
              <w:t>IMF Statistics Department (Government Finance Division)</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B34C1C1" w14:textId="77777777" w:rsidR="00104001" w:rsidRDefault="00104001" w:rsidP="00D7187D">
            <w:pPr>
              <w:pStyle w:val="MHeader"/>
            </w:pPr>
            <w:r>
              <w:t>Concepts and definitions</w:t>
            </w:r>
          </w:p>
          <w:p w14:paraId="27849539" w14:textId="77777777" w:rsidR="00D7187D" w:rsidRDefault="00104001" w:rsidP="00D7187D">
            <w:pPr>
              <w:pStyle w:val="MSubHeader"/>
              <w:rPr>
                <w:shd w:val="clear" w:color="auto" w:fill="F9F9F9"/>
              </w:rPr>
            </w:pPr>
            <w:r>
              <w:rPr>
                <w:shd w:val="clear" w:color="auto" w:fill="F9F9F9"/>
              </w:rPr>
              <w:t xml:space="preserve">Definition: </w:t>
            </w:r>
          </w:p>
          <w:p w14:paraId="01F9B57A" w14:textId="0E993B4C" w:rsidR="00104001" w:rsidRDefault="00104001" w:rsidP="00104001">
            <w:pPr>
              <w:pStyle w:val="MText"/>
              <w:rPr>
                <w:rFonts w:cstheme="minorHAnsi"/>
              </w:rPr>
            </w:pPr>
            <w:r>
              <w:rPr>
                <w:rFonts w:cstheme="minorHAnsi"/>
              </w:rPr>
              <w:t xml:space="preserve">Revenue is defined in Chapter 4 (paragraph 4.23) of </w:t>
            </w:r>
            <w:r>
              <w:rPr>
                <w:rFonts w:cstheme="minorHAnsi"/>
                <w:i/>
              </w:rPr>
              <w:t>GFSM 2014</w:t>
            </w:r>
            <w:r>
              <w:rPr>
                <w:rFonts w:cstheme="minorHAnsi"/>
              </w:rPr>
              <w:t xml:space="preserve">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In particular, taxes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w:t>
            </w:r>
            <w:proofErr w:type="spellStart"/>
            <w:r>
              <w:rPr>
                <w:rFonts w:cstheme="minorHAnsi"/>
              </w:rPr>
              <w:t>nonresident</w:t>
            </w:r>
            <w:proofErr w:type="spellEnd"/>
            <w:r>
              <w:rPr>
                <w:rFonts w:cstheme="minorHAnsi"/>
              </w:rPr>
              <w:t xml:space="preserve"> government units or international organizations, and that do not meet the definition of a tax, subsidy, or social contribution. Other revenue is all revenue receivable excluding taxes, social contributions, and grants. Other revenue comprises: (</w:t>
            </w:r>
            <w:proofErr w:type="spellStart"/>
            <w:r>
              <w:rPr>
                <w:rFonts w:cstheme="minorHAnsi"/>
              </w:rPr>
              <w:t>i</w:t>
            </w:r>
            <w:proofErr w:type="spellEnd"/>
            <w:r>
              <w:rPr>
                <w:rFonts w:cstheme="minorHAnsi"/>
              </w:rPr>
              <w:t>) property income; (ii) sales of goods and services; (iii) fines, penalties, and forfeits; (iv) transfers not elsewhere classified; and (v) premiums, fees, and claims related to nonlife insurance and standardized guarantee schemes.</w:t>
            </w:r>
          </w:p>
          <w:p w14:paraId="63B3AAD0" w14:textId="77777777" w:rsidR="00104001" w:rsidRDefault="00104001" w:rsidP="00104001">
            <w:pPr>
              <w:pStyle w:val="MText"/>
              <w:rPr>
                <w:rFonts w:cstheme="minorHAnsi"/>
              </w:rPr>
            </w:pPr>
          </w:p>
          <w:p w14:paraId="04839F99" w14:textId="77777777" w:rsidR="00D7187D" w:rsidRDefault="00104001" w:rsidP="00D7187D">
            <w:pPr>
              <w:pStyle w:val="MSubHeader"/>
              <w:rPr>
                <w:shd w:val="clear" w:color="auto" w:fill="F9F9F9"/>
              </w:rPr>
            </w:pPr>
            <w:r>
              <w:rPr>
                <w:shd w:val="clear" w:color="auto" w:fill="F9F9F9"/>
              </w:rPr>
              <w:t xml:space="preserve">Concepts: </w:t>
            </w:r>
          </w:p>
          <w:p w14:paraId="7DA6E8AF" w14:textId="1F290A7A" w:rsidR="00334DB3" w:rsidRPr="00B6605A" w:rsidRDefault="00104001" w:rsidP="00104001">
            <w:pPr>
              <w:pStyle w:val="MText"/>
              <w:rPr>
                <w:rFonts w:cstheme="minorHAnsi"/>
              </w:rPr>
            </w:pPr>
            <w:r w:rsidRPr="00D7187D">
              <w:t>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w:t>
            </w:r>
            <w:r>
              <w:rPr>
                <w:rFonts w:cstheme="minorHAnsi"/>
              </w:rPr>
              <w:t xml:space="preserve"> </w:t>
            </w:r>
            <w:r>
              <w:rPr>
                <w:rFonts w:cstheme="minorHAnsi"/>
              </w:rPr>
              <w:lastRenderedPageBreak/>
              <w:t xml:space="preserve">declarations, and similar documents are considered to create revenue for government units. Thus, the difference between assessments and expected collections represents a claim that has no real value and should not be recorded as revenue (see </w:t>
            </w:r>
            <w:r>
              <w:rPr>
                <w:rFonts w:cstheme="minorHAnsi"/>
                <w:i/>
              </w:rPr>
              <w:t>GFSM 2014</w:t>
            </w:r>
            <w:r>
              <w:rPr>
                <w:rFonts w:cstheme="minorHAnsi"/>
              </w:rPr>
              <w:t xml:space="preserve"> paragraph 5.20). The analytic framework of </w:t>
            </w:r>
            <w:r>
              <w:rPr>
                <w:rFonts w:cstheme="minorHAnsi"/>
                <w:i/>
              </w:rPr>
              <w:t>GFSM 2014</w:t>
            </w:r>
            <w:r>
              <w:rPr>
                <w:rFonts w:cstheme="minorHAnsi"/>
              </w:rPr>
              <w:t xml:space="preserve"> (like that of the </w:t>
            </w:r>
            <w:r>
              <w:rPr>
                <w:rFonts w:cstheme="minorHAnsi"/>
                <w:i/>
              </w:rPr>
              <w:t>GFSM 2001</w:t>
            </w:r>
            <w:r>
              <w:rPr>
                <w:rFonts w:cstheme="minorHAnsi"/>
              </w:rPr>
              <w:t xml:space="preserve">) builds on the </w:t>
            </w:r>
            <w:r>
              <w:rPr>
                <w:rFonts w:cstheme="minorHAnsi"/>
                <w:i/>
              </w:rPr>
              <w:t>GFSM 1986</w:t>
            </w:r>
            <w:r>
              <w:rPr>
                <w:rFonts w:cstheme="minorHAnsi"/>
              </w:rPr>
              <w:t xml:space="preserve">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operations. Capital transfers are an exception. In </w:t>
            </w:r>
            <w:r>
              <w:rPr>
                <w:rFonts w:cstheme="minorHAnsi"/>
                <w:i/>
              </w:rPr>
              <w:t>GFSM 2014</w:t>
            </w:r>
            <w:r>
              <w:rPr>
                <w:rFonts w:cstheme="minorHAnsi"/>
              </w:rPr>
              <w:t xml:space="preserve">, capital transfers receivable </w:t>
            </w:r>
            <w:proofErr w:type="gramStart"/>
            <w:r>
              <w:rPr>
                <w:rFonts w:cstheme="minorHAnsi"/>
              </w:rPr>
              <w:t>are</w:t>
            </w:r>
            <w:proofErr w:type="gramEnd"/>
            <w:r>
              <w:rPr>
                <w:rFonts w:cstheme="minorHAnsi"/>
              </w:rPr>
              <w:t xml:space="preserv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In particular, interest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w:t>
            </w:r>
            <w:r>
              <w:rPr>
                <w:rFonts w:cstheme="minorHAnsi"/>
              </w:rPr>
              <w:lastRenderedPageBreak/>
              <w:t xml:space="preserve">exceeds the actual tax due. Such refunds are recorded as a reduction in tax revenue. For this reason, tax revenue is presented net of non-payable tax credits (see </w:t>
            </w:r>
            <w:r>
              <w:rPr>
                <w:rFonts w:cstheme="minorHAnsi"/>
                <w:i/>
              </w:rPr>
              <w:t>GFSM 2014</w:t>
            </w:r>
            <w:r>
              <w:rPr>
                <w:rFonts w:cstheme="minorHAnsi"/>
              </w:rPr>
              <w:t xml:space="preserve"> paragraphs 5.29–5.32).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BD916E5" w14:textId="523B56C8" w:rsidR="00104001" w:rsidRDefault="00104001" w:rsidP="00D7187D">
            <w:pPr>
              <w:pStyle w:val="MHeader"/>
            </w:pPr>
            <w:r>
              <w:t xml:space="preserve">Data </w:t>
            </w:r>
            <w:r w:rsidR="00D7187D">
              <w:t>s</w:t>
            </w:r>
            <w:r>
              <w:t>ources</w:t>
            </w:r>
          </w:p>
          <w:p w14:paraId="5C451B68" w14:textId="04E49CBF" w:rsidR="00104001" w:rsidRDefault="00104001" w:rsidP="00104001">
            <w:pPr>
              <w:pStyle w:val="MSubHeader"/>
              <w:rPr>
                <w:rFonts w:cstheme="minorHAnsi"/>
              </w:rPr>
            </w:pPr>
            <w:r>
              <w:rPr>
                <w:rFonts w:cstheme="minorHAnsi"/>
                <w:shd w:val="clear" w:color="auto" w:fill="F9F9F9"/>
              </w:rPr>
              <w:t>Sources and data</w:t>
            </w:r>
            <w:r>
              <w:rPr>
                <w:rFonts w:cstheme="minorHAnsi"/>
                <w:spacing w:val="-7"/>
                <w:shd w:val="clear" w:color="auto" w:fill="F9F9F9"/>
              </w:rPr>
              <w:t xml:space="preserve"> </w:t>
            </w:r>
            <w:r>
              <w:rPr>
                <w:rFonts w:cstheme="minorHAnsi"/>
                <w:shd w:val="clear" w:color="auto" w:fill="F9F9F9"/>
              </w:rPr>
              <w:t>collection:</w:t>
            </w:r>
          </w:p>
          <w:p w14:paraId="1EE62008" w14:textId="3387117E" w:rsidR="00104001" w:rsidRPr="00C22F94" w:rsidRDefault="00104001" w:rsidP="00612417">
            <w:pPr>
              <w:pStyle w:val="MText"/>
              <w:rPr>
                <w:rFonts w:cstheme="minorHAnsi"/>
              </w:rPr>
            </w:pPr>
            <w:r>
              <w:rPr>
                <w:rFonts w:cstheme="minorHAnsi"/>
              </w:rPr>
              <w:t>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GFS Questionnaire. In the 2017 annual reporting cycle, 127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05FC2FE8" w:rsidR="00AB65AE" w:rsidRPr="00240AFC" w:rsidRDefault="00AB65AE" w:rsidP="00226099">
            <w:pPr>
              <w:pStyle w:val="MText"/>
              <w:rPr>
                <w:rFonts w:cstheme="minorHAnsi"/>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1F3549" w:rsidR="00AB65AE" w:rsidRPr="004D68B6" w:rsidRDefault="00AB65AE" w:rsidP="00EC064B">
            <w:pPr>
              <w:spacing w:after="0" w:line="240" w:lineRule="auto"/>
              <w:rPr>
                <w:rFonts w:ascii="Calibri" w:eastAsia="Times New Roman" w:hAnsi="Calibri" w:cs="Calibri"/>
                <w:color w:val="000000"/>
              </w:rPr>
            </w:pPr>
            <w:r w:rsidRPr="00FA20D9">
              <w:t>3.</w:t>
            </w:r>
            <w:r w:rsidR="009B55E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CA26135" w14:textId="77777777" w:rsidR="006D6F88" w:rsidRDefault="006D6F88" w:rsidP="008F16B0">
            <w:pPr>
              <w:pStyle w:val="MHeader"/>
            </w:pPr>
            <w:r>
              <w:t>Calendar</w:t>
            </w:r>
          </w:p>
          <w:p w14:paraId="1C77F9A2" w14:textId="14C557A8" w:rsidR="006D6F88" w:rsidRDefault="006D6F88" w:rsidP="008F16B0">
            <w:pPr>
              <w:pStyle w:val="MSubHeader"/>
            </w:pPr>
            <w:r>
              <w:t>Data collection and data release</w:t>
            </w:r>
            <w:r>
              <w:rPr>
                <w:spacing w:val="-12"/>
              </w:rPr>
              <w:t xml:space="preserve"> </w:t>
            </w:r>
            <w:r>
              <w:t>calendar</w:t>
            </w:r>
            <w:r w:rsidR="009B55ED">
              <w:t>:</w:t>
            </w:r>
          </w:p>
          <w:p w14:paraId="41B08B5A" w14:textId="77777777" w:rsidR="006D6F88" w:rsidRDefault="006D6F88" w:rsidP="009B55ED">
            <w:pPr>
              <w:pStyle w:val="MText"/>
              <w:rPr>
                <w:rFonts w:cstheme="minorHAnsi"/>
              </w:rPr>
            </w:pPr>
            <w:r>
              <w:rPr>
                <w:rFonts w:cstheme="minorHAnsi"/>
              </w:rPr>
              <w:t xml:space="preserve">Dates </w:t>
            </w:r>
            <w:bookmarkStart w:id="19" w:name="_Hlk506008609"/>
            <w:r>
              <w:rPr>
                <w:rFonts w:cstheme="minorHAnsi"/>
              </w:rPr>
              <w:t>when source collection is next</w:t>
            </w:r>
            <w:r>
              <w:rPr>
                <w:rFonts w:cstheme="minorHAnsi"/>
                <w:spacing w:val="-10"/>
              </w:rPr>
              <w:t xml:space="preserve"> </w:t>
            </w:r>
            <w:r>
              <w:rPr>
                <w:rFonts w:cstheme="minorHAnsi"/>
              </w:rPr>
              <w:t xml:space="preserve">planned: IMF Statistics Department completed the 2017 round of annual GFS collection on February 2, 2018. The 2018 collection cycle is planned to take place between September and December 2018. </w:t>
            </w:r>
          </w:p>
          <w:p w14:paraId="2CDECAD2" w14:textId="77777777" w:rsidR="006D6F88" w:rsidRDefault="006D6F88" w:rsidP="009B55ED">
            <w:pPr>
              <w:pStyle w:val="MText"/>
              <w:rPr>
                <w:rFonts w:cstheme="minorHAnsi"/>
              </w:rPr>
            </w:pPr>
          </w:p>
          <w:p w14:paraId="5805C371" w14:textId="6B89E6D5" w:rsidR="00AB65AE" w:rsidRPr="003525CD" w:rsidRDefault="006D6F88" w:rsidP="009B55ED">
            <w:pPr>
              <w:pStyle w:val="MText"/>
              <w:rPr>
                <w:rFonts w:cstheme="minorHAnsi"/>
              </w:rPr>
            </w:pPr>
            <w:r>
              <w:rPr>
                <w:rFonts w:cstheme="minorHAnsi"/>
              </w:rPr>
              <w:t xml:space="preserve">Country data are disseminated as they are processed and summary World Tables and other indicators, including 17.1.1 and 17.1.2 are planned for release in early 2018. For most </w:t>
            </w:r>
            <w:r>
              <w:rPr>
                <w:rFonts w:cstheme="minorHAnsi"/>
              </w:rPr>
              <w:lastRenderedPageBreak/>
              <w:t>countries, the reference year will be their Fiscal Year 2016 series, with 2012-2015 presented to illustrate trends.</w:t>
            </w:r>
            <w:bookmarkEnd w:id="19"/>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B4394C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B55E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72110592" w:rsidR="00AB65AE" w:rsidRPr="003525CD" w:rsidRDefault="00AB65AE" w:rsidP="003525CD">
            <w:pPr>
              <w:pStyle w:val="Default"/>
              <w:rPr>
                <w:rFonts w:asciiTheme="minorHAnsi" w:hAnsiTheme="minorHAnsi" w:cstheme="minorHAnsi"/>
                <w:sz w:val="21"/>
                <w:szCs w:val="21"/>
              </w:rPr>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0407186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06AF515" w14:textId="38F10C4B" w:rsidR="00AB65AE" w:rsidRPr="003525CD" w:rsidRDefault="00AB65AE" w:rsidP="003525CD">
            <w:pPr>
              <w:pStyle w:val="Default"/>
              <w:rPr>
                <w:rFonts w:asciiTheme="minorHAnsi" w:hAnsiTheme="minorHAnsi" w:cstheme="minorHAnsi"/>
                <w:sz w:val="21"/>
                <w:szCs w:val="21"/>
              </w:rPr>
            </w:pP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98DCB8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3108C7E" w14:textId="77777777" w:rsidR="006D6F88" w:rsidRDefault="006D6F88" w:rsidP="009B55ED">
            <w:pPr>
              <w:pStyle w:val="MHeader"/>
            </w:pPr>
            <w:r>
              <w:t>Data compilers</w:t>
            </w:r>
          </w:p>
          <w:p w14:paraId="39191C53" w14:textId="5EED6A9A" w:rsidR="00AB65AE" w:rsidRPr="003525CD" w:rsidRDefault="006D6F88" w:rsidP="006D6F88">
            <w:pPr>
              <w:pStyle w:val="MText"/>
              <w:rPr>
                <w:rFonts w:cstheme="minorHAnsi"/>
              </w:rPr>
            </w:pPr>
            <w:r>
              <w:rPr>
                <w:rFonts w:cstheme="minorHAnsi"/>
              </w:rPr>
              <w:t xml:space="preserve">The IMF Statistics Department (Government Finance Division; email: </w:t>
            </w:r>
            <w:hyperlink r:id="rId8" w:history="1">
              <w:r>
                <w:rPr>
                  <w:rStyle w:val="Hyperlink"/>
                  <w:rFonts w:eastAsiaTheme="majorEastAsia" w:cstheme="minorHAnsi"/>
                </w:rPr>
                <w:t>STAGODATA@imf.org</w:t>
              </w:r>
            </w:hyperlink>
            <w:r>
              <w:rPr>
                <w:rFonts w:cstheme="minorHAnsi"/>
              </w:rPr>
              <w:t>) is the organization responsible for the compilation and reporting on this indicator at the global</w:t>
            </w:r>
            <w:r>
              <w:rPr>
                <w:rFonts w:cstheme="minorHAnsi"/>
                <w:spacing w:val="-27"/>
              </w:rPr>
              <w:t xml:space="preserve"> </w:t>
            </w:r>
            <w:r>
              <w:rPr>
                <w:rFonts w:cstheme="minorHAnsi"/>
              </w:rPr>
              <w:t>level.</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1A82AC3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75BB47B" w14:textId="143EBC66" w:rsidR="000557BF" w:rsidRPr="000557BF" w:rsidRDefault="000557BF" w:rsidP="009B55ED">
            <w:pPr>
              <w:pStyle w:val="MSubHeader"/>
            </w:pPr>
            <w:r w:rsidRPr="000557BF">
              <w:rPr>
                <w:shd w:val="clear" w:color="auto" w:fill="F9F9F9"/>
              </w:rPr>
              <w:t>Rationale and</w:t>
            </w:r>
            <w:r w:rsidRPr="000557BF">
              <w:rPr>
                <w:spacing w:val="-8"/>
                <w:shd w:val="clear" w:color="auto" w:fill="F9F9F9"/>
              </w:rPr>
              <w:t xml:space="preserve"> </w:t>
            </w:r>
            <w:r w:rsidRPr="000557BF">
              <w:rPr>
                <w:shd w:val="clear" w:color="auto" w:fill="F9F9F9"/>
              </w:rPr>
              <w:t>interpretation:</w:t>
            </w:r>
          </w:p>
          <w:p w14:paraId="6F5859B0" w14:textId="34E97620" w:rsidR="007C63C4" w:rsidRPr="000557BF" w:rsidRDefault="000557BF" w:rsidP="001646CE">
            <w:pPr>
              <w:pStyle w:val="MText"/>
            </w:pPr>
            <w:r w:rsidRPr="001646CE">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w:t>
            </w:r>
            <w:bookmarkStart w:id="24" w:name="_Hlk505925709"/>
            <w:r w:rsidRPr="001646CE">
              <w:t>elationship between the four main types of revenue as well as the relative "tax burden" (revenue in the form of taxes) and</w:t>
            </w:r>
            <w:bookmarkEnd w:id="24"/>
            <w:r w:rsidRPr="001646CE">
              <w:t xml:space="preserve"> “fiscal burden” (revenue in the form of taxes plus social contributions).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8DF7013" w14:textId="57D5E6EE" w:rsidR="00612417" w:rsidRDefault="00612417" w:rsidP="00612417">
            <w:pPr>
              <w:pStyle w:val="MSubHeader"/>
              <w:rPr>
                <w:rFonts w:cstheme="minorHAnsi"/>
              </w:rPr>
            </w:pPr>
            <w:r>
              <w:rPr>
                <w:rFonts w:cstheme="minorHAnsi"/>
                <w:shd w:val="clear" w:color="auto" w:fill="F9F9F9"/>
              </w:rPr>
              <w:t>Comments and</w:t>
            </w:r>
            <w:r>
              <w:rPr>
                <w:rFonts w:cstheme="minorHAnsi"/>
                <w:spacing w:val="-10"/>
                <w:shd w:val="clear" w:color="auto" w:fill="F9F9F9"/>
              </w:rPr>
              <w:t xml:space="preserve"> </w:t>
            </w:r>
            <w:r>
              <w:rPr>
                <w:rFonts w:cstheme="minorHAnsi"/>
                <w:shd w:val="clear" w:color="auto" w:fill="F9F9F9"/>
              </w:rPr>
              <w:t>limitations:</w:t>
            </w:r>
          </w:p>
          <w:p w14:paraId="2EDB7301" w14:textId="77777777" w:rsidR="00612417" w:rsidRDefault="00612417" w:rsidP="00612417">
            <w:pPr>
              <w:pStyle w:val="MText"/>
              <w:rPr>
                <w:rFonts w:cstheme="minorHAnsi"/>
              </w:rPr>
            </w:pPr>
            <w:bookmarkStart w:id="25" w:name="_Hlk505926271"/>
            <w:r>
              <w:rPr>
                <w:rFonts w:cstheme="minorHAnsi"/>
              </w:rPr>
              <w:t xml:space="preserve">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w:t>
            </w:r>
            <w:r>
              <w:rPr>
                <w:rFonts w:cstheme="minorHAnsi"/>
              </w:rPr>
              <w:lastRenderedPageBreak/>
              <w:t xml:space="preserve">provincial, or regional governments; and many local governments. Countries may also have social security funds. The </w:t>
            </w:r>
            <w:r>
              <w:rPr>
                <w:rFonts w:cstheme="minorHAnsi"/>
                <w:i/>
              </w:rPr>
              <w:t>GFSM 201</w:t>
            </w:r>
            <w:r>
              <w:rPr>
                <w:rFonts w:cstheme="minorHAnsi"/>
              </w:rPr>
              <w:t>4 recommends that statistics should be compiled for all such general government units. This reporting structure is illustrated below:</w:t>
            </w:r>
          </w:p>
          <w:p w14:paraId="33D7A8A2" w14:textId="77777777" w:rsidR="00612417" w:rsidRDefault="00612417" w:rsidP="00612417">
            <w:pPr>
              <w:pStyle w:val="MText"/>
              <w:rPr>
                <w:rFonts w:cstheme="minorHAnsi"/>
              </w:rPr>
            </w:pPr>
          </w:p>
          <w:p w14:paraId="736D1C53" w14:textId="2891F508" w:rsidR="00612417" w:rsidRDefault="006D41CA" w:rsidP="00612417">
            <w:pPr>
              <w:pStyle w:val="MText"/>
              <w:rPr>
                <w:rFonts w:cstheme="minorHAnsi"/>
              </w:rPr>
            </w:pPr>
            <w:r>
              <w:rPr>
                <w:noProof/>
              </w:rPr>
              <w:drawing>
                <wp:inline distT="0" distB="0" distL="0" distR="0" wp14:anchorId="69898DDC" wp14:editId="301ECC57">
                  <wp:extent cx="3578225" cy="5499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549910"/>
                          </a:xfrm>
                          <a:prstGeom prst="rect">
                            <a:avLst/>
                          </a:prstGeom>
                          <a:noFill/>
                          <a:ln>
                            <a:noFill/>
                          </a:ln>
                        </pic:spPr>
                      </pic:pic>
                    </a:graphicData>
                  </a:graphic>
                </wp:inline>
              </w:drawing>
            </w:r>
          </w:p>
          <w:p w14:paraId="3BE49550" w14:textId="77777777" w:rsidR="00612417" w:rsidRDefault="00612417" w:rsidP="00612417">
            <w:pPr>
              <w:pStyle w:val="MText"/>
              <w:rPr>
                <w:rFonts w:cstheme="minorHAnsi"/>
              </w:rPr>
            </w:pPr>
          </w:p>
          <w:p w14:paraId="4B40ECF6" w14:textId="77777777" w:rsidR="00612417" w:rsidRDefault="00612417" w:rsidP="00612417">
            <w:pPr>
              <w:pStyle w:val="MText"/>
              <w:rPr>
                <w:rFonts w:cstheme="minorHAnsi"/>
              </w:rPr>
            </w:pPr>
            <w:r>
              <w:rPr>
                <w:rFonts w:cstheme="minorHAnsi"/>
              </w:rP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w:t>
            </w:r>
          </w:p>
          <w:bookmarkEnd w:id="25"/>
          <w:p w14:paraId="14CF7D79" w14:textId="77777777" w:rsidR="00612417" w:rsidRDefault="00612417" w:rsidP="00612417">
            <w:pPr>
              <w:pStyle w:val="MText"/>
              <w:rPr>
                <w:rFonts w:cstheme="minorHAnsi"/>
              </w:rPr>
            </w:pPr>
            <w:r>
              <w:rPr>
                <w:rFonts w:cstheme="minorHAnsi"/>
              </w:rPr>
              <w:t xml:space="preserve">Conceptually, a World Aggregate could be calculated by computing a weighted average from available sources using GDP expressed in United States dollars. However, at this time the IMF Statistics Department recommends no regional and global aggregates be established. While we see no issues in terms of the feasibility and suitability of 17.1.1 for cross-country comparisons, we question the relevance of one single global indicator that combines data for advanced economies with those of emerging market and low-income countries. To address this, the country data are presented, where reported, for the budgetary central government, the consolidated central government (with and without social security funds), and for consolidated general government. </w:t>
            </w:r>
          </w:p>
          <w:p w14:paraId="770D5834" w14:textId="77777777" w:rsidR="00612417" w:rsidRDefault="00612417" w:rsidP="00612417">
            <w:pPr>
              <w:pStyle w:val="MText"/>
              <w:rPr>
                <w:rFonts w:cstheme="minorHAnsi"/>
              </w:rPr>
            </w:pPr>
          </w:p>
          <w:p w14:paraId="328C0885" w14:textId="10C1047D" w:rsidR="007C63C4" w:rsidRPr="00334DB3" w:rsidRDefault="00612417" w:rsidP="00612417">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r>
          </w:p>
        </w:tc>
      </w:tr>
      <w:tr w:rsidR="00104001"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104001" w:rsidRPr="004D68B6" w:rsidRDefault="00104001" w:rsidP="00104001">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D14F730" w14:textId="77777777" w:rsidR="00104001" w:rsidRDefault="00104001" w:rsidP="009B55ED">
            <w:pPr>
              <w:pStyle w:val="MHeader"/>
            </w:pPr>
            <w:r>
              <w:t>Methodology</w:t>
            </w:r>
          </w:p>
          <w:p w14:paraId="058B31C8" w14:textId="77777777" w:rsidR="00612417" w:rsidRDefault="00104001" w:rsidP="009B55ED">
            <w:pPr>
              <w:pStyle w:val="MSubHeader"/>
              <w:rPr>
                <w:shd w:val="clear" w:color="auto" w:fill="F9F9F9"/>
              </w:rPr>
            </w:pPr>
            <w:r>
              <w:rPr>
                <w:shd w:val="clear" w:color="auto" w:fill="F9F9F9"/>
              </w:rPr>
              <w:t>Method of computation:</w:t>
            </w:r>
          </w:p>
          <w:p w14:paraId="185BC934" w14:textId="60C2193B" w:rsidR="00104001" w:rsidRDefault="00104001" w:rsidP="00104001">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particular class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42B96B32" w14:textId="2084956F" w:rsidR="00D34F45" w:rsidRDefault="00D34F45" w:rsidP="00104001">
            <w:pPr>
              <w:pStyle w:val="Default"/>
              <w:rPr>
                <w:rFonts w:cstheme="minorHAnsi"/>
              </w:rPr>
            </w:pPr>
          </w:p>
          <w:p w14:paraId="66B34F50" w14:textId="77777777" w:rsidR="002933AC" w:rsidRDefault="00D34F45" w:rsidP="00104001">
            <w:pPr>
              <w:pStyle w:val="Default"/>
              <w:rPr>
                <w:rFonts w:cstheme="minorHAnsi"/>
                <w:sz w:val="21"/>
                <w:szCs w:val="21"/>
              </w:rPr>
            </w:pPr>
            <w:r>
              <w:rPr>
                <w:noProof/>
              </w:rPr>
              <w:drawing>
                <wp:inline distT="0" distB="0" distL="0" distR="0" wp14:anchorId="5FD01A4F" wp14:editId="56BA2E56">
                  <wp:extent cx="3578225" cy="480060"/>
                  <wp:effectExtent l="0" t="0" r="317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80060"/>
                          </a:xfrm>
                          <a:prstGeom prst="rect">
                            <a:avLst/>
                          </a:prstGeom>
                          <a:noFill/>
                          <a:ln>
                            <a:noFill/>
                          </a:ln>
                        </pic:spPr>
                      </pic:pic>
                    </a:graphicData>
                  </a:graphic>
                </wp:inline>
              </w:drawing>
            </w:r>
            <w:r w:rsidR="00104001">
              <w:rPr>
                <w:rFonts w:cstheme="minorHAnsi"/>
              </w:rPr>
              <w:br/>
            </w:r>
            <w:bookmarkStart w:id="26" w:name="_Hlk505925560"/>
          </w:p>
          <w:p w14:paraId="14D79041" w14:textId="19658530" w:rsidR="00104001" w:rsidRPr="004073A7" w:rsidRDefault="00104001" w:rsidP="009B55ED">
            <w:pPr>
              <w:pStyle w:val="MText"/>
            </w:pPr>
            <w:r w:rsidRPr="00104001">
              <w:t xml:space="preserve">Historic series have been aligned with </w:t>
            </w:r>
            <w:r w:rsidRPr="00104001">
              <w:rPr>
                <w:i/>
              </w:rPr>
              <w:t>GFSM 2014</w:t>
            </w:r>
            <w:r w:rsidRPr="00104001">
              <w:t xml:space="preserve"> classifications. This enhances the comparability of data across countries and ensures establishing robust analytical findings to support SDG monitoring using fiscal data.</w:t>
            </w:r>
            <w:bookmarkEnd w:id="26"/>
          </w:p>
        </w:tc>
      </w:tr>
      <w:tr w:rsidR="00104001"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104001" w:rsidRPr="004D68B6" w:rsidRDefault="00104001" w:rsidP="00104001">
            <w:pPr>
              <w:spacing w:after="0" w:line="240" w:lineRule="auto"/>
              <w:rPr>
                <w:rFonts w:ascii="Calibri" w:eastAsia="Times New Roman" w:hAnsi="Calibri" w:cs="Calibri"/>
                <w:color w:val="000000"/>
              </w:rPr>
            </w:pPr>
          </w:p>
        </w:tc>
      </w:tr>
      <w:tr w:rsidR="00104001"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104001" w:rsidRPr="004D68B6" w:rsidRDefault="00104001" w:rsidP="00104001">
            <w:pPr>
              <w:spacing w:after="0" w:line="240" w:lineRule="auto"/>
              <w:rPr>
                <w:rFonts w:ascii="Calibri" w:eastAsia="Times New Roman" w:hAnsi="Calibri" w:cs="Calibri"/>
                <w:color w:val="000000"/>
              </w:rPr>
            </w:pPr>
          </w:p>
        </w:tc>
      </w:tr>
      <w:tr w:rsidR="00104001"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E928A74" w14:textId="5C49F97A" w:rsidR="00104001" w:rsidRDefault="00104001" w:rsidP="00104001">
            <w:pPr>
              <w:pStyle w:val="MSubHeader"/>
              <w:rPr>
                <w:rFonts w:cstheme="minorHAnsi"/>
              </w:rPr>
            </w:pPr>
            <w:r>
              <w:rPr>
                <w:rFonts w:cstheme="minorHAnsi"/>
              </w:rPr>
              <w:t>Treatment of missing</w:t>
            </w:r>
            <w:r>
              <w:rPr>
                <w:rFonts w:cstheme="minorHAnsi"/>
                <w:spacing w:val="-10"/>
              </w:rPr>
              <w:t xml:space="preserve"> </w:t>
            </w:r>
            <w:r>
              <w:rPr>
                <w:rFonts w:cstheme="minorHAnsi"/>
              </w:rPr>
              <w:t>values</w:t>
            </w:r>
            <w:r w:rsidR="009B55ED">
              <w:rPr>
                <w:rFonts w:cstheme="minorHAnsi"/>
              </w:rPr>
              <w:t>:</w:t>
            </w:r>
          </w:p>
          <w:p w14:paraId="11763FCE" w14:textId="54BB8EAC" w:rsidR="00104001" w:rsidRPr="004F23B5" w:rsidRDefault="00104001" w:rsidP="00104001">
            <w:pPr>
              <w:pStyle w:val="MText"/>
              <w:rPr>
                <w:rFonts w:cstheme="minorHAnsi"/>
              </w:rPr>
            </w:pPr>
            <w:r>
              <w:rPr>
                <w:rFonts w:cstheme="minorHAnsi"/>
              </w:rPr>
              <w:t xml:space="preserve">The IMF </w:t>
            </w:r>
            <w:bookmarkStart w:id="27" w:name="_Hlk506008702"/>
            <w:r>
              <w:rPr>
                <w:rFonts w:cstheme="minorHAnsi"/>
              </w:rPr>
              <w:t xml:space="preserve">plans to rely exclusively on officially reported data provided by the national authorities using the standard GFS questionnaire based on </w:t>
            </w:r>
            <w:r>
              <w:rPr>
                <w:rFonts w:cstheme="minorHAnsi"/>
                <w:i/>
              </w:rPr>
              <w:t>GFSM 2014</w:t>
            </w:r>
            <w:r>
              <w:rPr>
                <w:rFonts w:cstheme="minorHAnsi"/>
              </w:rPr>
              <w:t xml:space="preserve">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t>
            </w:r>
            <w:r>
              <w:rPr>
                <w:rFonts w:cstheme="minorHAnsi"/>
              </w:rPr>
              <w:lastRenderedPageBreak/>
              <w:t>with the respective IMF Area Departments and Offices of the Executive Director, as needed, to ensure that the key GFS series are reported.</w:t>
            </w:r>
            <w:bookmarkEnd w:id="27"/>
            <w:r>
              <w:rPr>
                <w:rFonts w:cstheme="minorHAnsi"/>
              </w:rPr>
              <w:t xml:space="preserve"> </w:t>
            </w:r>
          </w:p>
        </w:tc>
      </w:tr>
      <w:tr w:rsidR="00104001"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C43DA16" w14:textId="482937AF" w:rsidR="00104001" w:rsidRDefault="00104001" w:rsidP="00104001">
            <w:pPr>
              <w:pStyle w:val="MSubHeader"/>
              <w:rPr>
                <w:rFonts w:cstheme="minorHAnsi"/>
              </w:rPr>
            </w:pPr>
            <w:r>
              <w:rPr>
                <w:rFonts w:cstheme="minorHAnsi"/>
                <w:shd w:val="clear" w:color="auto" w:fill="F9F9F9"/>
              </w:rPr>
              <w:t>Regional and global estimates &amp; data collection for global</w:t>
            </w:r>
            <w:r>
              <w:rPr>
                <w:rFonts w:cstheme="minorHAnsi"/>
                <w:spacing w:val="-14"/>
                <w:shd w:val="clear" w:color="auto" w:fill="F9F9F9"/>
              </w:rPr>
              <w:t xml:space="preserve"> </w:t>
            </w:r>
            <w:r>
              <w:rPr>
                <w:rFonts w:cstheme="minorHAnsi"/>
                <w:shd w:val="clear" w:color="auto" w:fill="F9F9F9"/>
              </w:rPr>
              <w:t>monitoring:</w:t>
            </w:r>
          </w:p>
          <w:p w14:paraId="6E65421B" w14:textId="493317EA" w:rsidR="00104001" w:rsidRPr="00E07A4C" w:rsidRDefault="00104001" w:rsidP="00104001">
            <w:pPr>
              <w:pStyle w:val="MText"/>
              <w:rPr>
                <w:rFonts w:cstheme="minorHAnsi"/>
              </w:rPr>
            </w:pPr>
            <w:r>
              <w:rPr>
                <w:rFonts w:cstheme="minorHAnsi"/>
              </w:rPr>
              <w:t xml:space="preserve">The IMF </w:t>
            </w:r>
            <w:bookmarkStart w:id="28" w:name="_Hlk506008903"/>
            <w:r>
              <w:rPr>
                <w:rFonts w:cstheme="minorHAnsi"/>
              </w:rPr>
              <w:t>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w:t>
            </w:r>
            <w:r>
              <w:rPr>
                <w:rFonts w:cstheme="minorHAnsi"/>
                <w:spacing w:val="-12"/>
              </w:rPr>
              <w:t xml:space="preserve"> </w:t>
            </w:r>
            <w:r>
              <w:rPr>
                <w:rFonts w:cstheme="minorHAnsi"/>
              </w:rPr>
              <w:t>indicato</w:t>
            </w:r>
            <w:bookmarkEnd w:id="28"/>
            <w:r>
              <w:rPr>
                <w:rFonts w:cstheme="minorHAnsi"/>
              </w:rPr>
              <w:t xml:space="preserve">r. </w:t>
            </w:r>
          </w:p>
        </w:tc>
      </w:tr>
      <w:tr w:rsidR="00104001"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104001" w:rsidRPr="00F07E48" w:rsidRDefault="00104001" w:rsidP="00104001">
            <w:pPr>
              <w:pStyle w:val="Default"/>
              <w:rPr>
                <w:rFonts w:asciiTheme="minorHAnsi" w:hAnsiTheme="minorHAnsi" w:cstheme="minorHAnsi"/>
                <w:sz w:val="21"/>
                <w:szCs w:val="21"/>
              </w:rPr>
            </w:pPr>
          </w:p>
        </w:tc>
      </w:tr>
      <w:tr w:rsidR="009B55ED" w:rsidRPr="004D68B6" w14:paraId="0C2A902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2905282" w14:textId="4E6F35C3" w:rsidR="009B55ED" w:rsidRPr="00C94E79" w:rsidRDefault="009B55ED" w:rsidP="00104001">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5BA03A4" w14:textId="77777777" w:rsidR="009B55ED" w:rsidRPr="00C22F94" w:rsidRDefault="009B55ED" w:rsidP="00104001">
            <w:pPr>
              <w:pStyle w:val="Default"/>
              <w:rPr>
                <w:rFonts w:asciiTheme="minorHAnsi" w:hAnsiTheme="minorHAnsi" w:cstheme="minorHAnsi"/>
                <w:sz w:val="21"/>
                <w:szCs w:val="21"/>
              </w:rPr>
            </w:pPr>
          </w:p>
        </w:tc>
      </w:tr>
      <w:tr w:rsidR="00104001"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72EEC77C"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w:t>
            </w:r>
            <w:r w:rsidR="009B55ED">
              <w:rPr>
                <w:rFonts w:ascii="Calibri" w:eastAsia="Times New Roman" w:hAnsi="Calibri" w:cs="Calibri"/>
              </w:rPr>
              <w:t>j</w:t>
            </w:r>
            <w:r w:rsidRPr="00C94E79">
              <w:rPr>
                <w:rFonts w:ascii="Calibri" w:eastAsia="Times New Roman" w:hAnsi="Calibri" w:cs="Calibri"/>
              </w:rPr>
              <w:t xml:space="preserve">. Quality </w:t>
            </w:r>
            <w:r>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104001" w:rsidRPr="00C22F94" w:rsidRDefault="00104001" w:rsidP="00104001">
            <w:pPr>
              <w:pStyle w:val="Default"/>
              <w:rPr>
                <w:rFonts w:asciiTheme="minorHAnsi" w:hAnsiTheme="minorHAnsi" w:cstheme="minorHAnsi"/>
                <w:sz w:val="21"/>
                <w:szCs w:val="21"/>
              </w:rPr>
            </w:pPr>
          </w:p>
        </w:tc>
      </w:tr>
      <w:tr w:rsidR="00104001"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6A14750"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t>4.</w:t>
            </w:r>
            <w:r w:rsidR="009B55E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104001" w:rsidRPr="004D68B6" w:rsidRDefault="00104001" w:rsidP="00104001">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9" w:name="_Toc36655613"/>
            <w:bookmarkStart w:id="30" w:name="_Toc36812576"/>
            <w:bookmarkStart w:id="31" w:name="_Toc36812689"/>
            <w:bookmarkStart w:id="32" w:name="_Toc36813076"/>
            <w:r w:rsidRPr="001A0E35">
              <w:t>5</w:t>
            </w:r>
            <w:r w:rsidR="00952376" w:rsidRPr="001A0E35">
              <w:t>. Data availability and disaggregation</w:t>
            </w:r>
            <w:bookmarkEnd w:id="29"/>
            <w:bookmarkEnd w:id="30"/>
            <w:bookmarkEnd w:id="31"/>
            <w:bookmarkEnd w:id="3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6243F" w14:textId="21C846AC" w:rsidR="00CC6008" w:rsidRDefault="00CC6008" w:rsidP="009B55ED">
            <w:pPr>
              <w:pStyle w:val="MHeader"/>
            </w:pPr>
            <w:r>
              <w:t xml:space="preserve">Data </w:t>
            </w:r>
            <w:r w:rsidR="009B55ED">
              <w:t>a</w:t>
            </w:r>
            <w:r>
              <w:t>vailability</w:t>
            </w:r>
          </w:p>
          <w:p w14:paraId="06896253" w14:textId="73815FFD" w:rsidR="00CC6008" w:rsidRDefault="00CC6008" w:rsidP="00CC6008">
            <w:pPr>
              <w:pStyle w:val="MSubHeader"/>
              <w:rPr>
                <w:rFonts w:cstheme="minorHAnsi"/>
              </w:rPr>
            </w:pPr>
            <w:r>
              <w:rPr>
                <w:rFonts w:cstheme="minorHAnsi"/>
                <w:shd w:val="clear" w:color="auto" w:fill="F9F9F9"/>
              </w:rPr>
              <w:t>Current data availability / indicator</w:t>
            </w:r>
            <w:r>
              <w:rPr>
                <w:rFonts w:cstheme="minorHAnsi"/>
                <w:spacing w:val="-11"/>
                <w:shd w:val="clear" w:color="auto" w:fill="F9F9F9"/>
              </w:rPr>
              <w:t xml:space="preserve"> </w:t>
            </w:r>
            <w:r>
              <w:rPr>
                <w:rFonts w:cstheme="minorHAnsi"/>
                <w:shd w:val="clear" w:color="auto" w:fill="F9F9F9"/>
              </w:rPr>
              <w:t>tier</w:t>
            </w:r>
            <w:r w:rsidR="009B55ED">
              <w:rPr>
                <w:rFonts w:cstheme="minorHAnsi"/>
                <w:shd w:val="clear" w:color="auto" w:fill="F9F9F9"/>
              </w:rPr>
              <w:t>:</w:t>
            </w:r>
          </w:p>
          <w:p w14:paraId="426108A0" w14:textId="6EBA6FD2" w:rsidR="00CC6008" w:rsidRPr="00CC6008" w:rsidRDefault="00CC6008" w:rsidP="00CC6008">
            <w:pPr>
              <w:pStyle w:val="MText"/>
              <w:rPr>
                <w:rFonts w:cstheme="minorHAnsi"/>
              </w:rPr>
            </w:pPr>
            <w:r>
              <w:rPr>
                <w:rFonts w:cstheme="minorHAnsi"/>
              </w:rPr>
              <w:t>Classification of the indicator into one of the three</w:t>
            </w:r>
            <w:r>
              <w:rPr>
                <w:rFonts w:cstheme="minorHAnsi"/>
                <w:spacing w:val="-26"/>
              </w:rPr>
              <w:t xml:space="preserve"> </w:t>
            </w:r>
            <w:r>
              <w:rPr>
                <w:rFonts w:cstheme="minorHAnsi"/>
              </w:rPr>
              <w:t>tiers: We recommend that 17.1.1 (like 17.1.2) remain classified as Tier 1: The indicator is conceptually clear and internationally agreed standards for compiling components and aggregates are available. The underlying data are regularly produced by countries, and there is current data</w:t>
            </w:r>
            <w:r>
              <w:rPr>
                <w:rFonts w:cstheme="minorHAnsi"/>
                <w:spacing w:val="-17"/>
              </w:rPr>
              <w:t xml:space="preserve"> </w:t>
            </w:r>
            <w:r>
              <w:rPr>
                <w:rFonts w:cstheme="minorHAnsi"/>
              </w:rPr>
              <w:t xml:space="preserve">available. From the IAEG-SDGs Tier Classification description at </w:t>
            </w:r>
            <w:hyperlink r:id="rId11" w:history="1">
              <w:r>
                <w:rPr>
                  <w:rStyle w:val="Hyperlink"/>
                  <w:rFonts w:eastAsiaTheme="majorEastAsia" w:cstheme="minorHAnsi"/>
                </w:rPr>
                <w:t>https://unstats.un.org/sdgs/iaeg-sdgs/tier-classification/</w:t>
              </w:r>
            </w:hyperlink>
            <w:r>
              <w:rPr>
                <w:rFonts w:cstheme="minorHAnsi"/>
              </w:rPr>
              <w:t xml:space="preserve">, a key criteria is that “data are regularly produced by countries for at least 50 per cent of countries”. The IMF GFS database, with 120+ regular annual reporting countries using the same reporting format meets </w:t>
            </w:r>
            <w:proofErr w:type="gramStart"/>
            <w:r>
              <w:rPr>
                <w:rFonts w:cstheme="minorHAnsi"/>
              </w:rPr>
              <w:t>this key criteria</w:t>
            </w:r>
            <w:proofErr w:type="gramEnd"/>
            <w:r>
              <w:rPr>
                <w:rFonts w:cstheme="minorHAnsi"/>
              </w:rPr>
              <w:t>. Apart from conflict countries, all IMF member countries produce revenue (and expenditure) data for surveillance purposes. In the 2017 round of soliciting annual GFS series from countries, we have specifically encouraged those countries that were non-reporters over the past few years to (at a minimum) provide the key revenue and expenditure series needed to monitor 17.1.</w:t>
            </w:r>
          </w:p>
          <w:p w14:paraId="27CDC679" w14:textId="77777777" w:rsidR="00CC6008" w:rsidRDefault="00CC6008" w:rsidP="005A1C99">
            <w:pPr>
              <w:pStyle w:val="MSubHeader"/>
              <w:rPr>
                <w:rFonts w:cstheme="minorHAnsi"/>
                <w:shd w:val="clear" w:color="auto" w:fill="F9F9F9"/>
              </w:rPr>
            </w:pPr>
          </w:p>
          <w:p w14:paraId="03247566" w14:textId="1F94BAC4" w:rsidR="005A1C99" w:rsidRDefault="005A1C99" w:rsidP="005A1C99">
            <w:pPr>
              <w:pStyle w:val="MSubHeader"/>
              <w:rPr>
                <w:rFonts w:cstheme="minorHAnsi"/>
              </w:rPr>
            </w:pPr>
            <w:r>
              <w:rPr>
                <w:rFonts w:cstheme="minorHAnsi"/>
                <w:shd w:val="clear" w:color="auto" w:fill="F9F9F9"/>
              </w:rPr>
              <w:lastRenderedPageBreak/>
              <w:t>Disaggregation</w:t>
            </w:r>
            <w:r w:rsidR="00612417">
              <w:rPr>
                <w:rFonts w:cstheme="minorHAnsi"/>
                <w:shd w:val="clear" w:color="auto" w:fill="F9F9F9"/>
              </w:rPr>
              <w:t>:</w:t>
            </w:r>
          </w:p>
          <w:p w14:paraId="4A556954" w14:textId="6BA9E827" w:rsidR="005A1C99" w:rsidRDefault="005A1C99" w:rsidP="005A1C99">
            <w:pPr>
              <w:pStyle w:val="MText"/>
              <w:rPr>
                <w:rFonts w:cstheme="minorHAnsi"/>
              </w:rPr>
            </w:pPr>
            <w:r>
              <w:rPr>
                <w:rFonts w:cstheme="minorHAnsi"/>
              </w:rPr>
              <w:t>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in order to encompass all possible forms of revenue administrations. Taxes are disaggregated as follows:</w:t>
            </w:r>
            <w:r>
              <w:rPr>
                <w:rFonts w:cstheme="minorHAnsi"/>
              </w:rPr>
              <w:br/>
            </w:r>
          </w:p>
          <w:p w14:paraId="703C1F05" w14:textId="352EF073" w:rsidR="00317099" w:rsidRDefault="00317099" w:rsidP="005A1C99">
            <w:pPr>
              <w:pStyle w:val="MText"/>
              <w:rPr>
                <w:rFonts w:cstheme="minorHAnsi"/>
              </w:rPr>
            </w:pPr>
            <w:r>
              <w:rPr>
                <w:noProof/>
              </w:rPr>
              <w:drawing>
                <wp:inline distT="0" distB="0" distL="0" distR="0" wp14:anchorId="7970194B" wp14:editId="06819B49">
                  <wp:extent cx="3689985" cy="37560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9985" cy="3756025"/>
                          </a:xfrm>
                          <a:prstGeom prst="rect">
                            <a:avLst/>
                          </a:prstGeom>
                          <a:noFill/>
                          <a:ln>
                            <a:noFill/>
                          </a:ln>
                        </pic:spPr>
                      </pic:pic>
                    </a:graphicData>
                  </a:graphic>
                </wp:inline>
              </w:drawing>
            </w:r>
          </w:p>
          <w:p w14:paraId="2454FA0C" w14:textId="1DB02BD7" w:rsidR="009B55ED" w:rsidRDefault="005A1C99" w:rsidP="005A1C99">
            <w:pPr>
              <w:pStyle w:val="Default"/>
              <w:rPr>
                <w:rStyle w:val="MTextChar"/>
                <w:rFonts w:eastAsiaTheme="minorEastAsia"/>
              </w:rPr>
            </w:pPr>
            <w:r>
              <w:rPr>
                <w:rFonts w:cstheme="minorHAnsi"/>
              </w:rPr>
              <w:br/>
            </w:r>
            <w:r w:rsidRPr="009B55ED">
              <w:rPr>
                <w:rStyle w:val="MTextChar"/>
                <w:rFonts w:eastAsiaTheme="minorEastAsia"/>
              </w:rPr>
              <w:t>Social contributions differentiate between social security and other social contributions, as follows:</w:t>
            </w:r>
          </w:p>
          <w:p w14:paraId="0A8EAB07" w14:textId="1E43EFCE" w:rsidR="00FD3501" w:rsidRDefault="00FD3501" w:rsidP="005A1C99">
            <w:pPr>
              <w:pStyle w:val="Default"/>
              <w:rPr>
                <w:rStyle w:val="MTextChar"/>
                <w:rFonts w:eastAsiaTheme="minorEastAsia"/>
              </w:rPr>
            </w:pPr>
          </w:p>
          <w:p w14:paraId="2F537785" w14:textId="4B5EFBEE" w:rsidR="00FD3501" w:rsidRDefault="00FD3501" w:rsidP="005A1C99">
            <w:pPr>
              <w:pStyle w:val="Default"/>
              <w:rPr>
                <w:rStyle w:val="MTextChar"/>
                <w:rFonts w:eastAsiaTheme="minorEastAsia"/>
              </w:rPr>
            </w:pPr>
            <w:r>
              <w:rPr>
                <w:noProof/>
              </w:rPr>
              <w:drawing>
                <wp:inline distT="0" distB="0" distL="0" distR="0" wp14:anchorId="1A1E5BE4" wp14:editId="5764A6C7">
                  <wp:extent cx="3689985" cy="1157605"/>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9985" cy="1157605"/>
                          </a:xfrm>
                          <a:prstGeom prst="rect">
                            <a:avLst/>
                          </a:prstGeom>
                          <a:noFill/>
                          <a:ln>
                            <a:noFill/>
                          </a:ln>
                        </pic:spPr>
                      </pic:pic>
                    </a:graphicData>
                  </a:graphic>
                </wp:inline>
              </w:drawing>
            </w:r>
          </w:p>
          <w:p w14:paraId="63A1AC1E" w14:textId="77777777" w:rsidR="00FD3501" w:rsidRDefault="00FD3501" w:rsidP="005A1C99">
            <w:pPr>
              <w:pStyle w:val="Default"/>
              <w:rPr>
                <w:rStyle w:val="MTextChar"/>
                <w:rFonts w:eastAsiaTheme="minorEastAsia"/>
              </w:rPr>
            </w:pPr>
          </w:p>
          <w:p w14:paraId="545A4EF4" w14:textId="75E20DAE" w:rsidR="00FD3501" w:rsidRDefault="005A1C99" w:rsidP="005A1C99">
            <w:pPr>
              <w:pStyle w:val="Default"/>
              <w:rPr>
                <w:rStyle w:val="MTextChar"/>
                <w:rFonts w:eastAsiaTheme="minorEastAsia"/>
              </w:rPr>
            </w:pPr>
            <w:r w:rsidRPr="009B55ED">
              <w:rPr>
                <w:rStyle w:val="MTextChar"/>
                <w:rFonts w:eastAsiaTheme="minorEastAsia"/>
              </w:rPr>
              <w:t>Grants can be disaggregated by source as follows:</w:t>
            </w:r>
          </w:p>
          <w:p w14:paraId="31AA7166" w14:textId="77777777" w:rsidR="00FD3501" w:rsidRDefault="00FD3501" w:rsidP="005A1C99">
            <w:pPr>
              <w:pStyle w:val="Default"/>
              <w:rPr>
                <w:rFonts w:cstheme="minorHAnsi"/>
              </w:rPr>
            </w:pPr>
          </w:p>
          <w:p w14:paraId="239A563B" w14:textId="48F824BD" w:rsidR="00316067" w:rsidRDefault="00FD3501" w:rsidP="005A1C99">
            <w:pPr>
              <w:pStyle w:val="Default"/>
              <w:rPr>
                <w:rStyle w:val="MTextChar"/>
                <w:rFonts w:eastAsiaTheme="minorEastAsia"/>
              </w:rPr>
            </w:pPr>
            <w:r>
              <w:rPr>
                <w:noProof/>
              </w:rPr>
              <w:lastRenderedPageBreak/>
              <w:drawing>
                <wp:inline distT="0" distB="0" distL="0" distR="0" wp14:anchorId="15413747" wp14:editId="14C87CF6">
                  <wp:extent cx="3689985" cy="11303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9985" cy="1130300"/>
                          </a:xfrm>
                          <a:prstGeom prst="rect">
                            <a:avLst/>
                          </a:prstGeom>
                          <a:noFill/>
                          <a:ln>
                            <a:noFill/>
                          </a:ln>
                        </pic:spPr>
                      </pic:pic>
                    </a:graphicData>
                  </a:graphic>
                </wp:inline>
              </w:drawing>
            </w:r>
            <w:r w:rsidR="005A1C99">
              <w:rPr>
                <w:rFonts w:cstheme="minorHAnsi"/>
              </w:rPr>
              <w:br/>
            </w:r>
            <w:r w:rsidR="005A1C99">
              <w:rPr>
                <w:rFonts w:cstheme="minorHAnsi"/>
              </w:rPr>
              <w:br/>
            </w:r>
            <w:r w:rsidR="005A1C99" w:rsidRPr="009B55ED">
              <w:rPr>
                <w:rStyle w:val="MTextChar"/>
                <w:rFonts w:eastAsiaTheme="minorEastAsia"/>
              </w:rPr>
              <w:t>And Other revenue is disaggregated into five main types, with additional component detail as follows:</w:t>
            </w:r>
          </w:p>
          <w:p w14:paraId="37B6BB73" w14:textId="77777777" w:rsidR="00316067" w:rsidRDefault="00316067" w:rsidP="005A1C99">
            <w:pPr>
              <w:pStyle w:val="Default"/>
              <w:rPr>
                <w:rFonts w:cstheme="minorHAnsi"/>
              </w:rPr>
            </w:pPr>
          </w:p>
          <w:p w14:paraId="606721A7" w14:textId="1CABBB83" w:rsidR="00202B2D" w:rsidRPr="00316067" w:rsidRDefault="00316067" w:rsidP="005A1C99">
            <w:pPr>
              <w:pStyle w:val="Default"/>
              <w:rPr>
                <w:rFonts w:cstheme="minorHAnsi"/>
              </w:rPr>
            </w:pPr>
            <w:r>
              <w:rPr>
                <w:noProof/>
              </w:rPr>
              <w:drawing>
                <wp:inline distT="0" distB="0" distL="0" distR="0" wp14:anchorId="3F712970" wp14:editId="663BB0C2">
                  <wp:extent cx="3689985" cy="32308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9985" cy="3230880"/>
                          </a:xfrm>
                          <a:prstGeom prst="rect">
                            <a:avLst/>
                          </a:prstGeom>
                          <a:noFill/>
                          <a:ln>
                            <a:noFill/>
                          </a:ln>
                        </pic:spPr>
                      </pic:pic>
                    </a:graphicData>
                  </a:graphic>
                </wp:inline>
              </w:drawing>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3" w:name="_Toc36655614"/>
            <w:bookmarkStart w:id="34" w:name="_Toc36812577"/>
            <w:bookmarkStart w:id="35" w:name="_Toc36812690"/>
            <w:bookmarkStart w:id="36" w:name="_Toc36813077"/>
            <w:bookmarkStart w:id="3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3"/>
            <w:bookmarkEnd w:id="34"/>
            <w:bookmarkEnd w:id="35"/>
            <w:bookmarkEnd w:id="3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9931977" w14:textId="5FE97261" w:rsidR="00D54FB9" w:rsidRDefault="00D54FB9" w:rsidP="00D54FB9">
            <w:pPr>
              <w:pStyle w:val="MSubHeader"/>
              <w:rPr>
                <w:rFonts w:cstheme="minorHAnsi"/>
              </w:rPr>
            </w:pPr>
            <w:r>
              <w:rPr>
                <w:rFonts w:cstheme="minorHAnsi"/>
                <w:shd w:val="clear" w:color="auto" w:fill="F9F9F9"/>
              </w:rPr>
              <w:t>Sources of differences between global and national</w:t>
            </w:r>
            <w:r>
              <w:rPr>
                <w:rFonts w:cstheme="minorHAnsi"/>
                <w:spacing w:val="-14"/>
                <w:shd w:val="clear" w:color="auto" w:fill="F9F9F9"/>
              </w:rPr>
              <w:t xml:space="preserve"> </w:t>
            </w:r>
            <w:r>
              <w:rPr>
                <w:rFonts w:cstheme="minorHAnsi"/>
                <w:shd w:val="clear" w:color="auto" w:fill="F9F9F9"/>
              </w:rPr>
              <w:t>figures:</w:t>
            </w:r>
          </w:p>
          <w:p w14:paraId="13CF0B2D" w14:textId="0DA7157A" w:rsidR="004F4616" w:rsidRPr="00E07A4C" w:rsidRDefault="00D54FB9" w:rsidP="00D54FB9">
            <w:pPr>
              <w:pStyle w:val="MText"/>
              <w:rPr>
                <w:rFonts w:cstheme="minorHAnsi"/>
              </w:rPr>
            </w:pPr>
            <w:r>
              <w:rPr>
                <w:rFonts w:cstheme="minorHAnsi"/>
              </w:rPr>
              <w:t>Where t</w:t>
            </w:r>
            <w:bookmarkStart w:id="38" w:name="_Hlk506008835"/>
            <w:r>
              <w:rPr>
                <w:rFonts w:cstheme="minorHAnsi"/>
              </w:rPr>
              <w:t>he relevant aggregates and component detail in series disseminated by the national authorities are found to differ from GFS due to unreported revisions, the IMF Statistics Department will solicit revised time series in GFS format from the national authorities.</w:t>
            </w:r>
            <w:bookmarkEnd w:id="38"/>
          </w:p>
        </w:tc>
      </w:tr>
      <w:bookmarkEnd w:id="37"/>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9" w:name="_Toc36655615"/>
            <w:bookmarkStart w:id="40" w:name="_Toc36812578"/>
            <w:bookmarkStart w:id="41" w:name="_Toc36812691"/>
            <w:bookmarkStart w:id="42" w:name="_Toc36813078"/>
            <w:r w:rsidRPr="001A0E35">
              <w:t>7. References and documentation</w:t>
            </w:r>
            <w:bookmarkEnd w:id="39"/>
            <w:bookmarkEnd w:id="40"/>
            <w:bookmarkEnd w:id="41"/>
            <w:bookmarkEnd w:id="42"/>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004AC3F2" w14:textId="77777777" w:rsidR="006D6F88" w:rsidRDefault="006D6F88" w:rsidP="009B55ED">
            <w:pPr>
              <w:pStyle w:val="MHeader"/>
            </w:pPr>
            <w:r>
              <w:t>References</w:t>
            </w:r>
          </w:p>
          <w:p w14:paraId="75668AC2" w14:textId="4F42AEC7" w:rsidR="007B2E39" w:rsidRPr="006D6F88" w:rsidRDefault="006D6F88" w:rsidP="006D6F88">
            <w:pPr>
              <w:pStyle w:val="MText"/>
              <w:rPr>
                <w:rFonts w:cstheme="minorHAnsi"/>
              </w:rPr>
            </w:pPr>
            <w:r>
              <w:rPr>
                <w:rFonts w:cstheme="minorHAnsi"/>
                <w:shd w:val="clear" w:color="auto" w:fill="F9F9F9"/>
              </w:rPr>
              <w:t xml:space="preserve">The </w:t>
            </w:r>
            <w:r>
              <w:rPr>
                <w:rFonts w:cstheme="minorHAnsi"/>
                <w:i/>
                <w:shd w:val="clear" w:color="auto" w:fill="F9F9F9"/>
              </w:rPr>
              <w:t>GFSM 2014</w:t>
            </w:r>
            <w:r>
              <w:rPr>
                <w:rFonts w:cstheme="minorHAnsi"/>
                <w:shd w:val="clear" w:color="auto" w:fill="F9F9F9"/>
              </w:rPr>
              <w:t xml:space="preserve"> is available at </w:t>
            </w:r>
            <w:hyperlink r:id="rId16" w:history="1">
              <w:r>
                <w:rPr>
                  <w:rStyle w:val="Hyperlink"/>
                  <w:rFonts w:eastAsiaTheme="majorEastAsia" w:cstheme="minorHAnsi"/>
                  <w:shd w:val="clear" w:color="auto" w:fill="F9F9F9"/>
                </w:rPr>
                <w:t>http://www.imf.org/external/np/sta/gfsm/</w:t>
              </w:r>
            </w:hyperlink>
            <w:r>
              <w:rPr>
                <w:rFonts w:cstheme="minorHAnsi"/>
                <w:shd w:val="clear" w:color="auto" w:fill="F9F9F9"/>
              </w:rPr>
              <w:t xml:space="preserve">. A series of videos that discuss the GFS analytical framework are </w:t>
            </w:r>
            <w:r>
              <w:rPr>
                <w:rFonts w:cstheme="minorHAnsi"/>
              </w:rPr>
              <w:t xml:space="preserve">available at: </w:t>
            </w:r>
            <w:hyperlink r:id="rId17" w:history="1">
              <w:r>
                <w:rPr>
                  <w:rStyle w:val="Hyperlink"/>
                  <w:rFonts w:eastAsiaTheme="majorEastAsia" w:cstheme="minorHAnsi"/>
                </w:rPr>
                <w:t>IMF Statistics E-Learning Videos - YouTube</w:t>
              </w:r>
            </w:hyperlink>
            <w:r>
              <w:rPr>
                <w:rFonts w:cstheme="minorHAnsi"/>
              </w:rPr>
              <w:t xml:space="preserve">. </w:t>
            </w:r>
            <w:r>
              <w:rPr>
                <w:rFonts w:cstheme="minorHAnsi"/>
                <w:shd w:val="clear" w:color="auto" w:fill="F9F9F9"/>
              </w:rPr>
              <w:t xml:space="preserve">Although not foreseen under the reporting of 17.1.1, analysts can also use the detailed IMF GFS Revenue database to supplement this indicator with measures of direct, indirect and capital taxes (see </w:t>
            </w:r>
            <w:r>
              <w:rPr>
                <w:rFonts w:cstheme="minorHAnsi"/>
                <w:i/>
                <w:shd w:val="clear" w:color="auto" w:fill="F9F9F9"/>
              </w:rPr>
              <w:t>GFSM 2014</w:t>
            </w:r>
            <w:r>
              <w:rPr>
                <w:rFonts w:cstheme="minorHAnsi"/>
                <w:shd w:val="clear" w:color="auto" w:fill="F9F9F9"/>
              </w:rPr>
              <w:t>, Annex to Chapter 4).</w:t>
            </w:r>
          </w:p>
        </w:tc>
      </w:tr>
    </w:tbl>
    <w:p w14:paraId="4069D0CB" w14:textId="6D7E51C2" w:rsidR="00C605D4" w:rsidRPr="004962C5" w:rsidRDefault="00C605D4" w:rsidP="00316067">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557BF"/>
    <w:rsid w:val="000639BB"/>
    <w:rsid w:val="00073907"/>
    <w:rsid w:val="00077DCF"/>
    <w:rsid w:val="00091352"/>
    <w:rsid w:val="000A24C4"/>
    <w:rsid w:val="000B2C16"/>
    <w:rsid w:val="000B6681"/>
    <w:rsid w:val="000C6D3A"/>
    <w:rsid w:val="000E1AA3"/>
    <w:rsid w:val="001034ED"/>
    <w:rsid w:val="00104001"/>
    <w:rsid w:val="001127E6"/>
    <w:rsid w:val="0012075C"/>
    <w:rsid w:val="0013388C"/>
    <w:rsid w:val="0013577B"/>
    <w:rsid w:val="00145719"/>
    <w:rsid w:val="0014660A"/>
    <w:rsid w:val="00151B76"/>
    <w:rsid w:val="00155BC5"/>
    <w:rsid w:val="001646CE"/>
    <w:rsid w:val="0018734D"/>
    <w:rsid w:val="001A0E35"/>
    <w:rsid w:val="001C1BC2"/>
    <w:rsid w:val="001C3E19"/>
    <w:rsid w:val="001F0C55"/>
    <w:rsid w:val="001F31C6"/>
    <w:rsid w:val="00202B2D"/>
    <w:rsid w:val="00211876"/>
    <w:rsid w:val="00226099"/>
    <w:rsid w:val="002313D6"/>
    <w:rsid w:val="00240AFC"/>
    <w:rsid w:val="00250A24"/>
    <w:rsid w:val="002525CC"/>
    <w:rsid w:val="00257D67"/>
    <w:rsid w:val="00265084"/>
    <w:rsid w:val="0027379A"/>
    <w:rsid w:val="002933AC"/>
    <w:rsid w:val="0029558C"/>
    <w:rsid w:val="002960FA"/>
    <w:rsid w:val="002A631A"/>
    <w:rsid w:val="002A6E7E"/>
    <w:rsid w:val="002C550A"/>
    <w:rsid w:val="002E449E"/>
    <w:rsid w:val="002E4E48"/>
    <w:rsid w:val="00316067"/>
    <w:rsid w:val="003161D6"/>
    <w:rsid w:val="00317099"/>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1987"/>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A1C99"/>
    <w:rsid w:val="005B657A"/>
    <w:rsid w:val="005C091C"/>
    <w:rsid w:val="005C76A1"/>
    <w:rsid w:val="005D1328"/>
    <w:rsid w:val="005F7B42"/>
    <w:rsid w:val="00605AD5"/>
    <w:rsid w:val="00611159"/>
    <w:rsid w:val="00612417"/>
    <w:rsid w:val="00613352"/>
    <w:rsid w:val="006220A3"/>
    <w:rsid w:val="00633477"/>
    <w:rsid w:val="00643134"/>
    <w:rsid w:val="006609F0"/>
    <w:rsid w:val="0068000F"/>
    <w:rsid w:val="0068379D"/>
    <w:rsid w:val="00693674"/>
    <w:rsid w:val="006B0512"/>
    <w:rsid w:val="006B6E3B"/>
    <w:rsid w:val="006C6768"/>
    <w:rsid w:val="006D23F0"/>
    <w:rsid w:val="006D41CA"/>
    <w:rsid w:val="006D6F88"/>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6B0"/>
    <w:rsid w:val="008F179C"/>
    <w:rsid w:val="0090556F"/>
    <w:rsid w:val="0091555D"/>
    <w:rsid w:val="00924458"/>
    <w:rsid w:val="0095215C"/>
    <w:rsid w:val="0095217A"/>
    <w:rsid w:val="00952376"/>
    <w:rsid w:val="00970B70"/>
    <w:rsid w:val="00971FA7"/>
    <w:rsid w:val="009739C8"/>
    <w:rsid w:val="009A7AF3"/>
    <w:rsid w:val="009B55ED"/>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C6008"/>
    <w:rsid w:val="00CF504E"/>
    <w:rsid w:val="00D11228"/>
    <w:rsid w:val="00D12D35"/>
    <w:rsid w:val="00D17114"/>
    <w:rsid w:val="00D34F45"/>
    <w:rsid w:val="00D54FB9"/>
    <w:rsid w:val="00D563BD"/>
    <w:rsid w:val="00D6262B"/>
    <w:rsid w:val="00D7187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77FE"/>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D3501"/>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0307044">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839090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94758893">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27918975">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56253688">
      <w:bodyDiv w:val="1"/>
      <w:marLeft w:val="0"/>
      <w:marRight w:val="0"/>
      <w:marTop w:val="0"/>
      <w:marBottom w:val="0"/>
      <w:divBdr>
        <w:top w:val="none" w:sz="0" w:space="0" w:color="auto"/>
        <w:left w:val="none" w:sz="0" w:space="0" w:color="auto"/>
        <w:bottom w:val="none" w:sz="0" w:space="0" w:color="auto"/>
        <w:right w:val="none" w:sz="0" w:space="0" w:color="auto"/>
      </w:divBdr>
    </w:div>
    <w:div w:id="957950050">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8763628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45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19951415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6476594">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0065429">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3330310">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93397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5014933">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75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GODATA@imf.or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youtube.com/playlist?list=PLmYAE4wV1YQzimXjDWMQ-4GwConTsP7-a" TargetMode="External"/><Relationship Id="rId2" Type="http://schemas.openxmlformats.org/officeDocument/2006/relationships/numbering" Target="numbering.xml"/><Relationship Id="rId16" Type="http://schemas.openxmlformats.org/officeDocument/2006/relationships/hyperlink" Target="http://www.imf.org/external/np/sta/gf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sdgs/iaeg-sdgs/tier-classific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33A448DE764916AAAB5C2202DA32F5"/>
        <w:category>
          <w:name w:val="General"/>
          <w:gallery w:val="placeholder"/>
        </w:category>
        <w:types>
          <w:type w:val="bbPlcHdr"/>
        </w:types>
        <w:behaviors>
          <w:behavior w:val="content"/>
        </w:behaviors>
        <w:guid w:val="{5D4798B7-59E6-4CD3-AE33-4B0936EF42B2}"/>
      </w:docPartPr>
      <w:docPartBody>
        <w:p w:rsidR="00F26DB5" w:rsidRDefault="00111CEC" w:rsidP="00111CEC">
          <w:pPr>
            <w:pStyle w:val="C533A448DE764916AAAB5C2202DA32F5"/>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EC"/>
    <w:rsid w:val="00111CEC"/>
    <w:rsid w:val="00F2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CEC"/>
    <w:rPr>
      <w:color w:val="808080"/>
    </w:rPr>
  </w:style>
  <w:style w:type="paragraph" w:customStyle="1" w:styleId="C533A448DE764916AAAB5C2202DA32F5">
    <w:name w:val="C533A448DE764916AAAB5C2202DA32F5"/>
    <w:rsid w:val="00111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5F26-520E-4555-8B66-C108A5F2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2020-04-10T17:02:00Z</cp:lastPrinted>
  <dcterms:created xsi:type="dcterms:W3CDTF">2020-04-14T15:52:00Z</dcterms:created>
  <dcterms:modified xsi:type="dcterms:W3CDTF">2020-04-20T17:27:00Z</dcterms:modified>
</cp:coreProperties>
</file>