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31F2ABB" w:rsidR="005377B9" w:rsidRPr="00E836C7" w:rsidRDefault="00E33928" w:rsidP="00553DEC">
            <w:pPr>
              <w:pStyle w:val="MGTHeader"/>
              <w:rPr>
                <w:rFonts w:cs="Arial"/>
                <w:color w:val="1C75BC"/>
                <w:sz w:val="24"/>
                <w:szCs w:val="24"/>
              </w:rPr>
            </w:pPr>
            <w:r>
              <w:t>Goal 3</w:t>
            </w:r>
            <w:r w:rsidRPr="006B1D15">
              <w:t>: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3304F08" w:rsidR="005377B9" w:rsidRPr="00837EC7" w:rsidRDefault="004D11AF" w:rsidP="00553DEC">
            <w:pPr>
              <w:pStyle w:val="MGTHeader"/>
              <w:rPr>
                <w:rFonts w:cstheme="minorHAnsi"/>
              </w:rPr>
            </w:pPr>
            <w:r w:rsidRPr="006B1D15">
              <w:t>Target</w:t>
            </w:r>
            <w:r>
              <w:t xml:space="preserve"> 3.b</w:t>
            </w:r>
            <w:r w:rsidRPr="006B1D15">
              <w:t xml:space="preserve">: </w:t>
            </w:r>
            <w:r w:rsidRPr="00DB56DD">
              <w:t>Support the research and development of vaccines and medicines for the communicable and non</w:t>
            </w:r>
            <w:r w:rsidRPr="00DB56DD">
              <w:rPr>
                <w:rFonts w:ascii="MS Gothic" w:eastAsia="MS Gothic" w:hAnsi="MS Gothic" w:cs="MS Gothic" w:hint="eastAsia"/>
              </w:rPr>
              <w:t>‑</w:t>
            </w:r>
            <w:r w:rsidRPr="00DB56DD">
              <w:t>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90C2827" w:rsidR="005377B9" w:rsidRPr="004D11AF" w:rsidRDefault="004D11AF" w:rsidP="00553DEC">
            <w:pPr>
              <w:pStyle w:val="MIndHeader"/>
            </w:pPr>
            <w:r w:rsidRPr="00E5016C">
              <w:t xml:space="preserve">Indicator 3.b.1: </w:t>
            </w:r>
            <w:r w:rsidRPr="00F93048">
              <w:t>Proportion of the target population covered by all vaccines included in their national programme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D74D7F2" w:rsidR="005377B9" w:rsidRPr="00E836C7" w:rsidRDefault="004D11AF" w:rsidP="00553DEC">
            <w:pPr>
              <w:pStyle w:val="Header"/>
              <w:rPr>
                <w:color w:val="595959" w:themeColor="text1" w:themeTint="A6"/>
                <w:sz w:val="18"/>
                <w:szCs w:val="18"/>
              </w:rPr>
            </w:pPr>
            <w:r w:rsidRPr="00FC17F8">
              <w:rPr>
                <w:color w:val="7F7F7F" w:themeColor="text1" w:themeTint="80"/>
                <w:sz w:val="18"/>
                <w:szCs w:val="18"/>
              </w:rPr>
              <w:t xml:space="preserve">Last updated: </w:t>
            </w:r>
            <w:r>
              <w:rPr>
                <w:color w:val="7F7F7F" w:themeColor="text1" w:themeTint="80"/>
                <w:sz w:val="18"/>
                <w:szCs w:val="18"/>
              </w:rPr>
              <w:t>March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C848EBD" w14:textId="77777777" w:rsidR="009E4F94" w:rsidRPr="00573631" w:rsidRDefault="009E4F94" w:rsidP="00553DEC">
            <w:pPr>
              <w:pStyle w:val="MHeader"/>
            </w:pPr>
            <w:r w:rsidRPr="00573631">
              <w:t>Related indicators as of February 2020</w:t>
            </w:r>
          </w:p>
          <w:p w14:paraId="6439D01C" w14:textId="77777777" w:rsidR="00553DEC" w:rsidRDefault="009E4F94" w:rsidP="009E4F94">
            <w:pPr>
              <w:shd w:val="clear" w:color="auto" w:fill="FFFFFF"/>
              <w:spacing w:after="0"/>
              <w:rPr>
                <w:rStyle w:val="MTextChar"/>
                <w:rFonts w:eastAsiaTheme="minorHAnsi"/>
              </w:rPr>
            </w:pPr>
            <w:r w:rsidRPr="00553DEC">
              <w:rPr>
                <w:rStyle w:val="MTextChar"/>
                <w:rFonts w:eastAsiaTheme="minorHAnsi"/>
              </w:rPr>
              <w:t xml:space="preserve">Target 3.8 Achieve universal health coverage, including financial risk protection, access to quality essential health-care services and access to safe, effective, quality and affordable essential medicines and vaccines for all. </w:t>
            </w:r>
          </w:p>
          <w:p w14:paraId="1D8C2572" w14:textId="4A742199" w:rsidR="005377B9" w:rsidRPr="009E4F94" w:rsidRDefault="009E4F94" w:rsidP="00553DEC">
            <w:pPr>
              <w:pStyle w:val="MText"/>
            </w:pPr>
            <w:r w:rsidRPr="00553DEC">
              <w:rPr>
                <w:rStyle w:val="MTextChar"/>
              </w:rPr>
              <w:lastRenderedPageBreak/>
              <w:t>Indicator 3.8.1: Coverage of essential health services (defined as the average coverage of</w:t>
            </w:r>
            <w:r w:rsidRPr="00D65ED2">
              <w:t xml:space="preserve"> essential services based on tracer interventions that include reproductive, maternal, newborn and child health, infectious diseases, non-communicable diseases and service capacity and access, among the general and the most disadvantaged population)</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F2FFD27" w14:textId="77777777" w:rsidR="004D11AF" w:rsidRPr="00573631" w:rsidRDefault="004D11AF" w:rsidP="00553DEC">
            <w:pPr>
              <w:pStyle w:val="MHeader"/>
            </w:pPr>
            <w:r w:rsidRPr="00573631">
              <w:t>Institutional information</w:t>
            </w:r>
          </w:p>
          <w:p w14:paraId="738C9AFA" w14:textId="77777777" w:rsidR="004D11AF" w:rsidRPr="00F93048" w:rsidRDefault="004D11AF" w:rsidP="00553DEC">
            <w:pPr>
              <w:pStyle w:val="MSubHeader"/>
            </w:pPr>
            <w:r w:rsidRPr="00F93048">
              <w:t>Organization(s):</w:t>
            </w:r>
          </w:p>
          <w:p w14:paraId="716FA1AC" w14:textId="1175C72B" w:rsidR="005377B9" w:rsidRPr="00837EC7" w:rsidRDefault="004D11AF" w:rsidP="00553DEC">
            <w:pPr>
              <w:pStyle w:val="MText"/>
              <w:rPr>
                <w:rFonts w:cstheme="minorHAnsi"/>
              </w:rPr>
            </w:pPr>
            <w:r w:rsidRPr="00AD654F">
              <w:t xml:space="preserve">World Health Organization (WHO), </w:t>
            </w:r>
            <w:r>
              <w:t xml:space="preserve">United Nations Children’s Fund </w:t>
            </w:r>
            <w:r w:rsidRPr="00AD654F">
              <w:t>(UNICEF)</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154F38A" w14:textId="77777777" w:rsidR="004D11AF" w:rsidRPr="00573631" w:rsidRDefault="004D11AF" w:rsidP="00FC6AB0">
            <w:pPr>
              <w:pStyle w:val="MHeader"/>
            </w:pPr>
            <w:r w:rsidRPr="00573631">
              <w:t>Concepts and definitions</w:t>
            </w:r>
          </w:p>
          <w:p w14:paraId="1EE60AC1" w14:textId="77777777" w:rsidR="004D11AF" w:rsidRPr="00573631" w:rsidRDefault="004D11AF" w:rsidP="00FC6AB0">
            <w:pPr>
              <w:pStyle w:val="MSubHeader"/>
            </w:pPr>
            <w:r w:rsidRPr="00573631">
              <w:t>Definition:</w:t>
            </w:r>
          </w:p>
          <w:p w14:paraId="7A37531E" w14:textId="77777777" w:rsidR="004D11AF" w:rsidRDefault="004D11AF" w:rsidP="00FC6AB0">
            <w:pPr>
              <w:pStyle w:val="MText"/>
            </w:pPr>
            <w:r w:rsidRPr="00FC6AB0">
              <w:rPr>
                <w:b/>
                <w:bCs/>
                <w:i/>
                <w:iCs/>
              </w:rPr>
              <w:t>Coverage of DTP containing vaccine (3</w:t>
            </w:r>
            <w:r w:rsidRPr="00FC6AB0">
              <w:rPr>
                <w:b/>
                <w:bCs/>
                <w:i/>
                <w:iCs/>
                <w:vertAlign w:val="superscript"/>
              </w:rPr>
              <w:t>rd</w:t>
            </w:r>
            <w:r w:rsidRPr="00FC6AB0">
              <w:rPr>
                <w:b/>
                <w:bCs/>
                <w:i/>
                <w:iCs/>
              </w:rPr>
              <w:t xml:space="preserve"> dose)</w:t>
            </w:r>
            <w:r w:rsidRPr="00FC6AB0">
              <w:rPr>
                <w:i/>
                <w:iCs/>
              </w:rPr>
              <w:t>:</w:t>
            </w:r>
            <w:r>
              <w:t xml:space="preserve"> P</w:t>
            </w:r>
            <w:r w:rsidRPr="00C97EE7">
              <w:t>ercentage of surviving infants who received the 3 doses of</w:t>
            </w:r>
            <w:r>
              <w:t xml:space="preserve"> </w:t>
            </w:r>
            <w:r w:rsidRPr="00C97EE7">
              <w:t>diphtheria and tetanus toxoid with pertussis containing vaccine</w:t>
            </w:r>
            <w:r>
              <w:t xml:space="preserve"> in a given year</w:t>
            </w:r>
            <w:r w:rsidRPr="00C97EE7">
              <w:t>.</w:t>
            </w:r>
          </w:p>
          <w:p w14:paraId="377CB144" w14:textId="77777777" w:rsidR="004D11AF" w:rsidRDefault="004D11AF" w:rsidP="00FC6AB0">
            <w:pPr>
              <w:pStyle w:val="MText"/>
              <w:rPr>
                <w:b/>
                <w:bCs/>
              </w:rPr>
            </w:pPr>
          </w:p>
          <w:p w14:paraId="45A951D9" w14:textId="77777777" w:rsidR="004D11AF" w:rsidRDefault="004D11AF" w:rsidP="00FC6AB0">
            <w:pPr>
              <w:pStyle w:val="MText"/>
            </w:pPr>
            <w:r w:rsidRPr="00FC6AB0">
              <w:rPr>
                <w:b/>
                <w:bCs/>
                <w:i/>
                <w:iCs/>
              </w:rPr>
              <w:t>Coverage of Measles containing vaccine (2</w:t>
            </w:r>
            <w:r w:rsidRPr="00FC6AB0">
              <w:rPr>
                <w:b/>
                <w:bCs/>
                <w:i/>
                <w:iCs/>
                <w:vertAlign w:val="superscript"/>
              </w:rPr>
              <w:t>nd</w:t>
            </w:r>
            <w:r w:rsidRPr="00FC6AB0">
              <w:rPr>
                <w:b/>
                <w:bCs/>
                <w:i/>
                <w:iCs/>
              </w:rPr>
              <w:t xml:space="preserve"> dose):</w:t>
            </w:r>
            <w:r>
              <w:t xml:space="preserve"> P</w:t>
            </w:r>
            <w:r w:rsidRPr="00C97EE7">
              <w:t xml:space="preserve">ercentage of children who received </w:t>
            </w:r>
            <w:r>
              <w:t xml:space="preserve">two </w:t>
            </w:r>
            <w:r w:rsidRPr="00C97EE7">
              <w:t>dose of measles containing vaccine according t</w:t>
            </w:r>
            <w:r>
              <w:t>o</w:t>
            </w:r>
            <w:r w:rsidRPr="00C97EE7">
              <w:t xml:space="preserve"> nationally recommended schedule</w:t>
            </w:r>
            <w:r>
              <w:t xml:space="preserve"> through routine immunization services in a given year</w:t>
            </w:r>
            <w:r w:rsidRPr="00C97EE7">
              <w:t>.</w:t>
            </w:r>
          </w:p>
          <w:p w14:paraId="0BB5CB00" w14:textId="77777777" w:rsidR="004D11AF" w:rsidRDefault="004D11AF" w:rsidP="00FC6AB0">
            <w:pPr>
              <w:pStyle w:val="MText"/>
            </w:pPr>
          </w:p>
          <w:p w14:paraId="58397852" w14:textId="77777777" w:rsidR="004D11AF" w:rsidRDefault="004D11AF" w:rsidP="00FC6AB0">
            <w:pPr>
              <w:pStyle w:val="MText"/>
            </w:pPr>
            <w:r w:rsidRPr="00FC6AB0">
              <w:rPr>
                <w:b/>
                <w:bCs/>
                <w:i/>
                <w:iCs/>
              </w:rPr>
              <w:t>Coverage of Pneumococcal conjugate vaccine (last dose in the schedule</w:t>
            </w:r>
            <w:r w:rsidRPr="009761DC">
              <w:rPr>
                <w:b/>
                <w:bCs/>
                <w:i/>
                <w:iCs/>
              </w:rPr>
              <w:t>):</w:t>
            </w:r>
            <w:r>
              <w:t xml:space="preserve"> P</w:t>
            </w:r>
            <w:r w:rsidRPr="00F74DF1">
              <w:t xml:space="preserve">ercentage of surviving infants who received </w:t>
            </w:r>
            <w:r>
              <w:t xml:space="preserve">the nationally recommended doses </w:t>
            </w:r>
            <w:r w:rsidRPr="00F74DF1">
              <w:t>of pneumococcal conjugate vaccine</w:t>
            </w:r>
            <w:r>
              <w:t xml:space="preserve"> in a given year</w:t>
            </w:r>
            <w:r w:rsidRPr="00F74DF1">
              <w:t>.</w:t>
            </w:r>
            <w:r>
              <w:t xml:space="preserve"> </w:t>
            </w:r>
          </w:p>
          <w:p w14:paraId="2FC9B9E8" w14:textId="77777777" w:rsidR="004D11AF" w:rsidRPr="00C97EE7" w:rsidRDefault="004D11AF" w:rsidP="00FC6AB0">
            <w:pPr>
              <w:pStyle w:val="MText"/>
            </w:pPr>
          </w:p>
          <w:p w14:paraId="68EDC422" w14:textId="31058A47" w:rsidR="004D11AF" w:rsidRDefault="004D11AF" w:rsidP="00FC6AB0">
            <w:pPr>
              <w:pStyle w:val="MText"/>
            </w:pPr>
            <w:r w:rsidRPr="00FC6AB0">
              <w:rPr>
                <w:b/>
                <w:bCs/>
                <w:i/>
                <w:iCs/>
              </w:rPr>
              <w:t>Coverage of HPV vaccine (last dose in the schedule)</w:t>
            </w:r>
            <w:r>
              <w:t xml:space="preserve">: </w:t>
            </w:r>
            <w:r w:rsidRPr="00F74DF1">
              <w:t>Percentage of 15 years old girls received the recomme</w:t>
            </w:r>
            <w:r>
              <w:t>n</w:t>
            </w:r>
            <w:r w:rsidRPr="00F74DF1">
              <w:t>ded doses of HP</w:t>
            </w:r>
            <w:r>
              <w:t>V</w:t>
            </w:r>
            <w:r w:rsidRPr="00F74DF1">
              <w:t xml:space="preserve"> vaccine.</w:t>
            </w:r>
            <w:r>
              <w:t xml:space="preserve"> </w:t>
            </w:r>
            <w:r w:rsidRPr="00D5605A">
              <w:t>Currently performance of the programme in the previous calendar year based on target age group is used.</w:t>
            </w:r>
          </w:p>
          <w:p w14:paraId="3C968050" w14:textId="74C55194" w:rsidR="004D11AF" w:rsidRDefault="004D11AF" w:rsidP="004D11AF">
            <w:pPr>
              <w:shd w:val="clear" w:color="auto" w:fill="FFFFFF"/>
              <w:spacing w:after="0"/>
              <w:rPr>
                <w:rFonts w:eastAsia="Times New Roman" w:cs="Times New Roman"/>
                <w:color w:val="4A4A4A"/>
                <w:sz w:val="21"/>
                <w:szCs w:val="21"/>
                <w:lang w:eastAsia="en-GB"/>
              </w:rPr>
            </w:pPr>
          </w:p>
          <w:p w14:paraId="79BFF514" w14:textId="77777777" w:rsidR="004D11AF" w:rsidRPr="00573631" w:rsidRDefault="004D11AF" w:rsidP="00FC6AB0">
            <w:pPr>
              <w:pStyle w:val="MSubHeader"/>
            </w:pPr>
            <w:r w:rsidRPr="00573631">
              <w:t>Concepts:</w:t>
            </w:r>
          </w:p>
          <w:p w14:paraId="542A0796" w14:textId="77777777" w:rsidR="004D11AF" w:rsidRPr="00267A13" w:rsidRDefault="004D11AF" w:rsidP="00FC6AB0">
            <w:pPr>
              <w:pStyle w:val="MText"/>
            </w:pPr>
            <w:r w:rsidRPr="00267A13">
              <w:t>In accordance with its mandate to provide guidance to Member States on health policy matters, WHO provides global vaccine and immunization recommendations for diseases that have an international public health impact</w:t>
            </w:r>
            <w:r>
              <w:t>.</w:t>
            </w:r>
            <w:r w:rsidRPr="00267A13">
              <w:t xml:space="preserve"> National programmes adapt</w:t>
            </w:r>
            <w:r>
              <w:t xml:space="preserve"> </w:t>
            </w:r>
            <w:r w:rsidRPr="00267A13">
              <w:t>the recommendations and develop national immunization schedules, based on local disease epidemiology and national health priorities.</w:t>
            </w:r>
            <w:r>
              <w:t xml:space="preserve"> </w:t>
            </w:r>
            <w:r w:rsidRPr="00267A13">
              <w:t xml:space="preserve">National immunization schedules and number of recommended vaccines vary between countries, with only DTP </w:t>
            </w:r>
            <w:r>
              <w:t xml:space="preserve">polio </w:t>
            </w:r>
            <w:r w:rsidRPr="00267A13">
              <w:t xml:space="preserve">and measles containing vaccines being used in all countries. </w:t>
            </w:r>
          </w:p>
          <w:p w14:paraId="6B71E121" w14:textId="77777777" w:rsidR="004D11AF" w:rsidRDefault="004D11AF" w:rsidP="00FC6AB0">
            <w:pPr>
              <w:pStyle w:val="MText"/>
            </w:pPr>
          </w:p>
          <w:p w14:paraId="0AD68E73" w14:textId="77777777" w:rsidR="004D11AF" w:rsidRDefault="004D11AF" w:rsidP="00FC6AB0">
            <w:pPr>
              <w:pStyle w:val="MText"/>
            </w:pPr>
            <w:r w:rsidRPr="00267A13">
              <w:t>The target population for given vaccine is defined based on recommended</w:t>
            </w:r>
            <w:r>
              <w:t xml:space="preserve"> </w:t>
            </w:r>
            <w:r w:rsidRPr="00267A13">
              <w:t>age for administration. The primary vaccination series of most</w:t>
            </w:r>
            <w:r>
              <w:t xml:space="preserve"> </w:t>
            </w:r>
            <w:r w:rsidRPr="00267A13">
              <w:t>vaccines are administered in the first</w:t>
            </w:r>
            <w:r>
              <w:t xml:space="preserve"> </w:t>
            </w:r>
            <w:r w:rsidRPr="00267A13">
              <w:t>two years of life.</w:t>
            </w:r>
          </w:p>
          <w:p w14:paraId="64239523" w14:textId="77777777" w:rsidR="004D11AF" w:rsidRDefault="004D11AF" w:rsidP="00FC6AB0">
            <w:pPr>
              <w:pStyle w:val="MText"/>
            </w:pPr>
          </w:p>
          <w:p w14:paraId="441D44DE" w14:textId="77777777" w:rsidR="004D11AF" w:rsidRPr="00FC6AB0" w:rsidRDefault="004D11AF" w:rsidP="00FC6AB0">
            <w:pPr>
              <w:pStyle w:val="ListParagraph"/>
              <w:numPr>
                <w:ilvl w:val="0"/>
                <w:numId w:val="6"/>
              </w:numPr>
              <w:autoSpaceDE w:val="0"/>
              <w:autoSpaceDN w:val="0"/>
              <w:adjustRightInd w:val="0"/>
              <w:spacing w:after="0" w:line="240" w:lineRule="auto"/>
              <w:rPr>
                <w:rFonts w:eastAsia="Times New Roman" w:cs="Times New Roman"/>
                <w:color w:val="4A4A4A"/>
                <w:sz w:val="21"/>
                <w:szCs w:val="21"/>
                <w:lang w:eastAsia="en-GB"/>
              </w:rPr>
            </w:pPr>
            <w:r w:rsidRPr="00FC6AB0">
              <w:rPr>
                <w:rFonts w:eastAsia="Times New Roman" w:cs="Times New Roman"/>
                <w:b/>
                <w:bCs/>
                <w:i/>
                <w:iCs/>
                <w:color w:val="4A4A4A"/>
                <w:sz w:val="21"/>
                <w:szCs w:val="21"/>
                <w:lang w:eastAsia="en-GB"/>
              </w:rPr>
              <w:t>Coverage of DTP containing vaccine</w:t>
            </w:r>
            <w:r w:rsidRPr="00FC6AB0">
              <w:rPr>
                <w:rFonts w:eastAsia="Times New Roman" w:cs="Times New Roman"/>
                <w:color w:val="4A4A4A"/>
                <w:sz w:val="21"/>
                <w:szCs w:val="21"/>
                <w:lang w:eastAsia="en-GB"/>
              </w:rPr>
              <w:t xml:space="preserve"> measure the overall system strength to deliver infant vaccination</w:t>
            </w:r>
          </w:p>
          <w:p w14:paraId="31E7DABB" w14:textId="77777777" w:rsidR="004D11AF" w:rsidRPr="00FC6AB0" w:rsidRDefault="004D11AF" w:rsidP="00FC6AB0">
            <w:pPr>
              <w:pStyle w:val="ListParagraph"/>
              <w:numPr>
                <w:ilvl w:val="0"/>
                <w:numId w:val="6"/>
              </w:numPr>
              <w:shd w:val="clear" w:color="auto" w:fill="FFFFFF"/>
              <w:spacing w:after="0"/>
              <w:rPr>
                <w:rFonts w:eastAsia="Times New Roman" w:cs="Times New Roman"/>
                <w:color w:val="4A4A4A"/>
                <w:sz w:val="21"/>
                <w:szCs w:val="21"/>
                <w:lang w:eastAsia="en-GB"/>
              </w:rPr>
            </w:pPr>
            <w:r w:rsidRPr="00FC6AB0">
              <w:rPr>
                <w:rFonts w:eastAsia="Times New Roman" w:cs="Times New Roman"/>
                <w:b/>
                <w:bCs/>
                <w:i/>
                <w:iCs/>
                <w:color w:val="4A4A4A"/>
                <w:sz w:val="21"/>
                <w:szCs w:val="21"/>
                <w:lang w:eastAsia="en-GB"/>
              </w:rPr>
              <w:t>Coverage of Measles containing vaccine</w:t>
            </w:r>
            <w:r w:rsidRPr="00FC6AB0">
              <w:rPr>
                <w:rFonts w:eastAsia="Times New Roman" w:cs="Times New Roman"/>
                <w:color w:val="4A4A4A"/>
                <w:sz w:val="21"/>
                <w:szCs w:val="21"/>
                <w:lang w:eastAsia="en-GB"/>
              </w:rPr>
              <w:t xml:space="preserve"> ability to deliver vaccines beyond first year of life through routine immunization services.</w:t>
            </w:r>
          </w:p>
          <w:p w14:paraId="26BF08DC" w14:textId="77777777" w:rsidR="004D11AF" w:rsidRPr="00FC6AB0" w:rsidRDefault="004D11AF" w:rsidP="00FC6AB0">
            <w:pPr>
              <w:pStyle w:val="ListParagraph"/>
              <w:numPr>
                <w:ilvl w:val="0"/>
                <w:numId w:val="6"/>
              </w:numPr>
              <w:shd w:val="clear" w:color="auto" w:fill="FFFFFF"/>
              <w:spacing w:after="0"/>
              <w:rPr>
                <w:rFonts w:eastAsia="Times New Roman" w:cs="Times New Roman"/>
                <w:color w:val="4A4A4A"/>
                <w:sz w:val="21"/>
                <w:szCs w:val="21"/>
                <w:lang w:eastAsia="en-GB"/>
              </w:rPr>
            </w:pPr>
            <w:r w:rsidRPr="00FC6AB0">
              <w:rPr>
                <w:rFonts w:eastAsia="Times New Roman" w:cs="Times New Roman"/>
                <w:b/>
                <w:bCs/>
                <w:i/>
                <w:iCs/>
                <w:color w:val="4A4A4A"/>
                <w:sz w:val="21"/>
                <w:szCs w:val="21"/>
                <w:lang w:eastAsia="en-GB"/>
              </w:rPr>
              <w:t>Coverage of Pneumococcal conjugate vaccine</w:t>
            </w:r>
            <w:r w:rsidRPr="00FC6AB0">
              <w:rPr>
                <w:rFonts w:eastAsia="Times New Roman" w:cs="Times New Roman"/>
                <w:color w:val="4A4A4A"/>
                <w:sz w:val="21"/>
                <w:szCs w:val="21"/>
                <w:lang w:eastAsia="en-GB"/>
              </w:rPr>
              <w:t>: adaptation of new vaccines for children</w:t>
            </w:r>
          </w:p>
          <w:p w14:paraId="6C84E827" w14:textId="18C26BD0" w:rsidR="0015178E" w:rsidRPr="00837EC7" w:rsidRDefault="004D11AF" w:rsidP="00FC6AB0">
            <w:pPr>
              <w:pStyle w:val="ListParagraph"/>
              <w:numPr>
                <w:ilvl w:val="0"/>
                <w:numId w:val="6"/>
              </w:numPr>
              <w:shd w:val="clear" w:color="auto" w:fill="FFFFFF"/>
              <w:spacing w:after="0"/>
              <w:rPr>
                <w:rFonts w:cstheme="minorHAnsi"/>
                <w:sz w:val="21"/>
                <w:szCs w:val="21"/>
              </w:rPr>
            </w:pPr>
            <w:r w:rsidRPr="00FC6AB0">
              <w:rPr>
                <w:rFonts w:eastAsia="Times New Roman" w:cs="Times New Roman"/>
                <w:b/>
                <w:bCs/>
                <w:i/>
                <w:iCs/>
                <w:color w:val="4A4A4A"/>
                <w:sz w:val="21"/>
                <w:szCs w:val="21"/>
                <w:lang w:eastAsia="en-GB"/>
              </w:rPr>
              <w:t>Coverage of HPV vaccine</w:t>
            </w:r>
            <w:r w:rsidRPr="00FC6AB0">
              <w:rPr>
                <w:rFonts w:eastAsia="Times New Roman" w:cs="Times New Roman"/>
                <w:b/>
                <w:bCs/>
                <w:color w:val="4A4A4A"/>
                <w:sz w:val="21"/>
                <w:szCs w:val="21"/>
                <w:lang w:eastAsia="en-GB"/>
              </w:rPr>
              <w:t xml:space="preserve">: </w:t>
            </w:r>
            <w:r w:rsidRPr="00FC6AB0">
              <w:rPr>
                <w:rFonts w:eastAsia="Times New Roman" w:cs="Times New Roman"/>
                <w:color w:val="4A4A4A"/>
                <w:sz w:val="21"/>
                <w:szCs w:val="21"/>
                <w:lang w:eastAsia="en-GB"/>
              </w:rPr>
              <w:t>life cycle vaccination</w:t>
            </w:r>
            <w:r w:rsidRPr="00FC6AB0">
              <w:rPr>
                <w:rFonts w:eastAsia="Times New Roman" w:cs="Times New Roman"/>
                <w:b/>
                <w:bCs/>
                <w:color w:val="4A4A4A"/>
                <w:sz w:val="21"/>
                <w:szCs w:val="21"/>
                <w:lang w:eastAsia="en-GB"/>
              </w:rPr>
              <w:t xml:space="preserve">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26D4B5F" w14:textId="1A2085DD" w:rsidR="004D11AF" w:rsidRPr="00573631" w:rsidRDefault="004D11AF" w:rsidP="0028086B">
            <w:pPr>
              <w:pStyle w:val="MHeader"/>
            </w:pPr>
            <w:r w:rsidRPr="00573631">
              <w:t xml:space="preserve">Data </w:t>
            </w:r>
            <w:r w:rsidR="0028086B">
              <w:t>s</w:t>
            </w:r>
            <w:r w:rsidRPr="00573631">
              <w:t>ources</w:t>
            </w:r>
          </w:p>
          <w:p w14:paraId="65F163BC" w14:textId="77777777" w:rsidR="004D11AF" w:rsidRPr="00573631" w:rsidRDefault="004D11AF" w:rsidP="0028086B">
            <w:pPr>
              <w:pStyle w:val="MSubHeader"/>
            </w:pPr>
            <w:r w:rsidRPr="00573631">
              <w:t>Description:</w:t>
            </w:r>
          </w:p>
          <w:p w14:paraId="788C169C" w14:textId="77777777" w:rsidR="004D11AF" w:rsidRDefault="004D11AF" w:rsidP="0028086B">
            <w:pPr>
              <w:pStyle w:val="MText"/>
            </w:pPr>
            <w:r>
              <w:t xml:space="preserve">National Health Information Systems or National Immunization systems </w:t>
            </w:r>
          </w:p>
          <w:p w14:paraId="314C4D6B" w14:textId="77777777" w:rsidR="004D11AF" w:rsidRDefault="004D11AF" w:rsidP="0028086B">
            <w:pPr>
              <w:pStyle w:val="MText"/>
            </w:pPr>
            <w:r>
              <w:t>National immunization registries</w:t>
            </w:r>
          </w:p>
          <w:p w14:paraId="571CD33E" w14:textId="168A6164" w:rsidR="0035311B" w:rsidRPr="00837EC7" w:rsidRDefault="004D11AF" w:rsidP="0028086B">
            <w:pPr>
              <w:pStyle w:val="MText"/>
              <w:rPr>
                <w:rFonts w:cstheme="minorHAnsi"/>
              </w:rPr>
            </w:pPr>
            <w:r>
              <w:t xml:space="preserve">High quality household surveys with immunization module (e.g. DHS, MICS, national in-country surveys)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8ECA960" w14:textId="77777777" w:rsidR="004D11AF" w:rsidRPr="00573631" w:rsidRDefault="004D11AF" w:rsidP="00513744">
            <w:pPr>
              <w:pStyle w:val="MSubHeader"/>
            </w:pPr>
            <w:r w:rsidRPr="00573631">
              <w:t>Collection process:</w:t>
            </w:r>
          </w:p>
          <w:p w14:paraId="60E54013" w14:textId="1E304E4C" w:rsidR="0035311B" w:rsidRPr="00837EC7" w:rsidRDefault="004D11AF" w:rsidP="004D11AF">
            <w:pPr>
              <w:pStyle w:val="Default"/>
              <w:rPr>
                <w:rFonts w:asciiTheme="minorHAnsi" w:hAnsiTheme="minorHAnsi" w:cstheme="minorHAnsi"/>
                <w:sz w:val="21"/>
                <w:szCs w:val="21"/>
              </w:rPr>
            </w:pPr>
            <w:r w:rsidRPr="00513744">
              <w:rPr>
                <w:rStyle w:val="MTextChar"/>
                <w:rFonts w:eastAsiaTheme="minorEastAsia"/>
              </w:rPr>
              <w:t xml:space="preserve">Annual data collection through established mechanism. Since 1998, in an effort to strengthen collaboration and minimize the reporting burden, WHO and UNICEF jointly collect information through a standard questionnaire (the Joint Reporting Form) sent to all Member States </w:t>
            </w:r>
            <w:hyperlink r:id="rId8" w:history="1">
              <w:r w:rsidRPr="00513744">
                <w:rPr>
                  <w:rStyle w:val="Hyperlink"/>
                  <w:rFonts w:cs="Times New Roman"/>
                  <w:sz w:val="21"/>
                  <w:szCs w:val="21"/>
                  <w:shd w:val="clear" w:color="auto" w:fill="FFFFFF"/>
                  <w:lang w:val="en-GB" w:eastAsia="en-GB"/>
                </w:rPr>
                <w:t>http://www.who.int/immunization/monitoring_surveillance/routine/reporting/en/</w:t>
              </w:r>
            </w:hyperlink>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93C432" w14:textId="77777777" w:rsidR="000835B5" w:rsidRPr="00573631" w:rsidRDefault="000835B5" w:rsidP="00513744">
            <w:pPr>
              <w:pStyle w:val="MHeader"/>
            </w:pPr>
            <w:r w:rsidRPr="00573631">
              <w:t>Calendar</w:t>
            </w:r>
          </w:p>
          <w:p w14:paraId="7EDA9B23" w14:textId="77777777" w:rsidR="000835B5" w:rsidRDefault="000835B5" w:rsidP="00513744">
            <w:pPr>
              <w:pStyle w:val="MSubHeader"/>
            </w:pPr>
            <w:r w:rsidRPr="00573631">
              <w:t>Data collection:</w:t>
            </w:r>
          </w:p>
          <w:p w14:paraId="604493E0" w14:textId="45D4E0CA" w:rsidR="0035311B" w:rsidRPr="00837EC7" w:rsidRDefault="000835B5" w:rsidP="00513744">
            <w:pPr>
              <w:pStyle w:val="MText"/>
              <w:rPr>
                <w:rFonts w:cstheme="minorHAnsi"/>
              </w:rPr>
            </w:pPr>
            <w:r>
              <w:t>Annual data collection March-May each year. Country consultation June each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19D50E1" w14:textId="77777777" w:rsidR="000835B5" w:rsidRPr="00573631" w:rsidRDefault="000835B5" w:rsidP="004B5224">
            <w:pPr>
              <w:pStyle w:val="MSubHeader"/>
            </w:pPr>
            <w:r w:rsidRPr="00573631">
              <w:t>Data release:</w:t>
            </w:r>
          </w:p>
          <w:p w14:paraId="35EF5915" w14:textId="6129CF24" w:rsidR="0035311B" w:rsidRPr="00837EC7" w:rsidRDefault="000835B5" w:rsidP="004B5224">
            <w:pPr>
              <w:pStyle w:val="MText"/>
              <w:rPr>
                <w:rFonts w:cstheme="minorHAnsi"/>
              </w:rPr>
            </w:pPr>
            <w:r>
              <w:t>15 July each year for time series 1980 – release year -1. (in July 2019 estimates from 1980-2018)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7AE2E05" w14:textId="77777777" w:rsidR="009E4F94" w:rsidRPr="00573631" w:rsidRDefault="009E4F94" w:rsidP="004B5224">
            <w:pPr>
              <w:pStyle w:val="MHeader"/>
            </w:pPr>
            <w:r w:rsidRPr="00573631">
              <w:t>Data providers</w:t>
            </w:r>
          </w:p>
          <w:p w14:paraId="49E07E1E" w14:textId="3CA6F34F" w:rsidR="0035311B" w:rsidRPr="00837EC7" w:rsidRDefault="009E4F94" w:rsidP="004B5224">
            <w:pPr>
              <w:pStyle w:val="MText"/>
              <w:rPr>
                <w:rFonts w:cstheme="minorHAnsi"/>
              </w:rPr>
            </w:pPr>
            <w:r w:rsidRPr="00424368">
              <w:t>Ministries of Health</w:t>
            </w:r>
            <w:r>
              <w:t>, Immunization programmes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788894C" w14:textId="77777777" w:rsidR="009E4F94" w:rsidRPr="00573631" w:rsidRDefault="009E4F94" w:rsidP="004B5224">
            <w:pPr>
              <w:pStyle w:val="MHeader"/>
            </w:pPr>
            <w:r w:rsidRPr="00573631">
              <w:t>Data compilers</w:t>
            </w:r>
          </w:p>
          <w:p w14:paraId="0A85CE62" w14:textId="48121444" w:rsidR="0035311B" w:rsidRPr="00837EC7" w:rsidRDefault="009E4F94" w:rsidP="004B5224">
            <w:pPr>
              <w:pStyle w:val="MText"/>
              <w:rPr>
                <w:rFonts w:cstheme="minorHAnsi"/>
              </w:rPr>
            </w:pPr>
            <w:r w:rsidRPr="00F93048">
              <w:t>WHO and UNICEF</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86F8022" w14:textId="77777777" w:rsidR="004D11AF" w:rsidRDefault="004D11AF" w:rsidP="004B5224">
            <w:pPr>
              <w:pStyle w:val="MSubHeader"/>
            </w:pPr>
            <w:r w:rsidRPr="00573631">
              <w:t>Rationale:</w:t>
            </w:r>
          </w:p>
          <w:p w14:paraId="2E3517AC" w14:textId="4DDE2BB2" w:rsidR="007F2D9F" w:rsidRPr="00837EC7" w:rsidRDefault="004D11AF" w:rsidP="004B5224">
            <w:pPr>
              <w:shd w:val="clear" w:color="auto" w:fill="FFFFFF"/>
              <w:spacing w:after="0"/>
              <w:rPr>
                <w:rFonts w:cstheme="minorHAnsi"/>
                <w:sz w:val="21"/>
                <w:szCs w:val="21"/>
              </w:rPr>
            </w:pPr>
            <w:r w:rsidRPr="004B5224">
              <w:rPr>
                <w:rStyle w:val="MTextChar"/>
                <w:rFonts w:eastAsiaTheme="minorHAnsi"/>
              </w:rPr>
              <w:t>This indicator aims to measure access to vaccines, including the newly available or underutilized vaccines, at the national level. In</w:t>
            </w:r>
            <w:r>
              <w:rPr>
                <w:rFonts w:eastAsia="Times New Roman" w:cs="Times New Roman"/>
                <w:color w:val="4A4A4A"/>
                <w:sz w:val="21"/>
                <w:szCs w:val="21"/>
                <w:lang w:eastAsia="en-GB"/>
              </w:rPr>
              <w:t xml:space="preserve"> </w:t>
            </w:r>
            <w:r w:rsidRPr="004B5224">
              <w:rPr>
                <w:rStyle w:val="MTextChar"/>
                <w:rFonts w:eastAsiaTheme="minorHAnsi"/>
              </w:rPr>
              <w:lastRenderedPageBreak/>
              <w:t xml:space="preserve">the past decades all countries added numerous new and underutilised vaccines in their national immunization schedule and there are several vaccines under final stage of development to be introduced by 2030. For monitoring diseases control and impact of vaccines it is important to measure coverage from each vaccine in national immunization schedule and the system is already in place for all national programmes, however direct measurement for proportion of population covered with all vaccines in the programme is only feasible if the country has a well-functioning national nominal immunization registry, usually an electronic one that will allow this coverage to be easily estimated. While countries will develop and strengthen immunization registries it is a need for an alternative measurement.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7DB3002" w14:textId="77777777" w:rsidR="004D11AF" w:rsidRDefault="004D11AF" w:rsidP="004B5224">
            <w:pPr>
              <w:pStyle w:val="MSubHeader"/>
            </w:pPr>
            <w:r>
              <w:t>Comments and limitations:</w:t>
            </w:r>
          </w:p>
          <w:p w14:paraId="0ECD942C" w14:textId="565807F2" w:rsidR="004D11AF" w:rsidRDefault="004D11AF" w:rsidP="004B5224">
            <w:pPr>
              <w:pStyle w:val="MText"/>
            </w:pPr>
            <w:r>
              <w:t>The rational</w:t>
            </w:r>
            <w:r w:rsidR="004B5224">
              <w:t>e</w:t>
            </w:r>
            <w:r>
              <w:t xml:space="preserve"> to select a set of vaccines reflects the ability of immunization programmes to deliver vaccines over the life cycle and to adapt new vaccines. Coverage for other WHO recommended vaccines are also available and can be provided.</w:t>
            </w:r>
          </w:p>
          <w:p w14:paraId="7FBA0E7C" w14:textId="77777777" w:rsidR="004D11AF" w:rsidRDefault="004D11AF" w:rsidP="004B5224">
            <w:pPr>
              <w:pStyle w:val="MText"/>
            </w:pPr>
          </w:p>
          <w:p w14:paraId="48EF8537" w14:textId="2B8AF1AD" w:rsidR="007F2D9F" w:rsidRPr="00837EC7" w:rsidRDefault="004D11AF" w:rsidP="0076255E">
            <w:pPr>
              <w:pStyle w:val="MText"/>
              <w:rPr>
                <w:rFonts w:cstheme="minorHAnsi"/>
              </w:rPr>
            </w:pPr>
            <w:r>
              <w:t>Given that HPV vaccine is relatively new and vaccination schedule varies from countries to country coverage estimate will be made for girls vaccinated by ag 15 and at the moment data is limited to very few countries therefore reporting will start later.</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E37E2B6" w14:textId="77777777" w:rsidR="004D11AF" w:rsidRPr="00573631" w:rsidRDefault="004D11AF" w:rsidP="001E629B">
            <w:pPr>
              <w:pStyle w:val="MHeader"/>
            </w:pPr>
            <w:r w:rsidRPr="00573631">
              <w:t>Methodology</w:t>
            </w:r>
          </w:p>
          <w:p w14:paraId="11010D4D" w14:textId="17BAC2BB" w:rsidR="004D11AF" w:rsidRPr="00573631" w:rsidRDefault="004D11AF" w:rsidP="001E629B">
            <w:pPr>
              <w:pStyle w:val="MSubHeader"/>
            </w:pPr>
            <w:r w:rsidRPr="00573631">
              <w:t xml:space="preserve">Computation </w:t>
            </w:r>
            <w:r w:rsidR="001E629B">
              <w:t>m</w:t>
            </w:r>
            <w:r w:rsidRPr="00573631">
              <w:t>ethod:</w:t>
            </w:r>
          </w:p>
          <w:p w14:paraId="5A53B8A7" w14:textId="77642722" w:rsidR="007F2D9F" w:rsidRPr="00837EC7" w:rsidRDefault="004D11AF" w:rsidP="001E629B">
            <w:pPr>
              <w:pStyle w:val="MText"/>
              <w:rPr>
                <w:rFonts w:cstheme="minorHAnsi"/>
              </w:rPr>
            </w:pPr>
            <w:r w:rsidRPr="00F40435">
              <w:t>WHO and</w:t>
            </w:r>
            <w:r>
              <w:t xml:space="preserve"> </w:t>
            </w:r>
            <w:r w:rsidRPr="00F40435">
              <w:t>UNICEF</w:t>
            </w:r>
            <w:r>
              <w:t xml:space="preserve"> </w:t>
            </w:r>
            <w:r w:rsidRPr="00F40435">
              <w:t>jointly developed a methodology</w:t>
            </w:r>
            <w:r>
              <w:t xml:space="preserve"> </w:t>
            </w:r>
            <w:r w:rsidRPr="00F40435">
              <w:t>to estimate national immunization coverag</w:t>
            </w:r>
            <w:r>
              <w:t xml:space="preserve">e form selected vaccines in 2000. </w:t>
            </w:r>
            <w:r w:rsidRPr="00F40435">
              <w:t>The methodology has been</w:t>
            </w:r>
            <w:r>
              <w:t xml:space="preserve"> </w:t>
            </w:r>
            <w:r w:rsidRPr="00F40435">
              <w:t>refined</w:t>
            </w:r>
            <w:r>
              <w:t xml:space="preserve"> </w:t>
            </w:r>
            <w:r w:rsidRPr="00F40435">
              <w:t>and reviewed by expert committees</w:t>
            </w:r>
            <w:r>
              <w:t xml:space="preserve"> </w:t>
            </w:r>
            <w:r w:rsidRPr="00F40435">
              <w:t xml:space="preserve">over time. The methodology was published and reference is available under the reference section. Estimates time series </w:t>
            </w:r>
            <w:r>
              <w:t xml:space="preserve">for WHO recommended vaccines </w:t>
            </w:r>
            <w:r w:rsidRPr="00F40435">
              <w:t>produced a</w:t>
            </w:r>
            <w:r>
              <w:t>nd published annually since 2001</w:t>
            </w:r>
            <w:r w:rsidRPr="00F40435">
              <w:t>.</w:t>
            </w:r>
            <w:r w:rsidR="001E629B">
              <w:t xml:space="preserve"> </w:t>
            </w:r>
            <w:r w:rsidRPr="00F40435">
              <w:t>The methodology uses data reported by national authorities from countries administrative systems as well as data from</w:t>
            </w:r>
            <w:r>
              <w:t xml:space="preserve"> </w:t>
            </w:r>
            <w:r w:rsidRPr="00F40435">
              <w:t xml:space="preserve">immunization or multi indicator household surveys.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8DC49C2" w14:textId="77777777" w:rsidR="004D11AF" w:rsidRPr="00573631" w:rsidRDefault="004D11AF" w:rsidP="001E629B">
            <w:pPr>
              <w:pStyle w:val="MSubHeader"/>
            </w:pPr>
            <w:r w:rsidRPr="00573631">
              <w:t>Treatment of missing values:</w:t>
            </w:r>
          </w:p>
          <w:p w14:paraId="46067C7B" w14:textId="44A64CBB" w:rsidR="004D11AF" w:rsidRPr="00DB32AD" w:rsidRDefault="004D11AF" w:rsidP="00DB32AD">
            <w:pPr>
              <w:pStyle w:val="MText"/>
              <w:numPr>
                <w:ilvl w:val="0"/>
                <w:numId w:val="7"/>
              </w:numPr>
              <w:rPr>
                <w:b/>
                <w:bCs/>
                <w:i/>
                <w:iCs/>
              </w:rPr>
            </w:pPr>
            <w:r w:rsidRPr="00DB32AD">
              <w:rPr>
                <w:b/>
                <w:bCs/>
                <w:i/>
                <w:iCs/>
              </w:rPr>
              <w:t>At country level</w:t>
            </w:r>
            <w:r w:rsidR="00DB32AD" w:rsidRPr="00DB32AD">
              <w:rPr>
                <w:b/>
                <w:bCs/>
                <w:i/>
                <w:iCs/>
              </w:rPr>
              <w:t>:</w:t>
            </w:r>
          </w:p>
          <w:p w14:paraId="01E24ED5" w14:textId="77777777" w:rsidR="004D11AF" w:rsidRPr="00F40435" w:rsidRDefault="004D11AF" w:rsidP="001E629B">
            <w:pPr>
              <w:pStyle w:val="MText"/>
            </w:pPr>
            <w:r>
              <w:t xml:space="preserve">The first data point is the first reporting year after vaccine introduction. </w:t>
            </w:r>
            <w:r w:rsidRPr="00F40435">
              <w:t>When country data are not available interpolation is used between 2 data points and extrapolation from the latest available data point.</w:t>
            </w:r>
            <w:r>
              <w:t xml:space="preserve"> </w:t>
            </w:r>
          </w:p>
          <w:p w14:paraId="61F6F42E" w14:textId="34A86A51" w:rsidR="004D11AF" w:rsidRPr="00DB32AD" w:rsidRDefault="004D11AF" w:rsidP="00DB32AD">
            <w:pPr>
              <w:pStyle w:val="MText"/>
              <w:numPr>
                <w:ilvl w:val="0"/>
                <w:numId w:val="7"/>
              </w:numPr>
              <w:rPr>
                <w:b/>
                <w:bCs/>
                <w:i/>
                <w:iCs/>
              </w:rPr>
            </w:pPr>
            <w:r w:rsidRPr="00DB32AD">
              <w:rPr>
                <w:b/>
                <w:bCs/>
                <w:i/>
                <w:iCs/>
              </w:rPr>
              <w:lastRenderedPageBreak/>
              <w:t>At regional and global levels</w:t>
            </w:r>
            <w:r w:rsidR="00DB32AD">
              <w:rPr>
                <w:b/>
                <w:bCs/>
                <w:i/>
                <w:iCs/>
              </w:rPr>
              <w:t>:</w:t>
            </w:r>
          </w:p>
          <w:p w14:paraId="55C0FDEF" w14:textId="60061F2F" w:rsidR="007F2D9F" w:rsidRPr="00837EC7" w:rsidRDefault="004D11AF" w:rsidP="001E629B">
            <w:pPr>
              <w:pStyle w:val="MText"/>
              <w:rPr>
                <w:rFonts w:cstheme="minorHAnsi"/>
              </w:rPr>
            </w:pPr>
            <w:r w:rsidRPr="00F40435">
              <w:t>Any needed imputation is done at country level. These country values can th</w:t>
            </w:r>
            <w:r>
              <w:t>e</w:t>
            </w:r>
            <w:r w:rsidRPr="00F40435">
              <w:t xml:space="preserve">n be used to compute regional and global ones.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7E44667D" w14:textId="77777777" w:rsidR="004D11AF" w:rsidRDefault="004D11AF" w:rsidP="009861C5">
            <w:pPr>
              <w:pStyle w:val="MSubHeader"/>
            </w:pPr>
            <w:r w:rsidRPr="00573631">
              <w:t>Regional aggregates:</w:t>
            </w:r>
          </w:p>
          <w:p w14:paraId="27492CB0" w14:textId="3022F682" w:rsidR="007F2D9F" w:rsidRPr="00837EC7" w:rsidRDefault="004D11AF" w:rsidP="009861C5">
            <w:pPr>
              <w:pStyle w:val="MText"/>
              <w:rPr>
                <w:rFonts w:cstheme="minorHAnsi"/>
              </w:rPr>
            </w:pPr>
            <w:r>
              <w:t xml:space="preserve">Weighted average of the country-level coverage rates where the weights are the country target population sizes based on </w:t>
            </w:r>
            <w:r w:rsidRPr="00B323AB">
              <w:t>World Population Prospects: 201</w:t>
            </w:r>
            <w:r>
              <w:t>9</w:t>
            </w:r>
            <w:r w:rsidRPr="00B323AB">
              <w:t xml:space="preserve"> revision from the UN Population Division</w:t>
            </w:r>
            <w:r>
              <w:t xml:space="preserve">. All countries from the region are included. For HPV 15 year old girls were used for calculation weighted average.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1441400" w14:textId="65EAF6F4" w:rsidR="000835B5" w:rsidRPr="00573631" w:rsidRDefault="000835B5" w:rsidP="009861C5">
            <w:pPr>
              <w:pStyle w:val="MHeader"/>
            </w:pPr>
            <w:r w:rsidRPr="00573631">
              <w:t xml:space="preserve">Data </w:t>
            </w:r>
            <w:r w:rsidR="009861C5">
              <w:t>a</w:t>
            </w:r>
            <w:r w:rsidRPr="00573631">
              <w:t>vailability</w:t>
            </w:r>
          </w:p>
          <w:p w14:paraId="1BC020C4" w14:textId="77777777" w:rsidR="000835B5" w:rsidRPr="00573631" w:rsidRDefault="000835B5" w:rsidP="009861C5">
            <w:pPr>
              <w:pStyle w:val="MSubHeader"/>
            </w:pPr>
            <w:r w:rsidRPr="00573631">
              <w:t>Description:</w:t>
            </w:r>
          </w:p>
          <w:p w14:paraId="34B5ADBC" w14:textId="77777777" w:rsidR="000835B5" w:rsidRDefault="000835B5" w:rsidP="009861C5">
            <w:pPr>
              <w:pStyle w:val="MText"/>
            </w:pPr>
            <w:r>
              <w:t xml:space="preserve">Coverage data for different vaccines are collected annually and reviewed by WHO and UNICEF inter agency expert group and estimates made for each country and each year. Data are published both on WHO and UNICEF web sites. </w:t>
            </w:r>
          </w:p>
          <w:p w14:paraId="38D6D76B" w14:textId="77777777" w:rsidR="000835B5" w:rsidRDefault="00AA0EB1" w:rsidP="009861C5">
            <w:pPr>
              <w:pStyle w:val="MText"/>
              <w:rPr>
                <w:rStyle w:val="Hyperlink"/>
              </w:rPr>
            </w:pPr>
            <w:hyperlink r:id="rId9" w:history="1">
              <w:r w:rsidR="000835B5" w:rsidRPr="00F9545F">
                <w:rPr>
                  <w:rStyle w:val="Hyperlink"/>
                  <w:snapToGrid w:val="0"/>
                  <w:lang w:eastAsia="en-US"/>
                </w:rPr>
                <w:t>http://www.who.int/immunization/ monitoring_surveillance/routine/coverage/en/index4.html</w:t>
              </w:r>
            </w:hyperlink>
            <w:r w:rsidR="000835B5">
              <w:rPr>
                <w:snapToGrid w:val="0"/>
                <w:u w:val="single"/>
                <w:lang w:eastAsia="en-US"/>
              </w:rPr>
              <w:t xml:space="preserve"> </w:t>
            </w:r>
            <w:hyperlink r:id="rId10" w:history="1">
              <w:r w:rsidR="000835B5" w:rsidRPr="00F9545F">
                <w:rPr>
                  <w:rStyle w:val="Hyperlink"/>
                </w:rPr>
                <w:t>http://www.data.unicef.org/child-health/immunization</w:t>
              </w:r>
            </w:hyperlink>
          </w:p>
          <w:p w14:paraId="251300B6" w14:textId="77777777" w:rsidR="000835B5" w:rsidRDefault="000835B5" w:rsidP="000835B5">
            <w:pPr>
              <w:shd w:val="clear" w:color="auto" w:fill="FFFFFF"/>
              <w:spacing w:after="0"/>
              <w:rPr>
                <w:rFonts w:eastAsia="Times New Roman" w:cs="Times New Roman"/>
                <w:color w:val="4A4A4A"/>
                <w:sz w:val="21"/>
                <w:szCs w:val="21"/>
                <w:lang w:eastAsia="en-GB"/>
              </w:rPr>
            </w:pPr>
          </w:p>
          <w:p w14:paraId="650EFB9D" w14:textId="74EC5F10" w:rsidR="000835B5" w:rsidRDefault="000835B5" w:rsidP="009861C5">
            <w:pPr>
              <w:pStyle w:val="MText"/>
            </w:pPr>
            <w:r>
              <w:t>Coverage for 2018</w:t>
            </w:r>
          </w:p>
          <w:tbl>
            <w:tblPr>
              <w:tblStyle w:val="TableGrid"/>
              <w:tblW w:w="0" w:type="auto"/>
              <w:jc w:val="center"/>
              <w:tblLayout w:type="fixed"/>
              <w:tblLook w:val="04A0" w:firstRow="1" w:lastRow="0" w:firstColumn="1" w:lastColumn="0" w:noHBand="0" w:noVBand="1"/>
            </w:tblPr>
            <w:tblGrid>
              <w:gridCol w:w="4219"/>
              <w:gridCol w:w="992"/>
              <w:gridCol w:w="993"/>
              <w:gridCol w:w="992"/>
              <w:gridCol w:w="992"/>
            </w:tblGrid>
            <w:tr w:rsidR="00AA0EB1" w14:paraId="53F13FFE" w14:textId="77777777" w:rsidTr="003C7B6F">
              <w:trPr>
                <w:jc w:val="center"/>
              </w:trPr>
              <w:tc>
                <w:tcPr>
                  <w:tcW w:w="4219" w:type="dxa"/>
                  <w:vAlign w:val="bottom"/>
                </w:tcPr>
                <w:p w14:paraId="49E896A0" w14:textId="77777777" w:rsidR="00AA0EB1" w:rsidRDefault="00AA0EB1" w:rsidP="00AA0EB1">
                  <w:pPr>
                    <w:pStyle w:val="MText"/>
                    <w:rPr>
                      <w:rFonts w:ascii="Calibri" w:hAnsi="Calibri"/>
                      <w:color w:val="000000"/>
                    </w:rPr>
                  </w:pPr>
                </w:p>
              </w:tc>
              <w:tc>
                <w:tcPr>
                  <w:tcW w:w="992" w:type="dxa"/>
                </w:tcPr>
                <w:p w14:paraId="7AE74A8B" w14:textId="77777777" w:rsidR="00AA0EB1" w:rsidRDefault="00AA0EB1" w:rsidP="00AA0EB1">
                  <w:pPr>
                    <w:pStyle w:val="MText"/>
                  </w:pPr>
                  <w:r>
                    <w:t>DTP3</w:t>
                  </w:r>
                </w:p>
              </w:tc>
              <w:tc>
                <w:tcPr>
                  <w:tcW w:w="993" w:type="dxa"/>
                </w:tcPr>
                <w:p w14:paraId="1623BAAC" w14:textId="77777777" w:rsidR="00AA0EB1" w:rsidRDefault="00AA0EB1" w:rsidP="00AA0EB1">
                  <w:pPr>
                    <w:pStyle w:val="MText"/>
                  </w:pPr>
                  <w:r>
                    <w:t>MCV2</w:t>
                  </w:r>
                </w:p>
              </w:tc>
              <w:tc>
                <w:tcPr>
                  <w:tcW w:w="992" w:type="dxa"/>
                </w:tcPr>
                <w:p w14:paraId="73BD1BD8" w14:textId="77777777" w:rsidR="00AA0EB1" w:rsidRDefault="00AA0EB1" w:rsidP="00AA0EB1">
                  <w:pPr>
                    <w:pStyle w:val="MText"/>
                  </w:pPr>
                  <w:r>
                    <w:t xml:space="preserve">PCV3 </w:t>
                  </w:r>
                </w:p>
              </w:tc>
              <w:tc>
                <w:tcPr>
                  <w:tcW w:w="992" w:type="dxa"/>
                </w:tcPr>
                <w:p w14:paraId="38E2129F" w14:textId="77777777" w:rsidR="00AA0EB1" w:rsidRDefault="00AA0EB1" w:rsidP="00AA0EB1">
                  <w:pPr>
                    <w:pStyle w:val="MText"/>
                  </w:pPr>
                  <w:r>
                    <w:t>HPV</w:t>
                  </w:r>
                </w:p>
              </w:tc>
            </w:tr>
            <w:tr w:rsidR="00AA0EB1" w14:paraId="4FA4A795" w14:textId="77777777" w:rsidTr="003C7B6F">
              <w:trPr>
                <w:jc w:val="center"/>
              </w:trPr>
              <w:tc>
                <w:tcPr>
                  <w:tcW w:w="4219" w:type="dxa"/>
                  <w:vAlign w:val="bottom"/>
                </w:tcPr>
                <w:p w14:paraId="6930D221" w14:textId="77777777" w:rsidR="00AA0EB1" w:rsidRPr="008B5A9D" w:rsidRDefault="00AA0EB1" w:rsidP="00AA0EB1">
                  <w:pPr>
                    <w:pStyle w:val="MText"/>
                  </w:pPr>
                  <w:r w:rsidRPr="008B5A9D">
                    <w:t>Global</w:t>
                  </w:r>
                </w:p>
              </w:tc>
              <w:tc>
                <w:tcPr>
                  <w:tcW w:w="992" w:type="dxa"/>
                  <w:vAlign w:val="bottom"/>
                </w:tcPr>
                <w:p w14:paraId="10FA3A8C" w14:textId="77777777" w:rsidR="00AA0EB1" w:rsidRPr="008B5A9D" w:rsidRDefault="00AA0EB1" w:rsidP="00AA0EB1">
                  <w:pPr>
                    <w:pStyle w:val="MText"/>
                  </w:pPr>
                  <w:r>
                    <w:t>86%</w:t>
                  </w:r>
                </w:p>
              </w:tc>
              <w:tc>
                <w:tcPr>
                  <w:tcW w:w="993" w:type="dxa"/>
                  <w:vAlign w:val="bottom"/>
                </w:tcPr>
                <w:p w14:paraId="6AA4B851" w14:textId="77777777" w:rsidR="00AA0EB1" w:rsidRPr="008B5A9D" w:rsidRDefault="00AA0EB1" w:rsidP="00AA0EB1">
                  <w:pPr>
                    <w:pStyle w:val="MText"/>
                  </w:pPr>
                  <w:r>
                    <w:t>69%</w:t>
                  </w:r>
                </w:p>
              </w:tc>
              <w:tc>
                <w:tcPr>
                  <w:tcW w:w="992" w:type="dxa"/>
                  <w:vAlign w:val="bottom"/>
                </w:tcPr>
                <w:p w14:paraId="4C3FE2C0" w14:textId="77777777" w:rsidR="00AA0EB1" w:rsidRPr="008B5A9D" w:rsidRDefault="00AA0EB1" w:rsidP="00AA0EB1">
                  <w:pPr>
                    <w:pStyle w:val="MText"/>
                  </w:pPr>
                  <w:r>
                    <w:t>47%</w:t>
                  </w:r>
                </w:p>
              </w:tc>
              <w:tc>
                <w:tcPr>
                  <w:tcW w:w="992" w:type="dxa"/>
                </w:tcPr>
                <w:p w14:paraId="49EACC19" w14:textId="77777777" w:rsidR="00AA0EB1" w:rsidRDefault="00AA0EB1" w:rsidP="00AA0EB1">
                  <w:pPr>
                    <w:pStyle w:val="MText"/>
                  </w:pPr>
                  <w:r>
                    <w:t>12%</w:t>
                  </w:r>
                </w:p>
              </w:tc>
            </w:tr>
            <w:tr w:rsidR="00AA0EB1" w:rsidRPr="008B5A9D" w14:paraId="4368E7BF" w14:textId="77777777" w:rsidTr="003C7B6F">
              <w:trPr>
                <w:jc w:val="center"/>
              </w:trPr>
              <w:tc>
                <w:tcPr>
                  <w:tcW w:w="4219" w:type="dxa"/>
                  <w:vAlign w:val="bottom"/>
                </w:tcPr>
                <w:p w14:paraId="7ABDEA6C" w14:textId="77777777" w:rsidR="00AA0EB1" w:rsidRPr="008B5A9D" w:rsidRDefault="00AA0EB1" w:rsidP="00AA0EB1">
                  <w:pPr>
                    <w:pStyle w:val="MText"/>
                  </w:pPr>
                  <w:r w:rsidRPr="008B5A9D">
                    <w:t xml:space="preserve">Australia and New Zealand </w:t>
                  </w:r>
                </w:p>
              </w:tc>
              <w:tc>
                <w:tcPr>
                  <w:tcW w:w="992" w:type="dxa"/>
                  <w:vAlign w:val="bottom"/>
                </w:tcPr>
                <w:p w14:paraId="62D735A2" w14:textId="77777777" w:rsidR="00AA0EB1" w:rsidRPr="008B5A9D" w:rsidRDefault="00AA0EB1" w:rsidP="00AA0EB1">
                  <w:pPr>
                    <w:pStyle w:val="MText"/>
                  </w:pPr>
                  <w:r w:rsidRPr="008B5A9D">
                    <w:t>9</w:t>
                  </w:r>
                  <w:r>
                    <w:t>5</w:t>
                  </w:r>
                  <w:r w:rsidRPr="008B5A9D">
                    <w:t>%</w:t>
                  </w:r>
                </w:p>
              </w:tc>
              <w:tc>
                <w:tcPr>
                  <w:tcW w:w="993" w:type="dxa"/>
                  <w:vAlign w:val="bottom"/>
                </w:tcPr>
                <w:p w14:paraId="75316030" w14:textId="77777777" w:rsidR="00AA0EB1" w:rsidRPr="008B5A9D" w:rsidRDefault="00AA0EB1" w:rsidP="00AA0EB1">
                  <w:pPr>
                    <w:pStyle w:val="MText"/>
                  </w:pPr>
                  <w:r>
                    <w:t>93</w:t>
                  </w:r>
                  <w:r w:rsidRPr="008B5A9D">
                    <w:t>%</w:t>
                  </w:r>
                </w:p>
              </w:tc>
              <w:tc>
                <w:tcPr>
                  <w:tcW w:w="992" w:type="dxa"/>
                  <w:vAlign w:val="bottom"/>
                </w:tcPr>
                <w:p w14:paraId="02441790" w14:textId="77777777" w:rsidR="00AA0EB1" w:rsidRPr="008B5A9D" w:rsidRDefault="00AA0EB1" w:rsidP="00AA0EB1">
                  <w:pPr>
                    <w:pStyle w:val="MText"/>
                  </w:pPr>
                  <w:r w:rsidRPr="008B5A9D">
                    <w:t>9</w:t>
                  </w:r>
                  <w:r>
                    <w:t>5</w:t>
                  </w:r>
                  <w:r w:rsidRPr="008B5A9D">
                    <w:t>%</w:t>
                  </w:r>
                </w:p>
              </w:tc>
              <w:tc>
                <w:tcPr>
                  <w:tcW w:w="992" w:type="dxa"/>
                </w:tcPr>
                <w:p w14:paraId="0948A830" w14:textId="77777777" w:rsidR="00AA0EB1" w:rsidRPr="008B5A9D" w:rsidRDefault="00AA0EB1" w:rsidP="00AA0EB1">
                  <w:pPr>
                    <w:pStyle w:val="MText"/>
                  </w:pPr>
                  <w:r>
                    <w:t>76%</w:t>
                  </w:r>
                </w:p>
              </w:tc>
            </w:tr>
            <w:tr w:rsidR="00AA0EB1" w:rsidRPr="008B5A9D" w14:paraId="69A3A397" w14:textId="77777777" w:rsidTr="003C7B6F">
              <w:trPr>
                <w:jc w:val="center"/>
              </w:trPr>
              <w:tc>
                <w:tcPr>
                  <w:tcW w:w="4219" w:type="dxa"/>
                  <w:vAlign w:val="bottom"/>
                </w:tcPr>
                <w:p w14:paraId="2A8F5E99" w14:textId="77777777" w:rsidR="00AA0EB1" w:rsidRPr="008B5A9D" w:rsidRDefault="00AA0EB1" w:rsidP="00AA0EB1">
                  <w:pPr>
                    <w:pStyle w:val="MText"/>
                  </w:pPr>
                  <w:r w:rsidRPr="008B5A9D">
                    <w:t xml:space="preserve">Central Asia and Southern Asia </w:t>
                  </w:r>
                </w:p>
              </w:tc>
              <w:tc>
                <w:tcPr>
                  <w:tcW w:w="992" w:type="dxa"/>
                  <w:vAlign w:val="bottom"/>
                </w:tcPr>
                <w:p w14:paraId="592CE46E" w14:textId="77777777" w:rsidR="00AA0EB1" w:rsidRPr="008B5A9D" w:rsidRDefault="00AA0EB1" w:rsidP="00AA0EB1">
                  <w:pPr>
                    <w:pStyle w:val="MText"/>
                  </w:pPr>
                  <w:r w:rsidRPr="008B5A9D">
                    <w:t>8</w:t>
                  </w:r>
                  <w:r>
                    <w:t>8</w:t>
                  </w:r>
                  <w:r w:rsidRPr="008B5A9D">
                    <w:t>%</w:t>
                  </w:r>
                </w:p>
              </w:tc>
              <w:tc>
                <w:tcPr>
                  <w:tcW w:w="993" w:type="dxa"/>
                  <w:vAlign w:val="bottom"/>
                </w:tcPr>
                <w:p w14:paraId="2A44296D" w14:textId="77777777" w:rsidR="00AA0EB1" w:rsidRPr="008B5A9D" w:rsidRDefault="00AA0EB1" w:rsidP="00AA0EB1">
                  <w:pPr>
                    <w:pStyle w:val="MText"/>
                  </w:pPr>
                  <w:r>
                    <w:t>79</w:t>
                  </w:r>
                  <w:r w:rsidRPr="008B5A9D">
                    <w:t>%</w:t>
                  </w:r>
                </w:p>
              </w:tc>
              <w:tc>
                <w:tcPr>
                  <w:tcW w:w="992" w:type="dxa"/>
                  <w:vAlign w:val="bottom"/>
                </w:tcPr>
                <w:p w14:paraId="13F60FCB" w14:textId="77777777" w:rsidR="00AA0EB1" w:rsidRPr="008B5A9D" w:rsidRDefault="00AA0EB1" w:rsidP="00AA0EB1">
                  <w:pPr>
                    <w:pStyle w:val="MText"/>
                  </w:pPr>
                  <w:r>
                    <w:t>30</w:t>
                  </w:r>
                  <w:r w:rsidRPr="008B5A9D">
                    <w:t>%</w:t>
                  </w:r>
                </w:p>
              </w:tc>
              <w:tc>
                <w:tcPr>
                  <w:tcW w:w="992" w:type="dxa"/>
                </w:tcPr>
                <w:p w14:paraId="61C8A660" w14:textId="77777777" w:rsidR="00AA0EB1" w:rsidRPr="008B5A9D" w:rsidRDefault="00AA0EB1" w:rsidP="00AA0EB1">
                  <w:pPr>
                    <w:pStyle w:val="MText"/>
                  </w:pPr>
                  <w:r>
                    <w:t>1%</w:t>
                  </w:r>
                </w:p>
              </w:tc>
            </w:tr>
            <w:tr w:rsidR="00AA0EB1" w:rsidRPr="008B5A9D" w14:paraId="617C7765" w14:textId="77777777" w:rsidTr="003C7B6F">
              <w:trPr>
                <w:jc w:val="center"/>
              </w:trPr>
              <w:tc>
                <w:tcPr>
                  <w:tcW w:w="4219" w:type="dxa"/>
                  <w:vAlign w:val="bottom"/>
                </w:tcPr>
                <w:p w14:paraId="45C7B537" w14:textId="77777777" w:rsidR="00AA0EB1" w:rsidRPr="008B5A9D" w:rsidRDefault="00AA0EB1" w:rsidP="00AA0EB1">
                  <w:pPr>
                    <w:pStyle w:val="MText"/>
                  </w:pPr>
                  <w:r w:rsidRPr="008B5A9D">
                    <w:t>Eastern Asia</w:t>
                  </w:r>
                  <w:r>
                    <w:t xml:space="preserve"> </w:t>
                  </w:r>
                  <w:r w:rsidRPr="008B5A9D">
                    <w:t xml:space="preserve">and South-eastern Asia </w:t>
                  </w:r>
                </w:p>
              </w:tc>
              <w:tc>
                <w:tcPr>
                  <w:tcW w:w="992" w:type="dxa"/>
                  <w:vAlign w:val="bottom"/>
                </w:tcPr>
                <w:p w14:paraId="197FE543" w14:textId="77777777" w:rsidR="00AA0EB1" w:rsidRPr="008B5A9D" w:rsidRDefault="00AA0EB1" w:rsidP="00AA0EB1">
                  <w:pPr>
                    <w:pStyle w:val="MText"/>
                  </w:pPr>
                  <w:r>
                    <w:t>91</w:t>
                  </w:r>
                  <w:r w:rsidRPr="008B5A9D">
                    <w:t>%</w:t>
                  </w:r>
                </w:p>
              </w:tc>
              <w:tc>
                <w:tcPr>
                  <w:tcW w:w="993" w:type="dxa"/>
                  <w:vAlign w:val="bottom"/>
                </w:tcPr>
                <w:p w14:paraId="5A8AEC7E" w14:textId="77777777" w:rsidR="00AA0EB1" w:rsidRPr="008B5A9D" w:rsidRDefault="00AA0EB1" w:rsidP="00AA0EB1">
                  <w:pPr>
                    <w:pStyle w:val="MText"/>
                  </w:pPr>
                  <w:r>
                    <w:t>88</w:t>
                  </w:r>
                  <w:r w:rsidRPr="008B5A9D">
                    <w:t>%</w:t>
                  </w:r>
                </w:p>
              </w:tc>
              <w:tc>
                <w:tcPr>
                  <w:tcW w:w="992" w:type="dxa"/>
                  <w:vAlign w:val="bottom"/>
                </w:tcPr>
                <w:p w14:paraId="1E9F7D9C" w14:textId="77777777" w:rsidR="00AA0EB1" w:rsidRPr="008B5A9D" w:rsidRDefault="00AA0EB1" w:rsidP="00AA0EB1">
                  <w:pPr>
                    <w:pStyle w:val="MText"/>
                  </w:pPr>
                  <w:r w:rsidRPr="008B5A9D">
                    <w:t>1</w:t>
                  </w:r>
                  <w:r>
                    <w:t>3</w:t>
                  </w:r>
                  <w:r w:rsidRPr="008B5A9D">
                    <w:t>%</w:t>
                  </w:r>
                </w:p>
              </w:tc>
              <w:tc>
                <w:tcPr>
                  <w:tcW w:w="992" w:type="dxa"/>
                </w:tcPr>
                <w:p w14:paraId="67A2895C" w14:textId="77777777" w:rsidR="00AA0EB1" w:rsidRPr="008B5A9D" w:rsidRDefault="00AA0EB1" w:rsidP="00AA0EB1">
                  <w:pPr>
                    <w:pStyle w:val="MText"/>
                  </w:pPr>
                  <w:r>
                    <w:t>3%</w:t>
                  </w:r>
                </w:p>
              </w:tc>
            </w:tr>
            <w:tr w:rsidR="00AA0EB1" w14:paraId="762A9643" w14:textId="77777777" w:rsidTr="003C7B6F">
              <w:trPr>
                <w:jc w:val="center"/>
              </w:trPr>
              <w:tc>
                <w:tcPr>
                  <w:tcW w:w="4219" w:type="dxa"/>
                  <w:vAlign w:val="bottom"/>
                </w:tcPr>
                <w:p w14:paraId="7EFD49E2" w14:textId="77777777" w:rsidR="00AA0EB1" w:rsidRPr="008B5A9D" w:rsidRDefault="00AA0EB1" w:rsidP="00AA0EB1">
                  <w:pPr>
                    <w:pStyle w:val="MText"/>
                  </w:pPr>
                  <w:r w:rsidRPr="008B5A9D">
                    <w:t xml:space="preserve">Latin America &amp; the Caribbean </w:t>
                  </w:r>
                </w:p>
              </w:tc>
              <w:tc>
                <w:tcPr>
                  <w:tcW w:w="992" w:type="dxa"/>
                  <w:vAlign w:val="bottom"/>
                </w:tcPr>
                <w:p w14:paraId="56086E64" w14:textId="77777777" w:rsidR="00AA0EB1" w:rsidRPr="008B5A9D" w:rsidRDefault="00AA0EB1" w:rsidP="00AA0EB1">
                  <w:pPr>
                    <w:pStyle w:val="MText"/>
                  </w:pPr>
                  <w:r>
                    <w:t>85</w:t>
                  </w:r>
                  <w:r w:rsidRPr="008B5A9D">
                    <w:t>%</w:t>
                  </w:r>
                </w:p>
              </w:tc>
              <w:tc>
                <w:tcPr>
                  <w:tcW w:w="993" w:type="dxa"/>
                  <w:vAlign w:val="bottom"/>
                </w:tcPr>
                <w:p w14:paraId="1C7FE5F2" w14:textId="77777777" w:rsidR="00AA0EB1" w:rsidRPr="008B5A9D" w:rsidRDefault="00AA0EB1" w:rsidP="00AA0EB1">
                  <w:pPr>
                    <w:pStyle w:val="MText"/>
                  </w:pPr>
                  <w:r>
                    <w:t>77</w:t>
                  </w:r>
                  <w:r w:rsidRPr="008B5A9D">
                    <w:t>%</w:t>
                  </w:r>
                </w:p>
              </w:tc>
              <w:tc>
                <w:tcPr>
                  <w:tcW w:w="992" w:type="dxa"/>
                  <w:vAlign w:val="bottom"/>
                </w:tcPr>
                <w:p w14:paraId="71A532CD" w14:textId="77777777" w:rsidR="00AA0EB1" w:rsidRPr="008B5A9D" w:rsidRDefault="00AA0EB1" w:rsidP="00AA0EB1">
                  <w:pPr>
                    <w:pStyle w:val="MText"/>
                  </w:pPr>
                  <w:r>
                    <w:t>79</w:t>
                  </w:r>
                  <w:r w:rsidRPr="008B5A9D">
                    <w:t>%</w:t>
                  </w:r>
                </w:p>
              </w:tc>
              <w:tc>
                <w:tcPr>
                  <w:tcW w:w="992" w:type="dxa"/>
                </w:tcPr>
                <w:p w14:paraId="699AE405" w14:textId="77777777" w:rsidR="00AA0EB1" w:rsidRDefault="00AA0EB1" w:rsidP="00AA0EB1">
                  <w:pPr>
                    <w:pStyle w:val="MText"/>
                  </w:pPr>
                  <w:r>
                    <w:t>61%</w:t>
                  </w:r>
                </w:p>
              </w:tc>
            </w:tr>
            <w:tr w:rsidR="00AA0EB1" w14:paraId="1F004D8E" w14:textId="77777777" w:rsidTr="003C7B6F">
              <w:trPr>
                <w:jc w:val="center"/>
              </w:trPr>
              <w:tc>
                <w:tcPr>
                  <w:tcW w:w="4219" w:type="dxa"/>
                  <w:vAlign w:val="bottom"/>
                </w:tcPr>
                <w:p w14:paraId="5AD3919B" w14:textId="77777777" w:rsidR="00AA0EB1" w:rsidRPr="008B5A9D" w:rsidRDefault="00AA0EB1" w:rsidP="00AA0EB1">
                  <w:pPr>
                    <w:pStyle w:val="MText"/>
                  </w:pPr>
                  <w:r w:rsidRPr="008B5A9D">
                    <w:t xml:space="preserve">Northern America and Europe </w:t>
                  </w:r>
                </w:p>
              </w:tc>
              <w:tc>
                <w:tcPr>
                  <w:tcW w:w="992" w:type="dxa"/>
                  <w:vAlign w:val="bottom"/>
                </w:tcPr>
                <w:p w14:paraId="0185DE86" w14:textId="77777777" w:rsidR="00AA0EB1" w:rsidRPr="008B5A9D" w:rsidRDefault="00AA0EB1" w:rsidP="00AA0EB1">
                  <w:pPr>
                    <w:pStyle w:val="MText"/>
                  </w:pPr>
                  <w:r>
                    <w:t>93</w:t>
                  </w:r>
                  <w:r w:rsidRPr="008B5A9D">
                    <w:t>%</w:t>
                  </w:r>
                </w:p>
              </w:tc>
              <w:tc>
                <w:tcPr>
                  <w:tcW w:w="993" w:type="dxa"/>
                  <w:vAlign w:val="bottom"/>
                </w:tcPr>
                <w:p w14:paraId="07B66DC9" w14:textId="77777777" w:rsidR="00AA0EB1" w:rsidRPr="008B5A9D" w:rsidRDefault="00AA0EB1" w:rsidP="00AA0EB1">
                  <w:pPr>
                    <w:pStyle w:val="MText"/>
                  </w:pPr>
                  <w:r>
                    <w:t>91</w:t>
                  </w:r>
                  <w:r w:rsidRPr="008B5A9D">
                    <w:t>%</w:t>
                  </w:r>
                </w:p>
              </w:tc>
              <w:tc>
                <w:tcPr>
                  <w:tcW w:w="992" w:type="dxa"/>
                  <w:vAlign w:val="bottom"/>
                </w:tcPr>
                <w:p w14:paraId="7C9E66D9" w14:textId="77777777" w:rsidR="00AA0EB1" w:rsidRPr="008B5A9D" w:rsidRDefault="00AA0EB1" w:rsidP="00AA0EB1">
                  <w:pPr>
                    <w:pStyle w:val="MText"/>
                  </w:pPr>
                  <w:r>
                    <w:t>81</w:t>
                  </w:r>
                  <w:r w:rsidRPr="008B5A9D">
                    <w:t>%</w:t>
                  </w:r>
                </w:p>
              </w:tc>
              <w:tc>
                <w:tcPr>
                  <w:tcW w:w="992" w:type="dxa"/>
                </w:tcPr>
                <w:p w14:paraId="63DC8C54" w14:textId="77777777" w:rsidR="00AA0EB1" w:rsidRDefault="00AA0EB1" w:rsidP="00AA0EB1">
                  <w:pPr>
                    <w:pStyle w:val="MText"/>
                  </w:pPr>
                  <w:r>
                    <w:t>35%</w:t>
                  </w:r>
                </w:p>
              </w:tc>
            </w:tr>
            <w:tr w:rsidR="00AA0EB1" w14:paraId="51776F9A" w14:textId="77777777" w:rsidTr="003C7B6F">
              <w:trPr>
                <w:jc w:val="center"/>
              </w:trPr>
              <w:tc>
                <w:tcPr>
                  <w:tcW w:w="4219" w:type="dxa"/>
                  <w:vAlign w:val="bottom"/>
                </w:tcPr>
                <w:p w14:paraId="69AC0EA9" w14:textId="77777777" w:rsidR="00AA0EB1" w:rsidRPr="008B5A9D" w:rsidRDefault="00AA0EB1" w:rsidP="00AA0EB1">
                  <w:pPr>
                    <w:pStyle w:val="MText"/>
                  </w:pPr>
                  <w:r w:rsidRPr="008B5A9D">
                    <w:t xml:space="preserve">Oceania </w:t>
                  </w:r>
                </w:p>
              </w:tc>
              <w:tc>
                <w:tcPr>
                  <w:tcW w:w="992" w:type="dxa"/>
                  <w:vAlign w:val="bottom"/>
                </w:tcPr>
                <w:p w14:paraId="08BB4D94" w14:textId="77777777" w:rsidR="00AA0EB1" w:rsidRPr="008B5A9D" w:rsidRDefault="00AA0EB1" w:rsidP="00AA0EB1">
                  <w:pPr>
                    <w:pStyle w:val="MText"/>
                  </w:pPr>
                  <w:r>
                    <w:t>66</w:t>
                  </w:r>
                  <w:r w:rsidRPr="008B5A9D">
                    <w:t>%</w:t>
                  </w:r>
                </w:p>
              </w:tc>
              <w:tc>
                <w:tcPr>
                  <w:tcW w:w="993" w:type="dxa"/>
                  <w:vAlign w:val="bottom"/>
                </w:tcPr>
                <w:p w14:paraId="149BD4A0" w14:textId="77777777" w:rsidR="00AA0EB1" w:rsidRPr="008B5A9D" w:rsidRDefault="00AA0EB1" w:rsidP="00AA0EB1">
                  <w:pPr>
                    <w:pStyle w:val="MText"/>
                  </w:pPr>
                  <w:r>
                    <w:t>13</w:t>
                  </w:r>
                  <w:r w:rsidRPr="008B5A9D">
                    <w:t>%</w:t>
                  </w:r>
                </w:p>
              </w:tc>
              <w:tc>
                <w:tcPr>
                  <w:tcW w:w="992" w:type="dxa"/>
                  <w:vAlign w:val="bottom"/>
                </w:tcPr>
                <w:p w14:paraId="3938B7E5" w14:textId="77777777" w:rsidR="00AA0EB1" w:rsidRPr="008B5A9D" w:rsidRDefault="00AA0EB1" w:rsidP="00AA0EB1">
                  <w:pPr>
                    <w:pStyle w:val="MText"/>
                  </w:pPr>
                  <w:r>
                    <w:t>48</w:t>
                  </w:r>
                  <w:r w:rsidRPr="008B5A9D">
                    <w:t>%</w:t>
                  </w:r>
                </w:p>
              </w:tc>
              <w:tc>
                <w:tcPr>
                  <w:tcW w:w="992" w:type="dxa"/>
                </w:tcPr>
                <w:p w14:paraId="4FF3A7C1" w14:textId="77777777" w:rsidR="00AA0EB1" w:rsidRDefault="00AA0EB1" w:rsidP="00AA0EB1">
                  <w:pPr>
                    <w:pStyle w:val="MText"/>
                  </w:pPr>
                  <w:r>
                    <w:t>4%</w:t>
                  </w:r>
                </w:p>
              </w:tc>
            </w:tr>
            <w:tr w:rsidR="00AA0EB1" w:rsidRPr="008B5A9D" w14:paraId="26DE1D80" w14:textId="77777777" w:rsidTr="003C7B6F">
              <w:trPr>
                <w:jc w:val="center"/>
              </w:trPr>
              <w:tc>
                <w:tcPr>
                  <w:tcW w:w="4219" w:type="dxa"/>
                  <w:vAlign w:val="bottom"/>
                </w:tcPr>
                <w:p w14:paraId="6E0154A3" w14:textId="77777777" w:rsidR="00AA0EB1" w:rsidRPr="008B5A9D" w:rsidRDefault="00AA0EB1" w:rsidP="00AA0EB1">
                  <w:pPr>
                    <w:pStyle w:val="MText"/>
                  </w:pPr>
                  <w:r w:rsidRPr="008B5A9D">
                    <w:t xml:space="preserve">Sub-Saharan Africa </w:t>
                  </w:r>
                </w:p>
              </w:tc>
              <w:tc>
                <w:tcPr>
                  <w:tcW w:w="992" w:type="dxa"/>
                  <w:vAlign w:val="bottom"/>
                </w:tcPr>
                <w:p w14:paraId="4418EE6C" w14:textId="77777777" w:rsidR="00AA0EB1" w:rsidRPr="008B5A9D" w:rsidRDefault="00AA0EB1" w:rsidP="00AA0EB1">
                  <w:pPr>
                    <w:pStyle w:val="MText"/>
                  </w:pPr>
                  <w:r w:rsidRPr="008B5A9D">
                    <w:t>7</w:t>
                  </w:r>
                  <w:r>
                    <w:t>5</w:t>
                  </w:r>
                  <w:r w:rsidRPr="008B5A9D">
                    <w:t>%</w:t>
                  </w:r>
                </w:p>
              </w:tc>
              <w:tc>
                <w:tcPr>
                  <w:tcW w:w="993" w:type="dxa"/>
                  <w:vAlign w:val="bottom"/>
                </w:tcPr>
                <w:p w14:paraId="0B7F6CCB" w14:textId="77777777" w:rsidR="00AA0EB1" w:rsidRPr="008B5A9D" w:rsidRDefault="00AA0EB1" w:rsidP="00AA0EB1">
                  <w:pPr>
                    <w:pStyle w:val="MText"/>
                  </w:pPr>
                  <w:r>
                    <w:t>24</w:t>
                  </w:r>
                  <w:r w:rsidRPr="008B5A9D">
                    <w:t>%</w:t>
                  </w:r>
                </w:p>
              </w:tc>
              <w:tc>
                <w:tcPr>
                  <w:tcW w:w="992" w:type="dxa"/>
                  <w:vAlign w:val="bottom"/>
                </w:tcPr>
                <w:p w14:paraId="327D6D21" w14:textId="77777777" w:rsidR="00AA0EB1" w:rsidRPr="008B5A9D" w:rsidRDefault="00AA0EB1" w:rsidP="00AA0EB1">
                  <w:pPr>
                    <w:pStyle w:val="MText"/>
                  </w:pPr>
                  <w:r>
                    <w:t>71</w:t>
                  </w:r>
                  <w:r w:rsidRPr="008B5A9D">
                    <w:t>%</w:t>
                  </w:r>
                </w:p>
              </w:tc>
              <w:tc>
                <w:tcPr>
                  <w:tcW w:w="992" w:type="dxa"/>
                </w:tcPr>
                <w:p w14:paraId="10D06C79" w14:textId="77777777" w:rsidR="00AA0EB1" w:rsidRPr="008B5A9D" w:rsidRDefault="00AA0EB1" w:rsidP="00AA0EB1">
                  <w:pPr>
                    <w:pStyle w:val="MText"/>
                  </w:pPr>
                  <w:r>
                    <w:t>8%</w:t>
                  </w:r>
                </w:p>
              </w:tc>
            </w:tr>
            <w:tr w:rsidR="00AA0EB1" w:rsidRPr="008B5A9D" w14:paraId="5064C4F4" w14:textId="77777777" w:rsidTr="003C7B6F">
              <w:trPr>
                <w:jc w:val="center"/>
              </w:trPr>
              <w:tc>
                <w:tcPr>
                  <w:tcW w:w="4219" w:type="dxa"/>
                  <w:vAlign w:val="bottom"/>
                </w:tcPr>
                <w:p w14:paraId="321E6C2D" w14:textId="77777777" w:rsidR="00AA0EB1" w:rsidRPr="008B5A9D" w:rsidRDefault="00AA0EB1" w:rsidP="00AA0EB1">
                  <w:pPr>
                    <w:pStyle w:val="MText"/>
                  </w:pPr>
                  <w:r w:rsidRPr="008B5A9D">
                    <w:lastRenderedPageBreak/>
                    <w:t>Western Asia</w:t>
                  </w:r>
                  <w:r>
                    <w:t xml:space="preserve"> </w:t>
                  </w:r>
                  <w:r w:rsidRPr="008B5A9D">
                    <w:t>and Northern Africa (M49)</w:t>
                  </w:r>
                </w:p>
              </w:tc>
              <w:tc>
                <w:tcPr>
                  <w:tcW w:w="992" w:type="dxa"/>
                  <w:vAlign w:val="bottom"/>
                </w:tcPr>
                <w:p w14:paraId="5428C86C" w14:textId="77777777" w:rsidR="00AA0EB1" w:rsidRPr="008B5A9D" w:rsidRDefault="00AA0EB1" w:rsidP="00AA0EB1">
                  <w:pPr>
                    <w:pStyle w:val="MText"/>
                  </w:pPr>
                  <w:r>
                    <w:t>90</w:t>
                  </w:r>
                  <w:r w:rsidRPr="008B5A9D">
                    <w:t>%</w:t>
                  </w:r>
                </w:p>
              </w:tc>
              <w:tc>
                <w:tcPr>
                  <w:tcW w:w="993" w:type="dxa"/>
                  <w:vAlign w:val="bottom"/>
                </w:tcPr>
                <w:p w14:paraId="3B9DBB6A" w14:textId="77777777" w:rsidR="00AA0EB1" w:rsidRPr="008B5A9D" w:rsidRDefault="00AA0EB1" w:rsidP="00AA0EB1">
                  <w:pPr>
                    <w:pStyle w:val="MText"/>
                  </w:pPr>
                  <w:r w:rsidRPr="008B5A9D">
                    <w:t>84%</w:t>
                  </w:r>
                </w:p>
              </w:tc>
              <w:tc>
                <w:tcPr>
                  <w:tcW w:w="992" w:type="dxa"/>
                  <w:vAlign w:val="bottom"/>
                </w:tcPr>
                <w:p w14:paraId="2D2BA5BB" w14:textId="77777777" w:rsidR="00AA0EB1" w:rsidRPr="008B5A9D" w:rsidRDefault="00AA0EB1" w:rsidP="00AA0EB1">
                  <w:pPr>
                    <w:pStyle w:val="MText"/>
                  </w:pPr>
                  <w:r w:rsidRPr="008B5A9D">
                    <w:t>5</w:t>
                  </w:r>
                  <w:r>
                    <w:t>8</w:t>
                  </w:r>
                  <w:r w:rsidRPr="008B5A9D">
                    <w:t>%</w:t>
                  </w:r>
                </w:p>
              </w:tc>
              <w:tc>
                <w:tcPr>
                  <w:tcW w:w="992" w:type="dxa"/>
                </w:tcPr>
                <w:p w14:paraId="7E81B0B3" w14:textId="77777777" w:rsidR="00AA0EB1" w:rsidRPr="008B5A9D" w:rsidRDefault="00AA0EB1" w:rsidP="00AA0EB1">
                  <w:pPr>
                    <w:pStyle w:val="MText"/>
                  </w:pPr>
                  <w:r>
                    <w:t>1%</w:t>
                  </w:r>
                </w:p>
              </w:tc>
            </w:tr>
          </w:tbl>
          <w:p w14:paraId="576A6BB3" w14:textId="77777777" w:rsidR="009861C5" w:rsidRDefault="009861C5" w:rsidP="009861C5">
            <w:pPr>
              <w:pStyle w:val="MSubHeader"/>
            </w:pPr>
          </w:p>
          <w:p w14:paraId="0A08F2A7" w14:textId="02E99E4C" w:rsidR="004D11AF" w:rsidRDefault="004D11AF" w:rsidP="009861C5">
            <w:pPr>
              <w:pStyle w:val="MSubHeader"/>
            </w:pPr>
            <w:r w:rsidRPr="00573631">
              <w:t>Disaggregation:</w:t>
            </w:r>
          </w:p>
          <w:p w14:paraId="39185D77" w14:textId="3FB3C054" w:rsidR="00776312" w:rsidRPr="00837EC7" w:rsidRDefault="004D11AF" w:rsidP="009861C5">
            <w:pPr>
              <w:pStyle w:val="MText"/>
              <w:rPr>
                <w:rFonts w:cstheme="minorHAnsi"/>
              </w:rPr>
            </w:pPr>
            <w:r>
              <w:t>Geographical location, i.e. regional and national and potentially subnational estimates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AC32078" w14:textId="77777777" w:rsidR="004D11AF" w:rsidRPr="00573631" w:rsidRDefault="004D11AF" w:rsidP="009D2C57">
            <w:pPr>
              <w:pStyle w:val="MSubHeader"/>
            </w:pPr>
            <w:r w:rsidRPr="00573631">
              <w:t>Sources of discrepancies:</w:t>
            </w:r>
          </w:p>
          <w:p w14:paraId="1AC157C4" w14:textId="77777777" w:rsidR="004D11AF" w:rsidRDefault="004D11AF" w:rsidP="009D2C57">
            <w:pPr>
              <w:pStyle w:val="MText"/>
            </w:pPr>
            <w:r>
              <w:t>Countries often relay on administrative coverage data, while WHO and UNICEF review and assess data from different sources including administrative systems and surveys. Differences between country produced and international estimates are mainly due to differences between coverage estimates from administrative system and survey results.</w:t>
            </w:r>
          </w:p>
          <w:p w14:paraId="0650A837" w14:textId="77777777" w:rsidR="004D11AF" w:rsidRDefault="004D11AF" w:rsidP="009D2C57">
            <w:pPr>
              <w:pStyle w:val="MText"/>
            </w:pPr>
          </w:p>
          <w:p w14:paraId="5F51E752" w14:textId="77777777" w:rsidR="004D11AF" w:rsidRDefault="004D11AF" w:rsidP="009D2C57">
            <w:pPr>
              <w:pStyle w:val="MText"/>
            </w:pPr>
            <w:r>
              <w:t xml:space="preserve">In case the vaccine is not included in national immunization schedule the coverage from private sector will not be reflected. </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98BE927" w14:textId="77777777" w:rsidR="009E4F94" w:rsidRPr="00573631" w:rsidRDefault="009E4F94" w:rsidP="009D2C57">
            <w:pPr>
              <w:pStyle w:val="MHeader"/>
            </w:pPr>
            <w:r w:rsidRPr="00573631">
              <w:t>References</w:t>
            </w:r>
          </w:p>
          <w:p w14:paraId="077C877D" w14:textId="77777777" w:rsidR="009E4F94" w:rsidRDefault="009E4F94" w:rsidP="009D2C57">
            <w:pPr>
              <w:pStyle w:val="MSubHeader"/>
            </w:pPr>
            <w:r w:rsidRPr="00573631">
              <w:t>URL:</w:t>
            </w:r>
            <w:r>
              <w:t xml:space="preserve"> </w:t>
            </w:r>
          </w:p>
          <w:p w14:paraId="154078E9" w14:textId="77777777" w:rsidR="009D2C57" w:rsidRDefault="00AA0EB1" w:rsidP="009D2C57">
            <w:pPr>
              <w:pStyle w:val="MText"/>
            </w:pPr>
            <w:hyperlink r:id="rId11" w:history="1">
              <w:r w:rsidR="009E4F94" w:rsidRPr="009D2C57">
                <w:rPr>
                  <w:rStyle w:val="Hyperlink"/>
                </w:rPr>
                <w:t>http://www.who.int/immunization/monitoring_surveillance/routine/coverage/en/index4.html</w:t>
              </w:r>
            </w:hyperlink>
            <w:r w:rsidR="009E4F94" w:rsidRPr="009D2C57">
              <w:t xml:space="preserve"> </w:t>
            </w:r>
          </w:p>
          <w:p w14:paraId="601E915E" w14:textId="77777777" w:rsidR="009D2C57" w:rsidRDefault="009D2C57" w:rsidP="009D2C57">
            <w:pPr>
              <w:pStyle w:val="MText"/>
            </w:pPr>
          </w:p>
          <w:p w14:paraId="4F6685E0" w14:textId="4B191E97" w:rsidR="009E4F94" w:rsidRPr="009D2C57" w:rsidRDefault="00AA0EB1" w:rsidP="009D2C57">
            <w:pPr>
              <w:pStyle w:val="MText"/>
            </w:pPr>
            <w:hyperlink r:id="rId12" w:history="1">
              <w:r w:rsidR="009D2C57" w:rsidRPr="005661A5">
                <w:rPr>
                  <w:rStyle w:val="Hyperlink"/>
                </w:rPr>
                <w:t>https://www.unicef.org/immunization/</w:t>
              </w:r>
            </w:hyperlink>
            <w:r w:rsidR="009E4F94" w:rsidRPr="009D2C57">
              <w:t xml:space="preserve"> </w:t>
            </w:r>
          </w:p>
          <w:p w14:paraId="20A6059D" w14:textId="77777777" w:rsidR="009E4F94" w:rsidRPr="00573631" w:rsidRDefault="009E4F94" w:rsidP="009D2C57">
            <w:pPr>
              <w:pStyle w:val="MText"/>
            </w:pPr>
          </w:p>
          <w:p w14:paraId="1C32157B" w14:textId="77777777" w:rsidR="009E4F94" w:rsidRDefault="009E4F94" w:rsidP="009D2C57">
            <w:pPr>
              <w:pStyle w:val="MSubHeader"/>
            </w:pPr>
            <w:r w:rsidRPr="00573631">
              <w:t>References:</w:t>
            </w:r>
            <w:r>
              <w:t xml:space="preserve"> </w:t>
            </w:r>
          </w:p>
          <w:p w14:paraId="5BF15130" w14:textId="77777777" w:rsidR="009E4F94" w:rsidRPr="008F7D34" w:rsidRDefault="009E4F94" w:rsidP="009D2C57">
            <w:pPr>
              <w:pStyle w:val="MText"/>
            </w:pPr>
            <w:r w:rsidRPr="008F7D34">
              <w:t xml:space="preserve">Burton A, </w:t>
            </w:r>
            <w:proofErr w:type="spellStart"/>
            <w:r w:rsidRPr="008F7D34">
              <w:t>Monasch</w:t>
            </w:r>
            <w:proofErr w:type="spellEnd"/>
            <w:r w:rsidRPr="008F7D34">
              <w:t xml:space="preserve"> R, Lautenbach B, </w:t>
            </w:r>
            <w:proofErr w:type="spellStart"/>
            <w:r w:rsidRPr="008F7D34">
              <w:t>Gacic-Dobo</w:t>
            </w:r>
            <w:proofErr w:type="spellEnd"/>
            <w:r w:rsidRPr="008F7D34">
              <w:t xml:space="preserve"> M, Neill M, </w:t>
            </w:r>
            <w:proofErr w:type="spellStart"/>
            <w:r w:rsidRPr="008F7D34">
              <w:t>Karimov</w:t>
            </w:r>
            <w:proofErr w:type="spellEnd"/>
            <w:r w:rsidRPr="008F7D34">
              <w:t xml:space="preserve"> R, Wolfson L, Jones G, Birmingham M. WHO and UNICEF estimates of national infant immunization coverage: methods and processes. Bull World Health Organ. 2009;87(7):535-41.Available at: </w:t>
            </w:r>
            <w:hyperlink r:id="rId13" w:history="1">
              <w:r w:rsidRPr="00633EC0">
                <w:rPr>
                  <w:rStyle w:val="Hyperlink"/>
                </w:rPr>
                <w:t>http://www.who.int/bulletin/volumes/87/7/08-053819/en/</w:t>
              </w:r>
            </w:hyperlink>
            <w:r>
              <w:t xml:space="preserve"> </w:t>
            </w:r>
          </w:p>
          <w:p w14:paraId="53C47820" w14:textId="77777777" w:rsidR="009E4F94" w:rsidRDefault="009E4F94" w:rsidP="009E4F94">
            <w:pPr>
              <w:shd w:val="clear" w:color="auto" w:fill="FFFFFF"/>
              <w:spacing w:after="0"/>
              <w:rPr>
                <w:rFonts w:eastAsia="Times New Roman" w:cs="Times New Roman"/>
                <w:color w:val="4A4A4A"/>
                <w:sz w:val="21"/>
                <w:szCs w:val="21"/>
                <w:lang w:eastAsia="en-GB"/>
              </w:rPr>
            </w:pPr>
          </w:p>
          <w:p w14:paraId="33414DB9" w14:textId="77777777" w:rsidR="009E4F94" w:rsidRPr="008F7D34" w:rsidRDefault="009E4F94" w:rsidP="009D2C57">
            <w:pPr>
              <w:pStyle w:val="MText"/>
            </w:pPr>
            <w:r w:rsidRPr="008F7D34">
              <w:t xml:space="preserve"> Burton A, Kowalski R, </w:t>
            </w:r>
            <w:proofErr w:type="spellStart"/>
            <w:r w:rsidRPr="008F7D34">
              <w:t>Gacic-Dobo</w:t>
            </w:r>
            <w:proofErr w:type="spellEnd"/>
            <w:r w:rsidRPr="008F7D34">
              <w:t xml:space="preserve"> M, </w:t>
            </w:r>
            <w:proofErr w:type="spellStart"/>
            <w:r w:rsidRPr="008F7D34">
              <w:t>Karimov</w:t>
            </w:r>
            <w:proofErr w:type="spellEnd"/>
            <w:r w:rsidRPr="008F7D34">
              <w:t xml:space="preserve"> R, Brown D. A Formal Representation of the WHO and UNICEF Estimates of </w:t>
            </w:r>
            <w:r w:rsidRPr="008F7D34">
              <w:lastRenderedPageBreak/>
              <w:t xml:space="preserve">National Immunization Coverage: A Computational Logic Approach. </w:t>
            </w:r>
            <w:proofErr w:type="spellStart"/>
            <w:r w:rsidRPr="008F7D34">
              <w:t>PLoS</w:t>
            </w:r>
            <w:proofErr w:type="spellEnd"/>
            <w:r w:rsidRPr="008F7D34">
              <w:t xml:space="preserve"> ONE 2012;7(10): e47806. doi:10.1371/journal.pone.0047806. Available at: </w:t>
            </w:r>
            <w:hyperlink r:id="rId14" w:history="1">
              <w:r w:rsidRPr="00633EC0">
                <w:rPr>
                  <w:rStyle w:val="Hyperlink"/>
                </w:rPr>
                <w:t>http://www.ncbi.nlm.nih.gov/pmc/articles/PMC3485034/pdf/pone.0047806.pdf</w:t>
              </w:r>
            </w:hyperlink>
            <w:r>
              <w:t xml:space="preserve"> </w:t>
            </w:r>
          </w:p>
          <w:p w14:paraId="6B4F93D6" w14:textId="77777777" w:rsidR="009E4F94" w:rsidRDefault="009E4F94" w:rsidP="009E4F94">
            <w:pPr>
              <w:shd w:val="clear" w:color="auto" w:fill="FFFFFF"/>
              <w:spacing w:after="0"/>
              <w:rPr>
                <w:rFonts w:eastAsia="Times New Roman" w:cs="Times New Roman"/>
                <w:color w:val="4A4A4A"/>
                <w:sz w:val="21"/>
                <w:szCs w:val="21"/>
                <w:lang w:eastAsia="en-GB"/>
              </w:rPr>
            </w:pPr>
          </w:p>
          <w:p w14:paraId="66E76C94" w14:textId="28C98BBD" w:rsidR="009E4F94" w:rsidRDefault="009E4F94" w:rsidP="009D2C57">
            <w:pPr>
              <w:pStyle w:val="MText"/>
            </w:pPr>
            <w:r w:rsidRPr="008F7D34">
              <w:t xml:space="preserve">Brown D, Burton A, </w:t>
            </w:r>
            <w:proofErr w:type="spellStart"/>
            <w:r w:rsidRPr="008F7D34">
              <w:t>Gacic-Dobo</w:t>
            </w:r>
            <w:proofErr w:type="spellEnd"/>
            <w:r w:rsidRPr="008F7D34">
              <w:t xml:space="preserve"> M, </w:t>
            </w:r>
            <w:proofErr w:type="spellStart"/>
            <w:r w:rsidRPr="008F7D34">
              <w:t>Karimov</w:t>
            </w:r>
            <w:proofErr w:type="spellEnd"/>
            <w:r w:rsidRPr="008F7D34">
              <w:t xml:space="preserve"> R</w:t>
            </w:r>
            <w:r>
              <w:t xml:space="preserve"> </w:t>
            </w:r>
            <w:r w:rsidRPr="008F7D34">
              <w:t xml:space="preserve">An Introduction to the Grade of Confidence in the WHO and UNICEF Estimates of National Immunization Coverage The Open Public Health Journal, 2013, 6, 73-76. Available at: </w:t>
            </w:r>
            <w:hyperlink r:id="rId15" w:history="1">
              <w:r w:rsidRPr="00633EC0">
                <w:rPr>
                  <w:rStyle w:val="Hyperlink"/>
                </w:rPr>
                <w:t>http://www.benthamscience.com/open/tophj/articles/V006/73TOPHJ.pdf</w:t>
              </w:r>
            </w:hyperlink>
            <w:r>
              <w:t xml:space="preserve"> </w:t>
            </w:r>
          </w:p>
          <w:p w14:paraId="573D6313" w14:textId="77777777" w:rsidR="009E4F94" w:rsidRPr="00C045CF" w:rsidRDefault="009E4F94" w:rsidP="009D2C57">
            <w:pPr>
              <w:pStyle w:val="MText"/>
            </w:pPr>
          </w:p>
          <w:p w14:paraId="690EACA9" w14:textId="77777777" w:rsidR="009E4F94" w:rsidRPr="00573631" w:rsidRDefault="009E4F94" w:rsidP="009D2C57">
            <w:pPr>
              <w:pStyle w:val="MText"/>
            </w:pPr>
            <w:r w:rsidRPr="00A1025C">
              <w:t xml:space="preserve">Brown, David &amp; Burton, Anthony &amp; </w:t>
            </w:r>
            <w:proofErr w:type="spellStart"/>
            <w:r w:rsidRPr="00A1025C">
              <w:t>Gacic-Dobo</w:t>
            </w:r>
            <w:proofErr w:type="spellEnd"/>
            <w:r w:rsidRPr="00A1025C">
              <w:t>, Marta. (2015). An examination of a recall bias adjustment applied to survey-based coverage estimates for multi-dose vaccines. 10.13140/RG.2.1.2086.2883.</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11200925" w:rsidR="0039535F" w:rsidRDefault="0039535F" w:rsidP="00F07040">
      <w:pPr>
        <w:pStyle w:val="MText"/>
      </w:pPr>
    </w:p>
    <w:p w14:paraId="150B8B9A" w14:textId="6806204B" w:rsidR="00AA0EB1" w:rsidRDefault="00AA0EB1" w:rsidP="00F07040">
      <w:pPr>
        <w:pStyle w:val="MText"/>
      </w:pPr>
    </w:p>
    <w:p w14:paraId="4E11D61B" w14:textId="77777777" w:rsidR="00AA0EB1" w:rsidRDefault="00AA0EB1" w:rsidP="00F07040">
      <w:pPr>
        <w:pStyle w:val="MText"/>
      </w:pPr>
    </w:p>
    <w:sectPr w:rsidR="00AA0EB1"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0BD0"/>
    <w:multiLevelType w:val="hybridMultilevel"/>
    <w:tmpl w:val="62B06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B0E10"/>
    <w:multiLevelType w:val="hybridMultilevel"/>
    <w:tmpl w:val="57DAD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835B5"/>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E629B"/>
    <w:rsid w:val="001F0C55"/>
    <w:rsid w:val="001F31C6"/>
    <w:rsid w:val="00202B2D"/>
    <w:rsid w:val="0020618B"/>
    <w:rsid w:val="0022035F"/>
    <w:rsid w:val="002313D6"/>
    <w:rsid w:val="00235F8D"/>
    <w:rsid w:val="002525CC"/>
    <w:rsid w:val="00266557"/>
    <w:rsid w:val="002806B7"/>
    <w:rsid w:val="0028086B"/>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5224"/>
    <w:rsid w:val="004C06A8"/>
    <w:rsid w:val="004C665C"/>
    <w:rsid w:val="004D11AF"/>
    <w:rsid w:val="004D6154"/>
    <w:rsid w:val="004D68B6"/>
    <w:rsid w:val="004E5702"/>
    <w:rsid w:val="004E5E1A"/>
    <w:rsid w:val="004F4616"/>
    <w:rsid w:val="00500E13"/>
    <w:rsid w:val="00513744"/>
    <w:rsid w:val="00514CB8"/>
    <w:rsid w:val="00514E59"/>
    <w:rsid w:val="0051738B"/>
    <w:rsid w:val="00522827"/>
    <w:rsid w:val="0052362A"/>
    <w:rsid w:val="0053509F"/>
    <w:rsid w:val="00535955"/>
    <w:rsid w:val="005370AC"/>
    <w:rsid w:val="00537550"/>
    <w:rsid w:val="005377B9"/>
    <w:rsid w:val="00553DEC"/>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6255E"/>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761DC"/>
    <w:rsid w:val="009861C5"/>
    <w:rsid w:val="009A5BA4"/>
    <w:rsid w:val="009C0447"/>
    <w:rsid w:val="009D2C57"/>
    <w:rsid w:val="009D6291"/>
    <w:rsid w:val="009D6F69"/>
    <w:rsid w:val="009E049D"/>
    <w:rsid w:val="009E4F94"/>
    <w:rsid w:val="00A167C6"/>
    <w:rsid w:val="00A200D3"/>
    <w:rsid w:val="00A3532A"/>
    <w:rsid w:val="00A36E8B"/>
    <w:rsid w:val="00A4314D"/>
    <w:rsid w:val="00A5114C"/>
    <w:rsid w:val="00A617ED"/>
    <w:rsid w:val="00A67357"/>
    <w:rsid w:val="00A91915"/>
    <w:rsid w:val="00A92C73"/>
    <w:rsid w:val="00AA0EB1"/>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B32AD"/>
    <w:rsid w:val="00DC11A6"/>
    <w:rsid w:val="00DC4AE7"/>
    <w:rsid w:val="00DE10A6"/>
    <w:rsid w:val="00DE4848"/>
    <w:rsid w:val="00DF78A7"/>
    <w:rsid w:val="00E07CA1"/>
    <w:rsid w:val="00E33928"/>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C6AB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immunization/monitoring_surveillance/routine/reporting/en/" TargetMode="External"/><Relationship Id="rId13" Type="http://schemas.openxmlformats.org/officeDocument/2006/relationships/hyperlink" Target="http://www.who.int/bulletin/volumes/87/7/08-053819/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cef.org/immunizatio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immunization/monitoring_surveillance/routine/coverage/en/index4.html" TargetMode="External"/><Relationship Id="rId5" Type="http://schemas.openxmlformats.org/officeDocument/2006/relationships/webSettings" Target="webSettings.xml"/><Relationship Id="rId15" Type="http://schemas.openxmlformats.org/officeDocument/2006/relationships/hyperlink" Target="http://www.benthamscience.com/open/tophj/articles/V006/73TOPHJ.pdf" TargetMode="External"/><Relationship Id="rId10" Type="http://schemas.openxmlformats.org/officeDocument/2006/relationships/hyperlink" Target="http://www.data.unicef.org/child-health/immunizat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who.int/immunization/%20monitoring_surveillance/routine/coverage/en/index4.html" TargetMode="External"/><Relationship Id="rId14" Type="http://schemas.openxmlformats.org/officeDocument/2006/relationships/hyperlink" Target="http://www.ncbi.nlm.nih.gov/pmc/articles/PMC3485034/pdf/pone.0047806.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DBD-0084-4BB8-8F4F-FA40D1D6A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2020-04-16T14:23:00Z</cp:lastPrinted>
  <dcterms:created xsi:type="dcterms:W3CDTF">2020-05-18T16:34:00Z</dcterms:created>
  <dcterms:modified xsi:type="dcterms:W3CDTF">2020-11-17T18:47:00Z</dcterms:modified>
</cp:coreProperties>
</file>