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6C06F" w14:textId="7A5DAC13" w:rsidR="00281303" w:rsidRDefault="00281303" w:rsidP="00281303">
      <w:r>
        <w:t>Version 3.1</w:t>
      </w:r>
    </w:p>
    <w:p w14:paraId="769F545A" w14:textId="77777777" w:rsidR="00281303" w:rsidRDefault="00281303" w:rsidP="00281303"/>
    <w:p w14:paraId="00F10FE3" w14:textId="77777777" w:rsidR="00281303" w:rsidRPr="00E263EC" w:rsidRDefault="00281303" w:rsidP="00281303">
      <w:pPr>
        <w:pStyle w:val="MHeader"/>
        <w:outlineLvl w:val="0"/>
      </w:pPr>
      <w:bookmarkStart w:id="0" w:name="_Toc37932741"/>
      <w:r w:rsidRPr="00E263EC">
        <w:t>Metadata Attachment</w:t>
      </w:r>
      <w:bookmarkEnd w:id="0"/>
    </w:p>
    <w:p w14:paraId="3AFB155D" w14:textId="77777777" w:rsidR="00281303" w:rsidRPr="00E263EC" w:rsidRDefault="00281303" w:rsidP="00281303">
      <w:pPr>
        <w:rPr>
          <w:sz w:val="26"/>
          <w:szCs w:val="26"/>
        </w:rPr>
      </w:pPr>
      <w:r w:rsidRPr="00E263EC">
        <w:rPr>
          <w:sz w:val="26"/>
          <w:szCs w:val="26"/>
        </w:rPr>
        <w:t>Reporting type</w:t>
      </w:r>
    </w:p>
    <w:sdt>
      <w:sdtPr>
        <w:alias w:val="Reporting Type"/>
        <w:tag w:val="ddReportingType"/>
        <w:id w:val="-136573180"/>
        <w:placeholder>
          <w:docPart w:val="81A0F1249F01484F92738983D01AD691"/>
        </w:placeholder>
        <w:dropDownList>
          <w:listItem w:displayText="Global" w:value="G"/>
          <w:listItem w:displayText="National" w:value="N"/>
          <w:listItem w:displayText="Regional" w:value="R"/>
        </w:dropDownList>
      </w:sdtPr>
      <w:sdtEndPr/>
      <w:sdtContent>
        <w:p w14:paraId="4D6F64D7" w14:textId="222A3E71" w:rsidR="00281303" w:rsidRPr="00E263EC" w:rsidRDefault="00281303" w:rsidP="00281303">
          <w:r>
            <w:t>Global</w:t>
          </w:r>
        </w:p>
      </w:sdtContent>
    </w:sdt>
    <w:p w14:paraId="457C7947" w14:textId="77777777" w:rsidR="00281303" w:rsidRPr="00E263EC" w:rsidRDefault="00281303" w:rsidP="00281303">
      <w:pPr>
        <w:rPr>
          <w:sz w:val="26"/>
          <w:szCs w:val="26"/>
        </w:rPr>
      </w:pPr>
      <w:r w:rsidRPr="00E263EC">
        <w:rPr>
          <w:sz w:val="26"/>
          <w:szCs w:val="26"/>
        </w:rPr>
        <w:t>SDG series</w:t>
      </w:r>
    </w:p>
    <w:sdt>
      <w:sdtPr>
        <w:alias w:val="SDG Series"/>
        <w:tag w:val="ddSeries"/>
        <w:id w:val="590363093"/>
        <w:placeholder>
          <w:docPart w:val="41CB01236AC6412C93726BBE912C9F80"/>
        </w:placeholder>
        <w:dropDownList>
          <w:listItem w:displayText="0.0.0  National series not in global framework" w:value=""/>
          <w:listItem w:displayText="1.1.1  Proportion of population below international poverty line" w:value="SI_POV_DAY1"/>
          <w:listItem w:displayText="1.1.1  Employed population below international poverty line" w:value="SI_POV_EMP1"/>
          <w:listItem w:displayText="1.2.1  Proportion of population living below the national poverty line" w:value="SI_POV_NAHC"/>
          <w:listItem w:displayText="1.2.2  Proportion of population living in poverty in all its dimensions according to national definitions" w:value="SI_POV_NMPI"/>
          <w:listItem w:displayText="1.3.1  Proportion of population covered by at least one social protection benefit" w:value="SI_COV_BENFTS"/>
          <w:listItem w:displayText="1.3.1  Proportion of children/households receiving child/family cash benefit" w:value="SI_COV_CHLD"/>
          <w:listItem w:displayText="1.3.1  Proportion of population with severe disabilities receiving disability cash benefit" w:value="SI_COV_DISAB"/>
          <w:listItem w:displayText="1.3.1  Proportion of population covered by labour market programs" w:value="SI_COV_LMKT"/>
          <w:listItem w:displayText="1.3.1  Proportion of mothers with newborns receiving maternity cash benefit" w:value="SI_COV_MATNL"/>
          <w:listItem w:displayText="1.3.1  Proportion of population above statutory pensionable age receiving a pension" w:value="SI_COV_PENSN"/>
          <w:listItem w:displayText="1.3.1  Proportion of poor population receiving social assistance cash benefit" w:value="SI_COV_POOR"/>
          <w:listItem w:displayText="1.3.1  Proportion of population covered by social assistance programs" w:value="SI_COV_SOCAST"/>
          <w:listItem w:displayText="1.3.1  Proportion of population covered by social insurance programs" w:value="SI_COV_SOCINS"/>
          <w:listItem w:displayText="1.3.1  Proportion of unemployed persons receiving unemployment cash benefit" w:value="SI_COV_UEMP"/>
          <w:listItem w:displayText="1.3.1  Proportion of vulnerable population receiving social assistance cash benefit" w:value="SI_COV_VULN"/>
          <w:listItem w:displayText="1.3.1  Proportion of employed population covered in the event of work injury" w:value="SI_COV_WKINJRY"/>
          <w:listItem w:displayText="1.4.1  Proportion of population living in households with access to basic services" w:value="SP_ACS_BSRV"/>
          <w:listItem w:displayText="1.4.2  Proportion of total adult population with secure tenure rights to land,  with legally recognized documentation" w:value="SP_LGL_LNDDOC"/>
          <w:listItem w:displayText="1.4.2  Proportion of total adult population with secure tenure rights to land who perceive their rights to land as secure" w:value="SP_LGL_LNDSEC"/>
          <w:listItem w:displayText="1.5.1, 11.5.1, 13.1.1 Number of missing persons due to disaster" w:value="VC_DSR_MISS"/>
          <w:listItem w:displayText="1.5.1, 11.5.1, 13.1.1 Number of people affected by disaster" w:value="VC_DSR_AFFCT"/>
          <w:listItem w:displayText="1.5.1, 11.5.1, 13.1.1 Number of deaths due to disaster" w:value="VC_DSR_MORT"/>
          <w:listItem w:displayText="1.5.1, 11.5.1, 13.1.1 Number of deaths and missing persons attributed to disasters per 100,000 population" w:value="VC_DSR_MTMP"/>
          <w:listItem w:displayText="1.5.1, 11.5.1, 13.1.1 Number of deaths and missing persons attributed to disasters" w:value="VC_DSR_MMHN"/>
          <w:listItem w:displayText="1.5.1, 11.5.1, 13.1.1 Number of directly affected persons attributed to disasters per 100,000 population" w:value="VC_DSR_DAFF"/>
          <w:listItem w:displayText="1.5.1, 11.5.1, 13.1.1 Number of injured or ill people attributed to disasters" w:value="VC_DSR_IJILN"/>
          <w:listItem w:displayText="1.5.1, 11.5.1, 13.1.1 Number of people whose damaged dwellings were attributed to disasters" w:value="VC_DSR_PDAN"/>
          <w:listItem w:displayText="1.5.1, 11.5.1, 13.1.1 Number damaged dwellings attributed to disasters" w:value="VC_DSR_DDHN"/>
          <w:listItem w:displayText="1.5.1, 11.5.1, 13.1.1 Number of people whose destroyed dwellings were attributed to disasters" w:value="VC_DSR_PDYN"/>
          <w:listItem w:displayText="1.5.1, 11.5.1, 13.1.1 Number of destroyed dwellings attributed to disasters" w:value="VC_DSR_DYDN"/>
          <w:listItem w:displayText="1.5.1, 11.5.1, 13.1.1 Number of people whose livelihoods were disrupted or destroyed, attributed to disasters" w:value="VC_DSR_PDLN"/>
          <w:listItem w:displayText="1.5.1, 11.5.1, 13.1.1 Number destroyed dwellings attributed to disasters, by hazard type" w:value="VC_DSR_DYHN"/>
          <w:listItem w:displayText="1.5.2  Direct economic loss attributed to disasters" w:value="VC_DSR_GDPLS"/>
          <w:listItem w:displayText="1.5.2, 11.5.2 Direct economic loss attributed to disasters relative to GDP" w:value="VC_DSR_LSGP"/>
          <w:listItem w:displayText="1.5.2, 11.5.2 Direct agriculture loss attributed to disasters" w:value="VC_DSR_AGLH"/>
          <w:listItem w:displayText="1.5.2, 11.5.2 Direct economic loss in the housing sector attributed to disasters, by hazard type (millions of current United States dollars)" w:value="VC_DSR_HOLH"/>
          <w:listItem w:displayText="1.5.2, 11.5.2 Direct economic loss resulting from damaged or destroyed critical infrastructure attributed to disasters" w:value="VC_DSR_CILN"/>
          <w:listItem w:displayText="1.5.2, 11.5.2 Direct economic loss to cultural heritage damaged or destroyed attributed to disasters" w:value="VC_DSR_CHLN"/>
          <w:listItem w:displayText="1.5.2, 11.5.2 Direct economic loss to other damaged or destroyed productive assets attributed to disasters" w:value="VC_DSR_DDPA"/>
          <w:listItem w:displayText="1.5.3  Countries with legislative and/or regulatory provisions been made for managing disaster risk (1 = YES; 0 = NO)" w:value="SG_DSR_LEGREG"/>
          <w:listItem w:displayText="1.5.3, 11.b.1, 13.1.2 Score of adoption and implementation of national DRR strategies in line with the Sendai Framework" w:value="SG_DSR_LGRGSR"/>
          <w:listItem w:displayText="1.5.4, 11.b.2, 13.1.3 Proportion of local governments that adopt and implement local disaster risk reduction strategies in line with national disaster risk reduction strategies" w:value="SG_DSR_SILS"/>
          <w:listItem w:displayText="1.5.4, 11.b.2, 13.1.3 Number of local governments that adopt and implement local DRR strategies in line with national strategies" w:value="SG_DSR_SILN"/>
          <w:listItem w:displayText="1.5.4, 11.b.2, 13.1.3 Number of local governments" w:value="SG_GOV_LOGV"/>
          <w:listItem w:displayText="1.a.1  Proportion of domestically generated resources allocated by the government directly to poverty reduction programmes" w:value="SG_POV_DOM"/>
          <w:listItem w:displayText="1.a.2 Proportion of total government spending on health" w:value="SG_XPD_HLTH"/>
          <w:listItem w:displayText="1.a.2 Proportion of total government spending on social protection" w:value="SG_XPD_PROT"/>
          <w:listItem w:displayText="1.a.2 Proportion of total government spending on essential services, education" w:value="SD_XPD_ESED"/>
          <w:listItem w:displayText="1.a.3  Sum of total grants and non-debt-creating inflows directly allocated to poverty reduction programmes as a proportion of GDP" w:value="SG_POV_TOTL"/>
          <w:listItem w:displayText="1.b.1  Proportion of government recurrent and capital spending to sectors that disproportionately benefit women, the poor and vulnerable groups" w:value="SG_XPD_VULN"/>
          <w:listItem w:displayText="2.1.1  Prevalence of undernourishment" w:value="SN_ITK_DEFC"/>
          <w:listItem w:displayText="2.1.1 Number of undernourish people" w:value="SN_ITK_DEFCN"/>
          <w:listItem w:displayText="2.1.2  Prevalence of moderate or severe food insecurity in the population" w:value="AG_PRD_FIESMS"/>
          <w:listItem w:displayText="2.1.2  Population in moderate or severe food insecurity (number)" w:value="AG_PRD_FIESMSN"/>
          <w:listItem w:displayText="2.1.2  Population living in households where at least one adult experienced moderate or severe food insecurity (number)" w:value="AG_PRD_FIESMSTN"/>
          <w:listItem w:displayText="2.1.2  Prevalence of severe food insecurity in the population" w:value="AG_PRD_FIESS"/>
          <w:listItem w:displayText="2.1.2  Population in severe food insecurity (number)" w:value="AG_PRD_FIESSN"/>
          <w:listItem w:displayText="2.1.2  Population living in households where at least one adult experienced severe food insecurity (number)" w:value="AG_PRD_FIESSTN"/>
          <w:listItem w:displayText="2.2.1  Proportion of children moderately or severely stunted" w:value="SH_STA_STNT"/>
          <w:listItem w:displayText="2.2.1  Children moderately or severely stunted (number)" w:value="SH_STA_STNTN"/>
          <w:listItem w:displayText="2.2.2  Proportion of children moderately or severely wasted" w:value="SH_STA_WAST"/>
          <w:listItem w:displayText="2.2.2  Children moderately or severely wasted (number)" w:value="SH_STA_WASTN"/>
          <w:listItem w:displayText="2.2.2  Proportion of children moderately or severely overweight" w:value="SN_STA_OVWGT"/>
          <w:listItem w:displayText="2.2.2  Children moderately or severely overweight (number)" w:value="SN_STA_OVWGTN"/>
          <w:listItem w:displayText="2.3.1 Productivity of small-scale food producers" w:value="PD_AGR_SSFP"/>
          <w:listItem w:displayText="2.3.2 Average income of small-scale food producers" w:value="SI_AGR_SSFP"/>
          <w:listItem w:displayText="2.4.1 Proportion of agricultural area under productive and sustainable agriculture" w:value="AG_LND_SUST"/>
          <w:listItem w:displayText="2.5.1  Number of local breeds kept in the country" w:value="ER_GRF_ANIMKPT"/>
          <w:listItem w:displayText="2.5.1  Proportion of local breeds for which sufficient genetic resources are stored for reconstitution" w:value="ER_GRF_ANIMRCNT"/>
          <w:listItem w:displayText="2.5.1  Number of local breeds for which sufficient genetic resources are stored for reconstitution" w:value="ER_GRF_ANIMRCNTN"/>
          <w:listItem w:displayText="2.5.1  Proportion of local breeds with genetic material stored" w:value="ER_GRF_ANIMSTOR"/>
          <w:listItem w:displayText="2.5.1  Number of local breeds with genetic material stored" w:value="ER_GRF_ANIMSTORN"/>
          <w:listItem w:displayText="2.5.1  Operational in vitro gene bank for animal genetic resources" w:value="ER_GRF_GENEBNK"/>
          <w:listItem w:displayText="2.5.1  Plant breeds for which sufficient genetic resources are stored (number)" w:value="ER_GRF_PLNTSTOR"/>
          <w:listItem w:displayText="2.5.2  Proportion of local breeds classified as being at risk as a percentage of local breeds with known level of extinction risk" w:value="ER_RSK_LBREDS"/>
          <w:listItem w:displayText="2.a.1  Agriculture orientation index for government expenditures" w:value="AG_PRD_ORTIND"/>
          <w:listItem w:displayText="2.a.1 Agriculture share of Government Expenditure" w:value="AG_XPD_AGSGB"/>
          <w:listItem w:displayText="2.a.1 Agriculture value added share of GDP" w:value="AG_PRD_AGVAS"/>
          <w:listItem w:displayText="2.a.2  Total official flows (disbursements) for agriculture, by recipient countries" w:value="DC_TOF_AGRL"/>
          <w:listItem w:displayText="2.b.1  Agricultural export subsidies" w:value="AG_PRD_XSUBDY"/>
          <w:listItem w:displayText="2.c.1 Indicator of Food Price Anomalies (IFPA)" w:value="AG_FPA_COMM"/>
          <w:listItem w:displayText="2.c.1 Consumer Food Price Index" w:value="AG_FPA_CFPI"/>
          <w:listItem w:displayText="3.1.1  Maternal mortality ratio" w:value="SH_STA_MORT"/>
          <w:listItem w:displayText="3.1.2  Proportion of births attended by skilled health personnel" w:value="SH_STA_BRTC"/>
          <w:listItem w:displayText="3.2.1  Infant mortality rate" w:value="SH_DYN_IMRT"/>
          <w:listItem w:displayText="3.2.1  Infant deaths (number)" w:value="SH_DYN_IMRTN"/>
          <w:listItem w:displayText="3.2.1  Under-five mortality rate" w:value="SH_DYN_MORT"/>
          <w:listItem w:displayText="3.2.1  Under-five deaths (number)" w:value="SH_DYN_MORTN"/>
          <w:listItem w:displayText="3.2.2  Neonatal mortality rate" w:value="SH_DYN_NMRT"/>
          <w:listItem w:displayText="3.2.2  Neonatal deaths (number)" w:value="SH_DYN_NMRTN"/>
          <w:listItem w:displayText="3.3.1  Number of new HIV infections per 1,000 uninfected population" w:value="SH_HIV_INCD"/>
          <w:listItem w:displayText="3.3.2  Tuberculosis incidence" w:value="SH_TBS_INCD"/>
          <w:listItem w:displayText="3.3.3  Malaria incidence per 1,000 population at risk" w:value="SH_STA_MALR"/>
          <w:listItem w:displayText="3.3.4 Prevalence of hepatitis B surface antigen (HBsAg)" w:value="SH_HAP_HBSAG"/>
          <w:listItem w:displayText="3.3.5  Number of people requiring interventions against neglected tropical diseases" w:value="SH_TRP_INTVN"/>
          <w:listItem w:displayText="3.4.1  Deaths attributed non-communicable diseases (number)" w:value="SH_DTH_NCD"/>
          <w:listItem w:displayText="3.4.1 Mortality rate attributed to cardiovascular disease, cancer, diabetes or chronic respiratory disease" w:value="SH_DTH_NCOM"/>
          <w:listItem w:displayText="3.4.2  Suicide mortality rate" w:value="SH_STA_SCIDE"/>
          <w:listItem w:displayText="3.4.2  Number of deaths attributed to suicide" w:value="SH_STA_SCIDEN"/>
          <w:listItem w:displayText="3.5.2  Alcohol consumption per capita (aged 15 years and older) within a calendar year" w:value="SH_ALC_CONSPT"/>
          <w:listItem w:displayText="3.6.1  Death rate due to road traffic injuries" w:value="SH_STA_TRAF"/>
          <w:listItem w:displayText="3.6.1  Number of deaths rate due to road traffic injuries" w:value="SH_STA_TRAFN"/>
          <w:listItem w:displayText="3.7.1  Proportion of women married or in a union of reproductive age (aged 15-49 years) who have their need for family planning satisfied with modern methods" w:value="SH_FPL_MTMM"/>
          <w:listItem w:displayText="3.7.2  Adolescent birth rate (per 1,000 women aged 15-19 years)" w:value="SP_DYN_ADKL"/>
          <w:listItem w:displayText="3.8.1 Universal health coverage (UHC) service coverage index" w:value="SH_ACS_UNHC"/>
          <w:listItem w:displayText="3.8.2 Proportion of population with large household expenditures on health (greater than 25%) as a share of total household expenditure or income" w:value="SH_XPD_EARN25"/>
          <w:listItem w:displayText="3.8.2 Proportion of population with large household expenditures on health (greater than 10%) as a share of total household expenditure or income" w:value="SH_XPD_EARN10"/>
          <w:listItem w:displayText="3.9.1  Age-standardized mortality rate attributed to ambient air pollution" w:value="SH_AAP_ASMORT"/>
          <w:listItem w:displayText="3.9.1  Crude death rate attributed to ambient air pollution" w:value="SH_AAP_MORT"/>
          <w:listItem w:displayText="3.9.1  Age-standardized mortality rate attributed to household air pollution" w:value="SH_HAP_ASMORT"/>
          <w:listItem w:displayText="3.9.1  Crude death rate attributed to household air pollution" w:value="SH_HAP_MORT"/>
          <w:listItem w:displayText="3.9.1  Crude death rate attributed to household and ambient air pollution" w:value="SH_STA_AIRP"/>
          <w:listItem w:displayText="3.9.1  Age-standardized mortality rate attributed to household and ambient air pollution" w:value="SH_STA_ASAIRP"/>
          <w:listItem w:displayText="3.9.2  Mortality rate attributed to unsafe water, unsafe sanitation and lack of hygiene" w:value="SH_STA_WASH"/>
          <w:listItem w:displayText="3.9.3  Mortality rate attributed to unintentional poisonings" w:value="SH_STA_POISN"/>
          <w:listItem w:displayText="3.a.1  Age-standardized prevalence of current tobacco use among persons aged 15 years and older" w:value="SH_PRV_SMOK"/>
          <w:listItem w:displayText="3.b.1 Proportion of the target population with access to 3 doses of diphtheria-tetanus-pertussis (DTP3)" w:value="SH_ACS_DTP3"/>
          <w:listItem w:displayText="3.b.1 Proportion of the target population with access to measles-containing-vaccine second-dose (MCV2)" w:value="SH_ACS_MCV2"/>
          <w:listItem w:displayText="3.b.1 Proportion of the target population with access to pneumococcal conjugate 3rd dose (PCV3)" w:value="SH_ACS_PCV3"/>
          <w:listItem w:displayText="3.b.1  Proportion of the target population covered by all vaccines included in their national programme" w:value="SH_ACS_VACN"/>
          <w:listItem w:displayText="3.b.2  Total official development assistance to medical research and basic heath sectors, gross disbursement, by recipient countries" w:value="DC_TOF_HLTHL"/>
          <w:listItem w:displayText="3.b.2  Total official development assistance to medical research and basic heath sectors, net disbursement, by recipient countries" w:value="DC_TOF_HLTHNT"/>
          <w:listItem w:displayText="3.c.1  Health workder density" w:value="SH_MED_DEN"/>
          <w:listItem w:displayText="3.d.1  Average of 13 International Health Regulations (IHR) core capacities" w:value="SH_IHR_CAPPRD"/>
          <w:listItem w:displayText="3.d.1 International Health Regulations (IHR) capacity, by type of IHR capacity" w:value="SH_IHR_CAPS"/>
          <w:listItem w:displayText="4.1.1  Proportion of children and young people achieving a minimum proficiency level in reading and mathematics" w:value="SE_TOT_PRFL"/>
          <w:listItem w:displayText="4.2.1  Proportion of children aged 36-59 months who are developmentally on track in at least three of the following domains: literacy-numeracy, physical development, social-emotional development, and learning" w:value="SE_DEV_ONTRK"/>
          <w:listItem w:displayText="4.2.2  Participation rate in organized learning (one year before the official primary entry age)" w:value="SE_PRE_PARTN"/>
          <w:listItem w:displayText="4.3.1  Participation rate in formal and non-formal education and training" w:value="SE_ADT_EDUCTRN"/>
          <w:listItem w:displayText="4.4.1 Proportion of youth and adults with information and communications technology (ICT) skills" w:value="SE_ADT_ACTS"/>
          <w:listItem w:displayText="4.5.1 Gender parity index for participation rate in formal and non-formal education and training" w:value="SE_GPI_PART"/>
          <w:listItem w:displayText="4.5.1 Gender parity index for youth/adults with information and communications technology (ICT) skills" w:value="SE_GPI_ICTS"/>
          <w:listItem w:displayText="4.5.1 Native parity index for achievement" w:value="SE_NAP_ACHI"/>
          <w:listItem w:displayText="4.5.1 Language test parity index for achievement" w:value="SE_LGP_ACHI"/>
          <w:listItem w:displayText="4.5.1 Immigration status parity index for achieving at least a fixed level of proficiency in functional skills, by numeracy/literacy skills" w:value="SE_IMP_FPOF"/>
          <w:listItem w:displayText="4.5.1  Gender parity index for achievement" w:value="SE_TOT_GPI"/>
          <w:listItem w:displayText="4.5.1  Low to high socio-economic parity status index for achievement" w:value="SE_TOT_SESPI"/>
          <w:listItem w:displayText="4.5.1  Rural to urban parity index for achievement" w:value="SE_TOT_RUPI"/>
          <w:listItem w:displayText="4.5.1  Gender parity index of trained teachers" w:value="SE_GPI_TCAQ"/>
          <w:listItem w:displayText="4.5.1  Gender parity index for participation rate in organized learning (one year before the official primary entry age)" w:value="SE_GPI_PTNPRE"/>
          <w:listItem w:displayText="4.6.1 Proportion of population achieving at least a fixed level of proficiency in functional skills" w:value="SE_ADT_FUNS"/>
          <w:listItem w:displayText="4.a.1  Proportion of schools with access to electricity" w:value="SE_ACS_ELECT"/>
          <w:listItem w:displayText="4.a.1  Proportion of schools with access to computers for pedagogical purposes" w:value="SE_ACS_CMPTR"/>
          <w:listItem w:displayText="4.a.1  Proportion of schools with access to basic drinking water" w:value="SE_ACS_H2O"/>
          <w:listItem w:displayText="4.a.1  Proportion of schools with basic handwashing facilities" w:value="SE_ACC_HNDWSH"/>
          <w:listItem w:displayText="4.a.1  Proportion of schools with access to the internet for pedagogical purposes" w:value="SE_ACS_INTNT"/>
          <w:listItem w:displayText="4.a.1  Proportion of schools with access to access to single-sex basic sanitation" w:value="SE_ACS_SANIT"/>
          <w:listItem w:displayText="4.a.1 Proportion of schools with access to adapted infrastructure and materials for students with disabilities" w:value="SE_INF_DSBL"/>
          <w:listItem w:displayText="4.b.1  Total official flows for scholarships, by recipient countries" w:value="DC_TOF_SCHIPSL"/>
          <w:listItem w:displayText="4.c.1 Proportion of teachers who have received at least the minimum organized teacher training (e.g. pedagogical training) pre-service or in-service required for teaching at the relevant level in a given country" w:value="SE_TRA_GRDL"/>
          <w:listItem w:displayText="5.1.1 Legal frameworks that promote, enforce and monitor gender equality (percentage of achievement, 0 - 100) -- Area 1: overarching legal frameworks and public life." w:value="SG_LGL_GENEQLFP"/>
          <w:listItem w:displayText="5.1.1 Legal frameworks that promote, enforce and monitor gender equality (percentage of achievement, 0 - 100) -- Area 2: violence against women." w:value="SG_LGL_GENEQVAW"/>
          <w:listItem w:displayText="5.1.1 Legal frameworks that promote, enforce and monitor gender equality (percentage of achievement, 0 - 100) -- Area 3: employment and economic benefits." w:value="SG_LGL_GENEQEMP"/>
          <w:listItem w:displayText="5.1.1 Legal frameworks that promote, enforce and monitor gender equality (percentage of achievement, 0 - 100) -- Area 4: marriage and family." w:value="SG_LGL_GENEQMAR"/>
          <w:listItem w:displayText="5.2.1  Proportion of ever-partnered women and girls subjected to physical and sexual violence by a current or former intimate partner in the previous 12 months" w:value="VC_VAW_MARR"/>
          <w:listItem w:displayText="5.2.1  Proportion of ever-partnered women and girls subjected to physical violence by a current or former intimate partner in the previous 12 months" w:value="VC_VAW_PHYV"/>
          <w:listItem w:displayText="5.2.1  Proportion of ever-partnered women and girls subjected to sexual violence by a current or former intimate partner in the previous 12 months" w:value="VC_VAW_SEXV"/>
          <w:listItem w:displayText="5.2.1  Proportion of ever-partnered women and girls subjected to psychological violence by a current or former intimate partner in the previous 12 months" w:value="VC_VAW_PSYV"/>
          <w:listItem w:displayText="5.2.2  Proportion of women and girls aged 15 years and older subjected to sexual violence by persons other than an intimate partner in the previous 12 months" w:value="VC_VAW_NONMARR"/>
          <w:listItem w:displayText="5.3.1  Proportion of women aged 20-24 years who were married or in a union before age 15" w:value="SP_DYN_MRBF15"/>
          <w:listItem w:displayText="5.3.1  Proportion of women aged 20-24 years who were married or in a union before age 18" w:value="SP_DYN_MRBF18"/>
          <w:listItem w:displayText="5.3.2  Proportion of girls and women aged 15-49 years who have undergone female genital mutilation/cutting" w:value="SH_STA_FGMS"/>
          <w:listItem w:displayText="5.4.1  Proportion of time spent on unpaid domestic chores and care work" w:value="SL_DOM_TSPD"/>
          <w:listItem w:displayText="5.4.1  Proportion of time spent on unpaid care work" w:value="SL_DOM_TSPDCW"/>
          <w:listItem w:displayText="5.4.1  Proportion of time spent on unpaid domestic chores" w:value="SL_DOM_TSPDDC"/>
          <w:listItem w:displayText="5.5.1 Proportion of elected seats held by women in deliberative bodies of local government" w:value="SG_GEN_LOCGELS"/>
          <w:listItem w:displayText="5.5.1  Proportion of seats held by women in national parliaments (% of total number of seats)" w:value="SG_GEN_PARL"/>
          <w:listItem w:displayText="5.5.1  Number of seats held by women in national parliaments" w:value="SG_GEN_PARLN"/>
          <w:listItem w:displayText="5.5.1  Number of seats in national parliaments" w:value="SG_GEN_PARLNT"/>
          <w:listItem w:displayText="5.5.1  Proportion of seats held by women in local governments (% of total number of seats)" w:value="SG_GEN_LOCG"/>
          <w:listItem w:displayText="5.5.2  Proportion of women in managerial positions" w:value="IC_GEN_MGTL"/>
          <w:listItem w:displayText="5.5.2  Proportion of women in senior and middle management positions" w:value="IC_GEN_MGTN"/>
          <w:listItem w:displayText="5.6.1  Proportion of women who make their own informed decisions regarding sexual relations, contraceptive use and reproductive health care (% of women aged 15-49 years)" w:value="SH_FPL_INFM"/>
          <w:listItem w:displayText="5.6.1 Proportion of women who make their own informed decisions regarding sexual relations (% of women aged 15-49 years)" w:value="SH_FPL_INFMSR"/>
          <w:listItem w:displayText="5.6.1 Proportion of women who make their own informed decisions regarding contraceptive use (% of women aged 15-49 years)" w:value="SH_FPL_INFMCU"/>
          <w:listItem w:displayText="5.6.1 Proportion of women who make their own informed decisions regarding reproductive health care (% of women aged 15-49 years)" w:value="SH_FPL_INFMRH"/>
          <w:listItem w:displayText="5.6.2  Number of countries with laws and regulations that guarantee full and equal access to women and men aged 15 years and older to sexual and reproductive health care, information and education" w:value="SG_RHC_ACCS"/>
          <w:listItem w:displayText="5.a.1  Proportion of total agricultural population with ownership or secure rights over agricultural land" w:value="SP_LGL_LNDAGSEC"/>
          <w:listItem w:displayText="5.a.2  Proportion of countries where the legal framework (including customary law) guarantees women's equal rights to land ownership and/or control" w:value="SG_LGL_LNDWMN"/>
          <w:listItem w:displayText="5.b.1  Proportion of individuals who own a mobile telephone" w:value="IT_MOB_OWN"/>
          <w:listItem w:displayText="5.c.1  Proportion of countries with systems to track and make public allocations for gender equality and women's empowerment" w:value="SG_GEN_EQPWN"/>
          <w:listItem w:displayText="6.1.1  Proportion of population using safely managed drinking water services" w:value="SH_H2O_SAFE"/>
          <w:listItem w:displayText="6.2.1  Proportion of population practicing open defecation" w:value="SH_SAN_DEFECT"/>
          <w:listItem w:displayText="6.2.1  Proportion of population with basic handwashing facilities on premises" w:value="SH_SAN_HNDWSH"/>
          <w:listItem w:displayText="6.2.1  Proportion of population using safely managed sanitation services" w:value="SH_SAN_SAFE"/>
          <w:listItem w:displayText="6.3.1 Proportion of safely treated domestic wastewater flows" w:value="EN_WWT_WWDS"/>
          <w:listItem w:displayText="6.3.2 Proportion of open water bodies with good ambient water quality" w:value="EN_H2O_OPAMBQ"/>
          <w:listItem w:displayText="6.3.2 Proportion of river water bodies with good ambient water quality" w:value="EN_H2O_RVAMBQ"/>
          <w:listItem w:displayText="6.3.2 Proportion of groundwater bodies with good ambient water quality" w:value="EN_H2O_GRAMBQ"/>
          <w:listItem w:displayText="6.3.2 Proportion of bodies of water with good ambient water quality" w:value="EN_H2O_WBAMBQ"/>
          <w:listItem w:displayText="6.4.1 Water Use Efficiency (United States dollars per cubic meter)" w:value="ER_H2O_WUEYST"/>
          <w:listItem w:displayText="6.4.2  Level of water stress: freshwater withdrawal as a proportion of available freshwater resources" w:value="ER_H2O_STRESS"/>
          <w:listItem w:displayText="6.5.1 Degree of integrated water resources management implementation" w:value="ER_H2O_IWRMD"/>
          <w:listItem w:displayText="6.5.1 Proportion of countries by IWRM implementation category" w:value="ER_H2O_IWRMP"/>
          <w:listItem w:displayText="6.5.2 Proportion of transboundary basins (river and lake basins and aquifers) with an operational arrangement for water cooperation" w:value="EG_TBA_H2CO"/>
          <w:listItem w:displayText="6.5.2 Proportion of transboundary aquifers with an operational arrangement for water cooperation" w:value="EG_TBA_H2COAQ"/>
          <w:listItem w:displayText="6.5.2 Proportion of transboundary river and lake basins with an operational arrangement for water cooperation" w:value="EG_TBA_H2CORL"/>
          <w:listItem w:displayText="6.6.1 Water body extent (permanent) (% of total land area)" w:value="EN_WBE_PMPR"/>
          <w:listItem w:displayText="6.6.1 Water body extent (permanent) (square kilometres)" w:value="EN_WBE_PMNR"/>
          <w:listItem w:displayText="6.6.1 Water body extent (permanent and maybe permanent) (% of total land area)" w:value="EN_WBE_PMPP"/>
          <w:listItem w:displayText="6.6.1 Water body extent (permanent and maybe permanent) (square kilometres)" w:value="EN_WBE_PMPN"/>
          <w:listItem w:displayText="6.6.1 Nationally derived total extent (square kilometres)" w:value="EN_WBE_NDETOT"/>
          <w:listItem w:displayText="6.6.1 Nationally derived extent of open water bodies (square kilometres)" w:value="EN_WBE_NDOPW"/>
          <w:listItem w:displayText="6.6.1 Nationally derived quality of groundwater (%)" w:value="EN_WBE_NDQLGRW"/>
          <w:listItem w:displayText="6.6.1 Nationally derived quality of open water bodies  (%)" w:value="EN_WBE_NDQLOPW"/>
          <w:listItem w:displayText="6.6.1 Nationally derived quality of river  (%)" w:value="EN_WBE_NDQLRVR"/>
          <w:listItem w:displayText="6.6.1 Nationally derived proportion of water bodies with good quality (%)" w:value="EN_WBE_NDQLTOT"/>
          <w:listItem w:displayText="6.6.1 Nationally derived quantity of groundwater (millions of cubic metres per annum)" w:value="EN_WBE_NDQTGRW"/>
          <w:listItem w:displayText="6.6.1 Nationally derived quantity of open water bodies (million of cubic metres per annum)" w:value="EN_WBE_NDQTOPW"/>
          <w:listItem w:displayText="6.6.1 Nationally derived quantity of rivers (million of cubic metres per annum)" w:value="EN_WBE_NDQTRVR"/>
          <w:listItem w:displayText="6.6.1 Nationally derived total quantity (millions of cubic metres per annum)" w:value="EN_WBE_NDQTTOT"/>
          <w:listItem w:displayText="6.6.1 Nationally derived extend of rivers (square kilometres)" w:value="EN_WBE_NDRV"/>
          <w:listItem w:displayText="6.6.1 Nationally derived extent of wetlands (square kilometres)" w:value="EN_WBE_NDWTL"/>
          <w:listItem w:displayText="6.a.1  Total official development assistance (gross disbursement) for water supply and sanitation, by recipient countries" w:value="DC_TOF_WASHL"/>
          <w:listItem w:displayText="6.b.1 Proportion of local administrative units with established and operational policies and procedures for participation of local communities in water and sanitation management" w:value="ER_H20_LCMGM"/>
          <w:listItem w:displayText="6.b.1 Proportion of countries with clearly defined procedures in law or policy for participation by service users/communities in planning program in water resources planning and management" w:value="ER_WAT_PROCED"/>
          <w:listItem w:displayText="6.b.1 Proportion of countries with high level of users/communities participating in planning programs in rural drinking-water supply" w:value="ER_H2O_PARTIC"/>
          <w:listItem w:displayText="6.b.1 Proportion of countries with clearly defined procedures in law or policy for participation by service users/communities in planning program in rural drinking-water supply" w:value="ER_H2O_PROCED"/>
          <w:listItem w:displayText="6.b.1 Proportion of countries with high level of users/communities participating in planning programs in water resources planning and management" w:value="ER_WAT_PARTIC"/>
          <w:listItem w:displayText="6.b.1 Countries with users/communities participating in planning programs in rural drinking-water supply, by level of participation (3 = High; 2 = Moderate; 1 = Low; 0 = NA)" w:value="ER_H2O_RURP"/>
          <w:listItem w:displayText="6.b.1 Countries with procedures in law or policy for participation by service users/communities in planning program in rural drinking-water supply, by level of definition in procedures (10 = Clearly defined; 5 = Not clearly defined ; 0 = NA)" w:value="ER_H2O_PRDU"/>
          <w:listItem w:displayText="6.b.1 Countries with users/communities participating in planning programs in water resources planning and management, by level of participation (3 = High; 2 = Moderate; 1 = Low; 0 = NA)" w:value="ER_WAT_PART"/>
          <w:listItem w:displayText="6.b.1 Countries with procedures in law or policy for participation by service users/communities in planning program in water resources planning and management, by level of definition in procedures (10 = Clearly defined; 5 = Not clearly defined ; 0 = NA)" w:value="ER_WAT_PRDU"/>
          <w:listItem w:displayText="7.1.1  Proportion of population with access to electricity" w:value="EG_ACS_ELEC"/>
          <w:listItem w:displayText="7.1.2  Proportion of population with primary reliance on clean fuels and technology" w:value="EG_EGY_CLEAN"/>
          <w:listItem w:displayText="7.1.2  Proportion of population with primary reliance on clean fuels and technology for cooking" w:value="EG_CFT_COOK"/>
          <w:listItem w:displayText="7.1.2  Proportion of population with primary reliance on clean fuels and technology for lighting" w:value="EG_CFT_LIGHT"/>
          <w:listItem w:displayText="7.2.1  Renewable energy share in the total final energy consumption" w:value="EG_FEC_RNEW"/>
          <w:listItem w:displayText="7.3.1  Energy intensity level of primary energy (megajoules per constant purchasing power parity GDP)" w:value="EG_EGY_PRIM"/>
          <w:listItem w:displayText="7.a.1  International financial flows to developing countries in support of clean energy research and development and renewable energy production, including in hybrid systems" w:value="EG_IFF_RANDN"/>
          <w:listItem w:displayText="8.1.1  Annual growth rate of real GDP per capita" w:value="NY_GDP_PCAP"/>
          <w:listItem w:displayText="8.2.1  Annual growth rate of real GDP per employed person" w:value="SL_EMP_PCAP"/>
          <w:listItem w:displayText="8.3.1  Proportion of informal employment in non-agriculture employment" w:value="SL_ISV_IFRM"/>
          <w:listItem w:displayText="8.4.1, 12.2.1 Material footprint per capita" w:value="EN_MAT_FTPRPC"/>
          <w:listItem w:displayText="8.4.1, 12.2.1 Material footprint per unit of GDP" w:value="EN_MAT_FTPRPG"/>
          <w:listItem w:displayText="8.4.1, 12.2.1 Material footprint" w:value="EN_MAT_FTPRTN"/>
          <w:listItem w:displayText="8.4.2  Domestic material consumption per capita, by type of raw material" w:value="EN_MAT_DOMCMPC"/>
          <w:listItem w:displayText="8.4.2  Domestic material consumption per unit of GDP" w:value="EN_MAT_DOMCMPG"/>
          <w:listItem w:displayText="8.4.2  Domestic material consumption" w:value="EN_MAT_DOMCMPT"/>
          <w:listItem w:displayText="8.5.1  Average hourly earnings" w:value="SL_EMP_EARN"/>
          <w:listItem w:displayText="8.5.2  Unemployment rate" w:value="SL_TLF_UEM"/>
          <w:listItem w:displayText="8.5.2  Unemployment rate, by disability" w:value="SL_TLF_UEMDIS"/>
          <w:listItem w:displayText="8.6.1  Proportion of youth not in education, employment or training" w:value="SL_TLF_NEET"/>
          <w:listItem w:displayText="8.7.1 Proportion of children engaged in economic activity and household chores" w:value="SL_TLF_CHLDEC"/>
          <w:listItem w:displayText="8.7.1 Number of children engaged in economic activity and household chores" w:value="SL_TLF_CHLDECN"/>
          <w:listItem w:displayText="8.7.1 Proportion of children engaged in economic activity" w:value="SL_TLF_CHLDEA"/>
          <w:listItem w:displayText="8.7.1 Number of children engaged in economic activity" w:value="SL_TLF_CHLDEAN"/>
          <w:listItem w:displayText="8.8.1  Fatal occupational injuries among employees (rate)" w:value="SL_EMP_FTLINJUR"/>
          <w:listItem w:displayText="8.8.1  Non-fatal occupational injuries among employees (rate)" w:value="SL_EMP_INJUR"/>
          <w:listItem w:displayText="8.9.1  Tourism direct GDP as a proportion of total GDP" w:value="ST_GDP_ZS"/>
          <w:listItem w:displayText="8.9.2  Proportion of jobs in sustainable tourism industries out of total tourism jobs" w:value="ST_EMP_SUST"/>
          <w:listItem w:displayText="8.10.1  Number of automated teller machines (ATMs) per 100,000 adults" w:value="FB_ATM_TOTL"/>
          <w:listItem w:displayText="8.10.1  Number of commercial bank branches per 100,000 adults" w:value="FB_CBK_BRCH"/>
          <w:listItem w:displayText="8.10.2  Proportion of adults (15 years and older) with an account at a financial institution or mobile-money-service provider (% of adults aged 15 years and older)" w:value="FB_BNK_ACCSS"/>
          <w:listItem w:displayText="8.a.1  Total official flows (commitments) for Aid for Trade, by donor countries" w:value="DC_TOF_TRDCMDL"/>
          <w:listItem w:displayText="8.a.1  Total official flows (commitments) for Aid for Trade, by recipient countries" w:value="DC_TOF_TRDCML"/>
          <w:listItem w:displayText="8.a.1  Total official flows (disbursement) for Aid for Trade, by donor countries" w:value="DC_TOF_TRDDBMDL"/>
          <w:listItem w:displayText="8.a.1  Total official flows (disbursement) for Aid for Trade, by recipient countries" w:value="DC_TOF_TRDDBML"/>
          <w:listItem w:displayText="8.b.1  Existence of a developed and operationalized national strategy for youth employment, as a distinct strategy or as part of a national employment strategy" w:value="SL_CPA_YEMP"/>
          <w:listItem w:displayText="9.1.1  Proportion of the rural population who live within 2 km of an all-season road" w:value="SP_ROD_R2KM"/>
          <w:listItem w:displayText="9.1.2 Mail volume (tonne kilometres)" w:value="IS_TRP_MAILTKM"/>
          <w:listItem w:displayText="9.1.2 Freight volume (tonne kilometres)" w:value="IS_RDP_FRGVOL"/>
          <w:listItem w:displayText="9.1.2 Passenger volume (passenger kilometres)" w:value="IS_RDP_PFVOL"/>
          <w:listItem w:displayText="9.2.1  Manufacturing value added as a proportion of GDP" w:value="NV_IND_MANF"/>
          <w:listItem w:displayText="9.2.1  Manufacturing value added per capita" w:value="NV_IND_MANFPC"/>
          <w:listItem w:displayText="9.2.2  Manufacturing employment as a proportion of total employment" w:value="SL_TLF_MANF"/>
          <w:listItem w:displayText="9.3.1 Proportion of small-scale industries in total industry value added" w:value="NV_IND_SSIS"/>
          <w:listItem w:displayText="9.3.2 Proportion of small-scale industries with a loan or line of credit" w:value="FC_ACC_SSID"/>
          <w:listItem w:displayText="9.4.1  Carbon dioxide emissions from fuel combustion" w:value="EN_ATM_CO2"/>
          <w:listItem w:displayText="9.4.1  Carbon dioxide emissions per unit of GDP" w:value="EN_ATM_CO2GDP"/>
          <w:listItem w:displayText="9.4.1  Carbon dioxide emissions per unit of manufacturing value added" w:value="EN_ATM_CO2MVA"/>
          <w:listItem w:displayText="9.5.1  Research and development expenditure as a proportion of GDP" w:value="GB_XPD_RSDV"/>
          <w:listItem w:displayText="9.5.2  Researchers (in full-time equivalent) per million inhabitants" w:value="GB_POP_SCIERD"/>
          <w:listItem w:displayText="9.a.1  Total official flows for infrastructure, by recipient countries" w:value="DC_TOF_INFRAL"/>
          <w:listItem w:displayText="9.b.1  Proportion of medium and high-tech industry value added in total value added" w:value="NV_IND_TECH"/>
          <w:listItem w:displayText="9.c.1  Proportion of population covered by at least a 2G mobile network" w:value="IT_MOB_2GNTWK"/>
          <w:listItem w:displayText="9.c.1  Proportion of population covered by at least a 3G mobile network" w:value="IT_MOB_3GNTWK"/>
          <w:listItem w:displayText="9.c.1  Proportion of population covered by at least a 4G mobile network" w:value="IT_MOB_4GNTWK"/>
          <w:listItem w:displayText="10.1.1  Growth rates of household expenditure or income per capita" w:value="SI_HEI_TOTL"/>
          <w:listItem w:displayText="10.2.1  Proportion of people living below 50 percent of median income" w:value="SI_POV_50MI"/>
          <w:listItem w:displayText="16.b.1  Proportion of population reporting having personally felt discriminated against or harassed in the previous 12 months on the basis of a ground of discrimination prohibited under international human rights law" w:value="VC_VOV_DCMN"/>
          <w:listItem w:displayText="10.4.1  Labour share of GDP, comprising wages and social protection transfers" w:value="SL_EMP_GTOTL"/>
          <w:listItem w:displayText="10.5.1 Non-performing loans to total gross loans (%)" w:value="FI_FSI_FSANL"/>
          <w:listItem w:displayText="10.5.1 Return on assets (%)" w:value="FI_FSI_FSERA"/>
          <w:listItem w:displayText="10.5.1 Regulatory capital to assets (%)" w:value="FI_FSI_FSKA"/>
          <w:listItem w:displayText="10.5.1 Non-performing loans net of provisions to capital (%)" w:value="FI_FSI_FSKNL"/>
          <w:listItem w:displayText="10.5.1 Regulatory Tier 1 capital to risk-weighted assets (%)" w:value="FI_FSI_FSKRTC"/>
          <w:listItem w:displayText="10.5.1 Liquid assets to short term liabilities (%)" w:value="FI_FSI_FSLS"/>
          <w:listItem w:displayText="10.5.1 Net open position in foreign exchange to capital (%)" w:value="FI_FSI_FSSNO"/>
          <w:listItem w:displayText="10.6.1, 16.8.1 Proportion of members of developing countries in international organizations, by organization" w:value="SG_INT_MBRDEV"/>
          <w:listItem w:displayText="10.6.1, 16.8.1 Proportion of voting rights of developing countries in international organizations, by organization" w:value="SG_INT_VRTDEV"/>
          <w:listItem w:displayText="10.7.1  Recruitment cost borne by employee as a proportion of yearly income earned in country of destination" w:value="SL_EMP_RCOST"/>
          <w:listItem w:displayText="10.7.2  Number of countries that have implemented well-managed migration policies" w:value="SG_CPA_MIGR"/>
          <w:listItem w:displayText="10.a.1  Proportion of tariff lines applied to imports with zero-tariff" w:value="TM_TRF_ZERO"/>
          <w:listItem w:displayText="10.b.1  Total assistance for development, by donor countries" w:value="DC_TRF_TOTDL"/>
          <w:listItem w:displayText="10.b.1  Total assistance for development, by recipient countries" w:value="DC_TRF_TOTL"/>
          <w:listItem w:displayText="10.b.1 Total resource flows for development, by recipient and donor countries" w:value="DC_TRF_TFDV"/>
          <w:listItem w:displayText="10.c.1  Remittance costs as a proportion of the amount remitted" w:value="SI_RMT_COST"/>
          <w:listItem w:displayText="11.1.1  Proportion of urban population living in slums" w:value="EN_LND_SLUM"/>
          <w:listItem w:displayText="11.1.1  Urban population living in slums (number)" w:value="EN_LND_SLUMN"/>
          <w:listItem w:displayText="11.2.1  Proportion of population that has convenient access to public transport" w:value="SP_TRN_PUBL"/>
          <w:listItem w:displayText="11.3.1  Ratio of land consumption rate to population growth rate" w:value="EN_LND_CNSPOP"/>
          <w:listItem w:displayText="11.3.2  Proportion of cities with a direct participation structure of civil society in urban planning and management that operate regularly and democratically" w:value="SG_URB_CSPART"/>
          <w:listItem w:displayText="11.5.2 Number of damaged critical infrastructure attributed to disasters" w:value="VC_DSR_CDAN"/>
          <w:listItem w:displayText="11.5.2 Number of destroyed or damaged health facilities attributed to disasters" w:value="VC_DSR_HFDN"/>
          <w:listItem w:displayText="11.5.2 Number of destroyed or damaged educational facilities attributed to disasters" w:value="VC_DSR_EFDN"/>
          <w:listItem w:displayText="11.5.2 Number of other destroyed or damaged critical infrastructure units and facilities attributed to disasters" w:value="VC_DSR_CDYN"/>
          <w:listItem w:displayText="11.5.2 Number of disruptions to basic services attributed to disasters" w:value="VC_DSR_BSDN"/>
          <w:listItem w:displayText="11.5.2 Number of disruptions to educational services attributed to disasters" w:value="VC_DSR_ESDN"/>
          <w:listItem w:displayText="11.5.2 Number of disruptions to health services attributed to disasters" w:value="VC_DSR_HSDN"/>
          <w:listItem w:displayText="11.5.2 Number of disruptions to other basic services attributed to disasters" w:value="VC_DSR_OBDN"/>
          <w:listItem w:displayText="11.6.1  Proportion of population served by municipal waste collection" w:value="EN_REF_COLDIS"/>
          <w:listItem w:displayText="11.6.1 Municipal Solid Waste collection coverage, by cities (%)" w:value="EN_REF_WASCOL"/>
          <w:listItem w:displayText="11.6.2  Annual mean levels of fine particulate matter in cities, urban population" w:value="EN_ATM_PM25"/>
          <w:listItem w:displayText="11.7.1  Average share of the built-up area of cities that is open space for public use for all" w:value="EN_URB_OPENSP"/>
          <w:listItem w:displayText="11.7.2  Proportion of persons victim of physical or sexual harassment, in the previous 12 months" w:value="VC_VOH_SXPH"/>
          <w:listItem w:displayText="11.a.1  Proportion of population living in cities that implement urban and regional development plans integrating population projections and resource needs" w:value="SG_URB_PLAN"/>
          <w:listItem w:displayText="11.c.1  Proportion of financial support to the least developed countries that is allocated to the construction and retrofitting of sustainable, resilient and resource-efficient buildings utilizing local materials" w:value="DC_CST_EFICP"/>
          <w:listItem w:displayText="12.1.1 Countries with sustainable consumption and production (SCP) national action plans or SCP mainstreamed as a priority or target into national policies (1 = YES; 0 = NO)" w:value="SG_SCP_CNTRY"/>
          <w:listItem w:displayText="12.1.1 Countries with coordination mechanism for sustainable consumption and production (1 = YES; 0 = NO)" w:value="SG_SCP_CORMEC"/>
          <w:listItem w:displayText="12.1.1 Countries with macro policy for sustainable consumption and production (1 = YES; 0 = NO)" w:value="SG_SCP_MACPOL"/>
          <w:listItem w:displayText="12.1.1 Countries with policy instrument for sustainable consumption and production (1 = YES; 0 = NO)" w:value="SG_SCP_POLINS"/>
          <w:listItem w:displayText="12.3.1  Global food loss index" w:value="AG_FLS_IDX"/>
          <w:listItem w:displayText="12.4.1  Compliance with the Basel Convention on hazardous waste and other chemicals" w:value="SG_HAZ_CMRBASEL"/>
          <w:listItem w:displayText="12.4.1  Compliance with the Montreal Protocol on hazardous waste and other chemicals" w:value="SG_HAZ_CMRMNTRL"/>
          <w:listItem w:displayText="12.4.1  Compliance with the Rotterdam Convention on hazardous waste and other chemicals" w:value="SG_HAZ_CMRROTDAM"/>
          <w:listItem w:displayText="12.4.1  Compliance with the Stockholm Convention on hazardous waste and other chemicals" w:value="SG_HAZ_CMRSTHOLM"/>
          <w:listItem w:displayText="12.4.2  Hazardous waste generated per capita" w:value="EN_HAZ_PCAP"/>
          <w:listItem w:displayText="12.4.2  Proportion of hazardous waste treated" w:value="EN_HAZ_TREAT"/>
          <w:listItem w:displayText="12.6.1  Number of companies publishing sustainability reports" w:value="EN_SCP_FRMN"/>
          <w:listItem w:displayText="12.7.1  Number of countries implementing sustainable public procurement policies and action plans" w:value="SG_SCP_PROCN"/>
          <w:listItem w:displayText="12.a.1  Amount of support to developing countries on research and development for sustainable consumption and production and environmentally sound technologies" w:value="DC_SCP_RANDN"/>
          <w:listItem w:displayText="12.c.1 Fossil-fuel pre-tax subsidies (consumption and production)" w:value="ER_FFS_PRTSST"/>
          <w:listItem w:displayText="12.c.1 Fossil-fuel pre-tax subsidies (consumption and production) per capita" w:value="ER_FFS_PRTSPC"/>
          <w:listItem w:displayText="12.c.1 Fossil-fuel pre-tax subsidies (consumption and production) as a proportion of total GDP" w:value="ER_FFS_PRTSPR"/>
          <w:listItem w:displayText="13.a.1  Mobilized amount of United States dollars per year between 2020 and 2025 accountable towards the $100 billion commitment" w:value="DC_CLC_100B"/>
          <w:listItem w:displayText="14.2.1  Proportion of national exclusive economic zones managed using ecosystem-based approaches" w:value="EN_SCP_EZECO"/>
          <w:listItem w:displayText="14.4.1  Proportion of fish stocks that are fully exploited" w:value="ER_H2O_FISHFEXP"/>
          <w:listItem w:displayText="14.4.1  Proportion of fish stocks that are not fully exploited" w:value="ER_H2O_FISHNFEXP"/>
          <w:listItem w:displayText="14.4.1  Proportion of fish stocks that are overexploited" w:value="ER_H2O_FISHOVEXP"/>
          <w:listItem w:displayText="14.4.1  Proportion of fish stocks within biologically sustainable levels (not overexploited)" w:value="ER_H2O_FWTL"/>
          <w:listItem w:displayText="14.5.1  Coverage of protected areas in relation to marine areas (Exclusive Economic Zones)" w:value="ER_MRN_MARIN"/>
          <w:listItem w:displayText="14.5.1  Protected marine area (Exclusive Economic Zones) (square kilometres)" w:value="ER_MRN_MARINT"/>
          <w:listItem w:displayText="14.5.1  Marine area (Economic Exclusion Zones)" w:value="ER_MRN_TOTL"/>
          <w:listItem w:displayText="14.5.1 Average proportion of Marine Key Biodiversity Areas (KBAs) covered by protected areas" w:value="ER_MRN_MPA"/>
          <w:listItem w:displayText="14.6.1 Progress by countries in the degree of implementation of international instruments aiming to combat illegal, unreported and unregulated fishing (level of implementation: 1 lowest to 5 highest)" w:value="ER_REG_UNFCIM"/>
          <w:listItem w:displayText="14.7.1  Sustainable fisheries as a proportion of GDP" w:value="EN_SCP_FSHGDP"/>
          <w:listItem w:displayText="14.a.1 National ocean science expenditure as a share of total research and development funding" w:value="ER_RDE_OSEX"/>
          <w:listItem w:displayText="14.b.1 Degree of application of a legal/regulatory/policy/institutional framework which recognizes and protects access rights for small-scale fisheries (level of implementation: 1 lowest to 5 highest)" w:value="ER_REG_SSFRAR"/>
          <w:listItem w:displayText="15.1.1  Forest area as a proportion of total land area" w:value="AG_LND_FRST"/>
          <w:listItem w:displayText="15.1.1  Forest area (hectares)" w:value="AG_LND_FRSTN"/>
          <w:listItem w:displayText="15.1.1  Land area (hectares)" w:value="AG_LND_TOTL"/>
          <w:listItem w:displayText="15.1.2  Average proportion of Freshwater Key Biodiversity Areas (KBAs) covered by protected areas" w:value="ER_PTD_FRHWTR"/>
          <w:listItem w:displayText="15.1.2  Average proportion of Terrestrial Key Biodiversity Areas (KBAs) covered by protected areas" w:value="ER_PTD_TERR"/>
          <w:listItem w:displayText="15.2.1  Above-ground biomass in forest (tonnes)" w:value="AG_LND_FRSTBIOM"/>
          <w:listItem w:displayText="15.2.1  Above-ground biomass in forest per hectare (tonnes per hectare)" w:value="AG_LND_FRSTBIOPHA"/>
          <w:listItem w:displayText="15.2.1  Forest area certified under an independently verified certification scheme (hectares)" w:value="AG_LND_FRSTCERT"/>
          <w:listItem w:displayText="15.2.1  Forest area net change rate (%)" w:value="AG_LND_FRSTCHG"/>
          <w:listItem w:displayText="15.2.1  Proportion of forest area with a long-term management plan" w:value="AG_LND_FRSTMGT"/>
          <w:listItem w:displayText="15.2.1  Proportion of forest area within legally established protected areas" w:value="AG_LND_FRSTPRCT"/>
          <w:listItem w:displayText="15.2.1  Forest area within legally established protected areas" w:value="AG_LND_FRSTPRCTN"/>
          <w:listItem w:displayText="15.3.1  Proportion of land that is degraded over total land area" w:value="AG_LND_DGRD"/>
          <w:listItem w:displayText="15.4.1  Average proportion of Mountain Key Biodiversity Areas (KBAs) covered by protected areas" w:value="ER_PTD_MTN"/>
          <w:listItem w:displayText="15.4.2  Mountain green cover area (square kilometres)" w:value="ER_MTN_GRNCOV"/>
          <w:listItem w:displayText="15.4.2  Mountain Green Cover Index" w:value="ER_MTN_GRNCVI"/>
          <w:listItem w:displayText="15.4.2  Mountain area (square kilometres)" w:value="ER_MTN_TOTL"/>
          <w:listItem w:displayText="15.5.1  Red List Index" w:value="ER_RSK_LST"/>
          <w:listItem w:displayText="15.6.1  Countries that have legislative, administrative and policy framework or measures reported to the Access and Benefit-Sharing Clearing-House (1 = YES; 0 = NO)" w:value="ER_CBD_ABSCLRHS"/>
          <w:listItem w:displayText="15.6.1  Countries that are parties to the Nagoya Protocol (1 = YES; 0 = NO)" w:value="ER_CBD_NAGOYA"/>
          <w:listItem w:displayText="15.6.1  Countries that have legislative, administrative and policy framework or measures reported through the Online Reporting System on Compliance  of the International Treaty on Plant Genetic Resources for Food and Agriculture (PGRFA) (1 = YES; 0 = NO)" w:value="ER_CBD_ORSPGRFA"/>
          <w:listItem w:displayText="15.6.1  Countries that are contracting Parties to the International Treaty on Plant Genetic Resources for Food and Agriculture (PGRFA) (1 = YES; 0 = NO)" w:value="ER_CBD_PTYPGRFA"/>
          <w:listItem w:displayText="15.6.1  Total reported number of Standard Material Transfer Agreements (SMTAs) transferring plant genetic resources for food and agriculture to the country" w:value="ER_CBD_SMTA"/>
          <w:listItem w:displayText="15.7.1  Proportion of traded wildlife that was poached or illicitly trafficked" w:value="ER_WLD_TRPOACH"/>
          <w:listItem w:displayText="15.a.1  Total official development assistance for biodiversity, by donor countries" w:value="DC_ODA_BDVDL"/>
          <w:listItem w:displayText="15.a.1  Total official development assistance for biodiversity, by recipient countries" w:value="DC_ODA_BDVL"/>
          <w:listItem w:displayText="16.1.1  Number of victims of intentional homicide per 100,000 population" w:value="VC_IHR_PSRC"/>
          <w:listItem w:displayText="16.1.1  Number of victims of intentional homicide" w:value="VC_IHR_PSRCN"/>
          <w:listItem w:displayText="16.1.2  Conflict-related deaths per 100,000 population" w:value="VC_DTH_TOCV"/>
          <w:listItem w:displayText="16.1.3 Proportion of population subjected to physical violence in the previous 12 months" w:value="VC_VOV_PHYL"/>
          <w:listItem w:displayText="16.1.3 Proportion of population subjected to robbery in the previous 12 months" w:value="VC_VOV_ROBB"/>
          <w:listItem w:displayText="16.1.3 Proportion of population subjected to sexual violence in the previous 12 months" w:value="VC_VOV_SEXL"/>
          <w:listItem w:displayText="16.1.4  Proportion of population that feel safe walking alone around the area they live in" w:value="VC_SNS_WALN"/>
          <w:listItem w:displayText="16.2.1  Proportion of children aged 1-14 years who experienced physical punishment and/or psychological aggression by caregivers in last month" w:value="VC_VAW_PHYPYV"/>
          <w:listItem w:displayText="16.2.2 Age and sex distribution of detected victims of trafficking in persons (%)" w:value="VC_VAW_DIST"/>
          <w:listItem w:displayText="16.2.2 Detected victims of human trafficking for forced labour, servitude and slavery (number)" w:value="VC_HTF_DETVFL"/>
          <w:listItem w:displayText="16.2.2 Detected victims of human trafficking for other purposes (number)" w:value="VC_HTF_DETVOP"/>
          <w:listItem w:displayText="16.2.2 Detected victims of human trafficking for removal of organ (number)" w:value="VC_HTF_DETVOG"/>
          <w:listItem w:displayText="16.2.2 Detected victims of human trafficking for sexual exploitaton (number)" w:value="VC_HTF_DETVSX"/>
          <w:listItem w:displayText="16.2.2 Detected victims of human trafficking (number)" w:value="VC_HTF_DETV"/>
          <w:listItem w:displayText="16.2.3  Proportion of population aged 18-29 years who experienced sexual violence by age 18" w:value="VC_VAW_SXVLN"/>
          <w:listItem w:displayText="16.3.1 Police reporting rate for physical assault, by sex (%)" w:value="VC_PRR_PHYV"/>
          <w:listItem w:displayText="16.3.1 Police reporting rate for sexual assault, by sex (%)" w:value="VC_PRR_SEXV"/>
          <w:listItem w:displayText="16.3.1 Police reporting rate for robbery, by sex (%)" w:value="VC_PRR_ROBB"/>
          <w:listItem w:displayText="16.3.2  Unsentenced detainees as a proportion of overall prison population" w:value="VC_PRS_UNSNT"/>
          <w:listItem w:displayText="16.3.2  Unsentenced detainees (number)" w:value="VC_PRS_UNSNTN"/>
          <w:listItem w:displayText="16.4.1  Total value of inward illicit financial flows" w:value="DI_ILL_IN"/>
          <w:listItem w:displayText="16.4.1  Total value of outward illicit financial flows" w:value="DI_ILL_OUT"/>
          <w:listItem w:displayText="16.4.2  Proportion of seized, found or surrendered arms whose illicit origin or context has been traced or established by a competent authority in line with international instruments" w:value="VC_ARM_SZTRACE"/>
          <w:listItem w:displayText="16.5.1  Prevalence rate of bribery" w:value="IU_COR_BRIB"/>
          <w:listItem w:displayText="16.5.2  Bribery incidence (% of firms experiencing at least one bribe payment request)" w:value="IC_FRM_BRIB"/>
          <w:listItem w:displayText="16.6.1 Primary government expenditures as a proportion of original approved budget" w:value="GF_XPD_GBPC"/>
          <w:listItem w:displayText="16.6.2  Proportion of population satisfied with their last experience of public services" w:value="SP_PSR_SATIS"/>
          <w:listItem w:displayText="16.7.2  Proportion of population who believe decision-making is inclusive and responsive" w:value="IU_DMK_ICRS"/>
          <w:listItem w:displayText="16.9.1  Proportion of children under 5 years of age whose births have been registered with a civil authority" w:value="SG_REG_BRTH"/>
          <w:listItem w:displayText="16.10.1  Number of cases of killings of human rights defenders, journalists and trade unionists" w:value="VC_VAW_MTUHRA"/>
          <w:listItem w:displayText="16.10.2  Countries that adopt and implement constitutional, statutory and/or policy guarantees for public access to information" w:value="SG_INF_ACCSS"/>
          <w:listItem w:displayText="16.a.1  Proportion of countries with independent National Human Rights Institutions in compliance with the Paris Principles (%)" w:value="SG_NHR_IMPL"/>
          <w:listItem w:displayText="16.a.1  Countries with National Human Rights Institutions in compliance with the Paris Principles, A status (1 = YES; 0 = NO)" w:value="SG_NHR_IMPLN"/>
          <w:listItem w:displayText="16.a.1  Proportion of countries that applied for accreditation as independent National Human Rights Institutions in compliance with the Paris Principles" w:value="SG_NHR_INTEXST"/>
          <w:listItem w:displayText="16.a.1  Countries with National Human Rights Institutions not fully compliant with the Paris Principles, B status (1 = YES; 0 = NO)" w:value="SG_NHR_INTEXSTN"/>
          <w:listItem w:displayText="16.a.1  Countries with no application for accreditation with the Paris Principles, D status  (1 = YES; 0 = NO)" w:value="SG_NHR_NOAPPLN"/>
          <w:listItem w:displayText="16.a.1  Countries with National Human Rights Institutions and no status with the Paris Principles, C status (1 = YES; 0 = NO)" w:value="SG_NHR_NOSTUSN"/>
          <w:listItem w:displayText="17.1.1  Total government revenue as a proportion of GDP" w:value="GR_G14_GDP"/>
          <w:listItem w:displayText="17.1.1  Total government revenue, in local currency" w:value="GR_G14_XDC"/>
          <w:listItem w:displayText="17.1.2  Proportion of domestic budget funded by domestic taxes" w:value="GC_GOB_TAXD"/>
          <w:listItem w:displayText="17.2.1  Net official development assistance (ODA) to LDCs as a percentage of OECD-DAC donors' GNI, by donor countries" w:value="DC_ODA_LDCG"/>
          <w:listItem w:displayText="17.2.1  Net official development assistance (ODA) to LDCs from OECD-DAC countries, by donor countries" w:value="DC_ODA_LDCS"/>
          <w:listItem w:displayText="17.2.1  Net official development assistance (ODA) to landlocked developing countries from OECD-DAC countries, by donor countries" w:value="DC_ODA_LLDC"/>
          <w:listItem w:displayText="17.2.1  Net official development assistance (ODA) to landlocked developing countries as a percentage of OECD-DAC donors' GNI, by donor countries" w:value="DC_ODA_LLDCG"/>
          <w:listItem w:displayText="17.2.1  Net official development assistance (ODA) to small island states (SIDS) from OECD-DAC countries, by donor countries" w:value="DC_ODA_SIDS"/>
          <w:listItem w:displayText="17.2.1  Net official development assistance (ODA) to small island states (SIDS) as a percentage of OECD-DAC donors' GNI, by donor countries" w:value="DC_ODA_SIDSG"/>
          <w:listItem w:displayText="17.2.1  Net official development assistance (ODA) as a percentage of OECD-DAC donors' GNI, by donor countries" w:value="DC_ODA_TOTG"/>
          <w:listItem w:displayText="17.2.1  Net official development assistance (ODA) from OECD-DAC countries, by donor countries" w:value="DC_ODA_TOTL"/>
          <w:listItem w:displayText="17.3.1  Foreign direct investment (FDI), official development assistance and South-South cooperation as a proportion of total domestic budget" w:value="GF_FRN_FDIODASS"/>
          <w:listItem w:displayText="17.3.2  Volume of remittances (in United States dollars) as a proportion of total GDP" w:value="BX_TRF_PWKR"/>
          <w:listItem w:displayText="17.4.1  Debt service as a proportion of exports of goods and services" w:value="DT_TDS_DECT"/>
          <w:listItem w:displayText="17.5.1  Number of countries that adopt and implement investment promotion regimes for least developed countries" w:value="SG_CPA_INVPRMLDC"/>
          <w:listItem w:displayText="17.6.2  Fixed broadband subscriptions per 100 inhabitants" w:value="IT_NET_BBND"/>
          <w:listItem w:displayText="17.6.2  Fixed broadband subscriptions (number)" w:value="IT_NET_BBNDN"/>
          <w:listItem w:displayText="17.7.1  Total amount of approved funding for developing countries to promote the development, transfer, dissemination and diffusion of environmentally sound technologies" w:value="DC_TOF_ENVTECH"/>
          <w:listItem w:displayText="17.8.1  Internet users per 100 inhabitants" w:value="IT_USE_II99"/>
          <w:listItem w:displayText="17.9.1  Total official development assistance (gross disbursement) for technical cooperation" w:value="DC_FTA_TOTAL"/>
          <w:listItem w:displayText="17.10.1  Worldwide weighted tariff-average, most-favoured-nation status" w:value="TM_TAX_WMFN"/>
          <w:listItem w:displayText="17.10.1  Worldwide weighted tariff-average, preferential status" w:value="TM_TAX_WMPS"/>
          <w:listItem w:displayText="17.11.1  Developing countries’ and least developed countries’ share of global merchandise exports" w:value="TX_EXP_GBMRCH"/>
          <w:listItem w:displayText="17.11.1  Developing countries’ and least developed countries’ share of global services exports" w:value="TX_EXP_GBSVR"/>
          <w:listItem w:displayText="17.11.1  Developing countries’ and least developed countries’ share of global merchandise imports" w:value="TX_IMP_GBMRCH"/>
          <w:listItem w:displayText="17.11.1  Developing countries’ and least developed countries’ share of global services imports" w:value="TX_IMP_GBSVR"/>
          <w:listItem w:displayText="17.12.1  Average tariff applied by developed countries" w:value="TM_TAX_WM"/>
          <w:listItem w:displayText="17.14.1  Number of countries with mechanisms in place to enhance policy coherence of sustainable development" w:value="SG_CPA_SDEV"/>
          <w:listItem w:displayText="17.15.1  Proportion of new development interventions drawn from country-led result frameworks - data by provider (%)" w:value="SG_PLN_PRVNDI"/>
          <w:listItem w:displayText="17.15.1  Proportion of results indicators drawn from country-led results frameworks - data by provider (%)" w:value="SG_PLN_PRVRICTRY"/>
          <w:listItem w:displayText="17.15.1  Proportion of results indicators which will be monitored using government sources and monitoring systems - data by provider (%)" w:value="SG_PLN_PRVRIMON"/>
          <w:listItem w:displayText="17.15.1  Proportion of new development interventions drawn from country-led result frameworks - data by recipient (%)" w:value="SG_PLN_RECNDI"/>
          <w:listItem w:displayText="17.15.1  Proportion of results indicators drawn from country-led results frameworks - data by recipient (%)" w:value="SG_PLN_RECRICTRY"/>
          <w:listItem w:displayText="17.15.1  Proportion of results indicators which will be monitored using government sources and monitoring systems - data by recipient (%)" w:value="SG_PLN_RECRIMON"/>
          <w:listItem w:displayText="17.15.1 Extent of use of country-owned results frameworks and planning tools by providers of development cooperation - data by provider (%)" w:value="SG_PLN_PRPOLRES"/>
          <w:listItem w:displayText="17.15.1 Extent of use of country-owned results frameworks and planning tools by providers of development cooperation - data by recipient (%)" w:value="SG_PLN_REPOLRES"/>
          <w:listItem w:displayText="17.16.1  Progress in multi-stakeholder development effectiveness monitoring frameworks that support the achievement of the sustainable development goals (1 = YES; 0 = NO)" w:value="SG_PLN_MSTKSDG"/>
          <w:listItem w:displayText="17.17.1  Amount of United States dollars committed to public-private partnerships" w:value="GF_COM_PPP"/>
          <w:listItem w:displayText="17.17.1  Amount of United States dollars committed to civil society partnerships" w:value="GF_COM_CSP"/>
          <w:listItem w:displayText="17.18.1  Proportion of sustainable development indicators produced at the national level with full disaggregation when relevant to the target, in accordance with the Fundamental Principles of Official Statistics" w:value="SD_SDG_AVLB"/>
          <w:listItem w:displayText="17.18.2  Countries with national statistical legislation exists that complies with the Fundamental Principles of Official Statistics (1 = YES; 0 = NO)" w:value="SG_STT_FPOS"/>
          <w:listItem w:displayText="17.18.3  Countries with national statistical plans with funding from donors (1 = YES; 0 = NO)" w:value="SG_STT_NSDSFDDNR"/>
          <w:listItem w:displayText="17.18.3  Countries with national statistical plans with funding from Government (1 = YES; 0 = NO)" w:value="SG_STT_NSDSFDGVT"/>
          <w:listItem w:displayText="17.18.3  Countries with national statistical plans with funding from others (1 = YES; 0 = NO)" w:value="SG_STT_NSDSFDOTHR"/>
          <w:listItem w:displayText="17.18.3  Countries with national statistical plans that are fully funded (1 = YES; 0 = NO)" w:value="SG_STT_NSDSFND"/>
          <w:listItem w:displayText="17.18.3  Countries with national statistical plans that are under implementation (1 = YES; 0 = NO)" w:value="SG_STT_NSDSIMPL"/>
          <w:listItem w:displayText="17.19.1  Dollar value of all resources made available to strengthen statistical capacity in developing countries" w:value="SG_STT_CAPTY"/>
          <w:listItem w:displayText="17.19.2  Proportion of countries with birth registration data that are at least 90 percent complete" w:value="SG_REG_BRTH90"/>
          <w:listItem w:displayText="17.19.2  Countries with birth registration data that are at least 90 percent complete (1 = YES; 0 = NO)" w:value="SG_REG_BRTH90N"/>
          <w:listItem w:displayText="17.19.2  Proportion of countries that have conducted at least one population and housing census in the last 10 years" w:value="SG_REG_CENSUS"/>
          <w:listItem w:displayText="17.19.2  Countries that have conducted at least one population and housing census in the last 10 years (1 = YES; 0 = NO)" w:value="SG_REG_CENSUSN"/>
          <w:listItem w:displayText="17.19.2  Proportion of countries with death registration data that are at least 75 percent complete" w:value="SG_REG_DETH75"/>
          <w:listItem w:displayText="17.19.2  Countries with death registration data that are at least 75 percent complete (1 = YES; 0 = NO)" w:value="SG_REG_DETH75N"/>
        </w:dropDownList>
      </w:sdtPr>
      <w:sdtEndPr/>
      <w:sdtContent>
        <w:p w14:paraId="53456538" w14:textId="2123920E" w:rsidR="00281303" w:rsidRDefault="00F915C8" w:rsidP="00281303">
          <w:r>
            <w:t>3.d.1  Average of 13 International Health Regulations (IHR) core capacities</w:t>
          </w:r>
        </w:p>
      </w:sdtContent>
    </w:sdt>
    <w:p w14:paraId="2848F9AD" w14:textId="77777777" w:rsidR="00281303" w:rsidRPr="00E263EC" w:rsidRDefault="00281303" w:rsidP="00281303">
      <w:pPr>
        <w:rPr>
          <w:sz w:val="26"/>
          <w:szCs w:val="26"/>
        </w:rPr>
      </w:pPr>
      <w:r w:rsidRPr="00E263EC">
        <w:rPr>
          <w:sz w:val="26"/>
          <w:szCs w:val="26"/>
        </w:rPr>
        <w:t>Reference area</w:t>
      </w:r>
    </w:p>
    <w:sdt>
      <w:sdtPr>
        <w:alias w:val="Reference Area"/>
        <w:tag w:val="ddRefArea"/>
        <w:id w:val="1992593286"/>
        <w:placeholder>
          <w:docPart w:val="D060B7E9EA1C49ABBC6F8A337EAB275B"/>
        </w:placeholder>
        <w:dropDownList>
          <w:listItem w:displayText="World" w:value="1"/>
          <w:listItem w:displayText="Afghanistan" w:value="4"/>
          <w:listItem w:displayText="Africa (ILO)" w:value="901"/>
          <w:listItem w:displayText="Africa (M49)" w:value="2"/>
          <w:listItem w:displayText="Åland Islands" w:value="248"/>
          <w:listItem w:displayText="Albania" w:value="8"/>
          <w:listItem w:displayText="American Samoa" w:value="16"/>
          <w:listItem w:displayText="Americas (M49)" w:value="19"/>
          <w:listItem w:displayText="Andorra" w:value="20"/>
          <w:listItem w:displayText="Angola" w:value="24"/>
          <w:listItem w:displayText="Anguilla" w:value="660"/>
          <w:listItem w:displayText="Antarctica" w:value="10"/>
          <w:listItem w:displayText="Antigua and Barbuda" w:value="28"/>
          <w:listItem w:displayText="Argentina" w:value="32"/>
          <w:listItem w:displayText="Armenia" w:value="51"/>
          <w:listItem w:displayText="Aruba" w:value="533"/>
          <w:listItem w:displayText="Asia (M49)" w:value="142"/>
          <w:listItem w:displayText="Asia and the Pacific (ILO)" w:value="902"/>
          <w:listItem w:displayText="Australia" w:value="36"/>
          <w:listItem w:displayText="Australia and New Zealand (SDG)" w:value="53"/>
          <w:listItem w:displayText="Austria" w:value="40"/>
          <w:listItem w:displayText="Azerbaijan" w:value="31"/>
          <w:listItem w:displayText="Bahamas" w:value="44"/>
          <w:listItem w:displayText="Bahrain" w:value="48"/>
          <w:listItem w:displayText="Bangladesh" w:value="50"/>
          <w:listItem w:displayText="Barbados" w:value="52"/>
          <w:listItem w:displayText="Belarus" w:value="112"/>
          <w:listItem w:displayText="Belgium" w:value="56"/>
          <w:listItem w:displayText="Belize" w:value="84"/>
          <w:listItem w:displayText="Benin" w:value="204"/>
          <w:listItem w:displayText="Bermuda" w:value="60"/>
          <w:listItem w:displayText="Bhutan" w:value="64"/>
          <w:listItem w:displayText="Bolivia (Plurinational State of)" w:value="68"/>
          <w:listItem w:displayText="Bonaire, Sint Eustatius and Saba" w:value="535"/>
          <w:listItem w:displayText="Bosnia and Herzegovina" w:value="70"/>
          <w:listItem w:displayText="Botswana" w:value="72"/>
          <w:listItem w:displayText="Brazil" w:value="76"/>
          <w:listItem w:displayText="British Indian Ocean Territory" w:value="86"/>
          <w:listItem w:displayText="British Virgin Islands" w:value="92"/>
          <w:listItem w:displayText="Brunei Darussalam" w:value="96"/>
          <w:listItem w:displayText="Bulgaria" w:value="100"/>
          <w:listItem w:displayText="Burkina Faso" w:value="854"/>
          <w:listItem w:displayText="Burundi" w:value="108"/>
          <w:listItem w:displayText="Cabo Verde" w:value="132"/>
          <w:listItem w:displayText="Cambodia" w:value="116"/>
          <w:listItem w:displayText="Cameroon" w:value="120"/>
          <w:listItem w:displayText="Canada" w:value="124"/>
          <w:listItem w:displayText="Caribbean (M49)" w:value="29"/>
          <w:listItem w:displayText="Caucasus and Central Asia (MDG)" w:value="135"/>
          <w:listItem w:displayText="Cayman Islands" w:value="136"/>
          <w:listItem w:displayText="Central African Republic" w:value="140"/>
          <w:listItem w:displayText="Central America (M49)" w:value="13"/>
          <w:listItem w:displayText="Central and Eastern Europe (ILO)" w:value="903"/>
          <w:listItem w:displayText="Central Asia (M49)" w:value="143"/>
          <w:listItem w:displayText="Central Asia and Southern Asia (SDG)" w:value="62"/>
          <w:listItem w:displayText="Chad" w:value="148"/>
          <w:listItem w:displayText="Channel Islands" w:value="830"/>
          <w:listItem w:displayText="Chile" w:value="152"/>
          <w:listItem w:displayText="China" w:value="156"/>
          <w:listItem w:displayText="China, Hong Kong Special Administrative Region" w:value="344"/>
          <w:listItem w:displayText="China, Macao Special Administrative Region" w:value="446"/>
          <w:listItem w:displayText="Christmas Island" w:value="162"/>
          <w:listItem w:displayText="Cocos (Keeling) Islands" w:value="166"/>
          <w:listItem w:displayText="Colombia" w:value="170"/>
          <w:listItem w:displayText="Comoros" w:value="174"/>
          <w:listItem w:displayText="Congo" w:value="178"/>
          <w:listItem w:displayText="Cook Islands" w:value="184"/>
          <w:listItem w:displayText="Costa Rica" w:value="188"/>
          <w:listItem w:displayText="Côte d'Ivoire" w:value="384"/>
          <w:listItem w:displayText="Croatia" w:value="191"/>
          <w:listItem w:displayText="Cuba" w:value="192"/>
          <w:listItem w:displayText="Curaçao" w:value="531"/>
          <w:listItem w:displayText="Cyprus" w:value="196"/>
          <w:listItem w:displayText="Czechia" w:value="203"/>
          <w:listItem w:displayText="Democratic People's Republic of Korea" w:value="408"/>
          <w:listItem w:displayText="Democratic Republic of the Congo" w:value="180"/>
          <w:listItem w:displayText="Denmark" w:value="208"/>
          <w:listItem w:displayText="Developed regions - Europe, Cyprus, Israel, Northern America, Japan, Australia &amp; New Zealand (MDG)" w:value="514"/>
          <w:listItem w:displayText="Developing regions (MDG)" w:value="515"/>
          <w:listItem w:displayText="Development Assistance Committee members (DAC)" w:value="593"/>
          <w:listItem w:displayText="Djibouti" w:value="262"/>
          <w:listItem w:displayText="Dominica" w:value="212"/>
          <w:listItem w:displayText="Dominican Republic" w:value="214"/>
          <w:listItem w:displayText="Eastern Africa (M49)" w:value="14"/>
          <w:listItem w:displayText="Eastern Asia (M49)" w:value="30"/>
          <w:listItem w:displayText="Eastern Asia and South-eastern Asia (SDG)" w:value="753"/>
          <w:listItem w:displayText="Eastern Asia, exc. Japan (MDG)" w:value="518"/>
          <w:listItem w:displayText="Eastern Asia, exc. Japan and China (MDG)" w:value="223"/>
          <w:listItem w:displayText="Eastern Europe (M49)" w:value="151"/>
          <w:listItem w:displayText="Eastern Southern South-Eastern Asia and Oceania (MDG)" w:value="909"/>
          <w:listItem w:displayText="Ecuador" w:value="218"/>
          <w:listItem w:displayText="Egypt" w:value="818"/>
          <w:listItem w:displayText="El Salvador" w:value="222"/>
          <w:listItem w:displayText="Equatorial Guinea" w:value="226"/>
          <w:listItem w:displayText="Eritrea" w:value="232"/>
          <w:listItem w:displayText="Estonia" w:value="233"/>
          <w:listItem w:displayText="Ethiopia" w:value="231"/>
          <w:listItem w:displayText="Europe (M49)" w:value="150"/>
          <w:listItem w:displayText="Falkland Islands (Malvinas)" w:value="238"/>
          <w:listItem w:displayText="Faroe Islands" w:value="234"/>
          <w:listItem w:displayText="Fiji" w:value="242"/>
          <w:listItem w:displayText="Finland" w:value="246"/>
          <w:listItem w:displayText="France" w:value="250"/>
          <w:listItem w:displayText="French Guiana" w:value="254"/>
          <w:listItem w:displayText="French Polynesia" w:value="258"/>
          <w:listItem w:displayText="French Southern Territories" w:value="260"/>
          <w:listItem w:displayText="Gabon" w:value="266"/>
          <w:listItem w:displayText="Gambia" w:value="270"/>
          <w:listItem w:displayText="Georgia" w:value="268"/>
          <w:listItem w:displayText="Germany" w:value="276"/>
          <w:listItem w:displayText="Ghana" w:value="288"/>
          <w:listItem w:displayText="Gibraltar" w:value="292"/>
          <w:listItem w:displayText="Greece" w:value="300"/>
          <w:listItem w:displayText="Greenland" w:value="304"/>
          <w:listItem w:displayText="Grenada" w:value="308"/>
          <w:listItem w:displayText="Guadeloupe" w:value="312"/>
          <w:listItem w:displayText="Guam" w:value="316"/>
          <w:listItem w:displayText="Guatemala" w:value="320"/>
          <w:listItem w:displayText="Guernsey" w:value="831"/>
          <w:listItem w:displayText="Guinea" w:value="324"/>
          <w:listItem w:displayText="Guinea-Bissau" w:value="624"/>
          <w:listItem w:displayText="Guyana" w:value="328"/>
          <w:listItem w:displayText="Haiti" w:value="332"/>
          <w:listItem w:displayText="Heard Island and McDonald Islands" w:value="334"/>
          <w:listItem w:displayText="High income economies (WB)" w:value="910"/>
          <w:listItem w:displayText="Holy See" w:value="336"/>
          <w:listItem w:displayText="Honduras" w:value="340"/>
          <w:listItem w:displayText="Hungary" w:value="348"/>
          <w:listItem w:displayText="Iceland" w:value="352"/>
          <w:listItem w:displayText="India" w:value="356"/>
          <w:listItem w:displayText="Indonesia" w:value="360"/>
          <w:listItem w:displayText="International Centers (FAO)" w:value="917"/>
          <w:listItem w:displayText="Iran (Islamic Republic of)" w:value="364"/>
          <w:listItem w:displayText="Iraq" w:value="368"/>
          <w:listItem w:displayText="Ireland" w:value="372"/>
          <w:listItem w:displayText="Isle of Man" w:value="833"/>
          <w:listItem w:displayText="Israel" w:value="376"/>
          <w:listItem w:displayText="Italy" w:value="380"/>
          <w:listItem w:displayText="Jamaica" w:value="388"/>
          <w:listItem w:displayText="Japan" w:value="392"/>
          <w:listItem w:displayText="Jersey" w:value="832"/>
          <w:listItem w:displayText="Jordan" w:value="400"/>
          <w:listItem w:displayText="Kazakhstan" w:value="398"/>
          <w:listItem w:displayText="Kenya" w:value="404"/>
          <w:listItem w:displayText="Kiribati" w:value="296"/>
          <w:listItem w:displayText="Kosovo" w:value="412"/>
          <w:listItem w:displayText="Kuwait" w:value="414"/>
          <w:listItem w:displayText="Kyrgyzstan" w:value="417"/>
          <w:listItem w:displayText="Landlocked developing countries (LLDCs)" w:value="432"/>
          <w:listItem w:displayText="Lao People's Democratic Republic" w:value="418"/>
          <w:listItem w:displayText="Latin America (MDG)" w:value="420"/>
          <w:listItem w:displayText="Latin America and the Caribbean (SDG-MDG)" w:value="419"/>
          <w:listItem w:displayText="Latvia" w:value="428"/>
          <w:listItem w:displayText="Least Developed Countries (LDCs)" w:value="199"/>
          <w:listItem w:displayText="Lebanon" w:value="422"/>
          <w:listItem w:displayText="Lesotho" w:value="426"/>
          <w:listItem w:displayText="Liberia" w:value="430"/>
          <w:listItem w:displayText="Libya" w:value="434"/>
          <w:listItem w:displayText="Liechtenstein" w:value="438"/>
          <w:listItem w:displayText="Lithuania" w:value="440"/>
          <w:listItem w:displayText="Low and middle income economies (WB)" w:value="913"/>
          <w:listItem w:displayText="Low income economies (WB)" w:value="911"/>
          <w:listItem w:displayText="Lower middle economies (WB)" w:value="912"/>
          <w:listItem w:displayText="Luxembourg" w:value="442"/>
          <w:listItem w:displayText="Madagascar" w:value="450"/>
          <w:listItem w:displayText="Malawi" w:value="454"/>
          <w:listItem w:displayText="Malaysia" w:value="458"/>
          <w:listItem w:displayText="Maldives" w:value="462"/>
          <w:listItem w:displayText="Mali" w:value="466"/>
          <w:listItem w:displayText="Malta" w:value="470"/>
          <w:listItem w:displayText="Marshall Islands" w:value="584"/>
          <w:listItem w:displayText="Martinique" w:value="474"/>
          <w:listItem w:displayText="Mauritania" w:value="478"/>
          <w:listItem w:displayText="Mauritius" w:value="480"/>
          <w:listItem w:displayText="Mayotte" w:value="175"/>
          <w:listItem w:displayText="Melanesia (M49)" w:value="54"/>
          <w:listItem w:displayText="Mexico" w:value="484"/>
          <w:listItem w:displayText="Micronesia (Federated States of)" w:value="583"/>
          <w:listItem w:displayText="Micronesia (M49)" w:value="57"/>
          <w:listItem w:displayText="Middle Africa (M49)" w:value="17"/>
          <w:listItem w:displayText="Middle East (ILO)" w:value="905"/>
          <w:listItem w:displayText="Middle East and North Africa (ILO)" w:value="904"/>
          <w:listItem w:displayText="Monaco" w:value="492"/>
          <w:listItem w:displayText="Mongolia" w:value="496"/>
          <w:listItem w:displayText="Montenegro" w:value="499"/>
          <w:listItem w:displayText="Montserrat" w:value="500"/>
          <w:listItem w:displayText="Morocco" w:value="504"/>
          <w:listItem w:displayText="Mozambique" w:value="508"/>
          <w:listItem w:displayText="Myanmar" w:value="104"/>
          <w:listItem w:displayText="Namibia" w:value="516"/>
          <w:listItem w:displayText="Nauru" w:value="520"/>
          <w:listItem w:displayText="Nepal" w:value="524"/>
          <w:listItem w:displayText="Netherlands" w:value="528"/>
          <w:listItem w:displayText="Netherlands Antilles [former, 1986 to 2010]" w:value="530"/>
          <w:listItem w:displayText="New Caledonia" w:value="540"/>
          <w:listItem w:displayText="New Zealand" w:value="554"/>
          <w:listItem w:displayText="Nicaragua" w:value="558"/>
          <w:listItem w:displayText="Niger" w:value="562"/>
          <w:listItem w:displayText="Nigeria" w:value="566"/>
          <w:listItem w:displayText="Niue" w:value="570"/>
          <w:listItem w:displayText="Norfolk Island" w:value="574"/>
          <w:listItem w:displayText="North America (ILO)" w:value="906"/>
          <w:listItem w:displayText="Northern Africa (M49)" w:value="15"/>
          <w:listItem w:displayText="Northern Africa, exc. Sudan (MDG)" w:value="746"/>
          <w:listItem w:displayText="Northern America (M49)" w:value="21"/>
          <w:listItem w:displayText="Northern America and Europe (SDG)" w:value="513"/>
          <w:listItem w:displayText="Northern Europe (M49)" w:value="154"/>
          <w:listItem w:displayText="Northern Mariana Islands" w:value="580"/>
          <w:listItem w:displayText="Norway" w:value="578"/>
          <w:listItem w:displayText="Oceania (M49)" w:value="9"/>
          <w:listItem w:displayText="Oceania, exc. Australia and New Zealand (SDG-MDG)" w:value="543"/>
          <w:listItem w:displayText="OECD Member States" w:value="198"/>
          <w:listItem w:displayText="Oman" w:value="512"/>
          <w:listItem w:displayText="Other regions (ILO)" w:value="907"/>
          <w:listItem w:displayText="Pakistan" w:value="586"/>
          <w:listItem w:displayText="Palau" w:value="585"/>
          <w:listItem w:displayText="Panama" w:value="591"/>
          <w:listItem w:displayText="Papua New Guinea" w:value="598"/>
          <w:listItem w:displayText="Paraguay" w:value="600"/>
          <w:listItem w:displayText="Peru" w:value="604"/>
          <w:listItem w:displayText="Philippines" w:value="608"/>
          <w:listItem w:displayText="Pitcairn" w:value="612"/>
          <w:listItem w:displayText="Poland" w:value="616"/>
          <w:listItem w:displayText="Polynesia (M49)" w:value="61"/>
          <w:listItem w:displayText="Portugal" w:value="620"/>
          <w:listItem w:displayText="Puerto Rico" w:value="630"/>
          <w:listItem w:displayText="Qatar" w:value="634"/>
          <w:listItem w:displayText="Republic of Korea" w:value="410"/>
          <w:listItem w:displayText="Republic of Moldova" w:value="498"/>
          <w:listItem w:displayText="Réunion" w:value="638"/>
          <w:listItem w:displayText="Romania" w:value="642"/>
          <w:listItem w:displayText="Russian Federation" w:value="643"/>
          <w:listItem w:displayText="Rwanda" w:value="646"/>
          <w:listItem w:displayText="Saint Barthélemy" w:value="652"/>
          <w:listItem w:displayText="Saint Helena" w:value="654"/>
          <w:listItem w:displayText="Saint Kitts and Nevis" w:value="659"/>
          <w:listItem w:displayText="Saint Lucia" w:value="662"/>
          <w:listItem w:displayText="Saint Martin (French Part)" w:value="663"/>
          <w:listItem w:displayText="Saint Pierre and Miquelon" w:value="666"/>
          <w:listItem w:displayText="Saint Vincent and the Grenadines" w:value="670"/>
          <w:listItem w:displayText="Samoa" w:value="882"/>
          <w:listItem w:displayText="San Marino" w:value="674"/>
          <w:listItem w:displayText="Sao Tome and Principe" w:value="678"/>
          <w:listItem w:displayText="Saudi Arabia" w:value="682"/>
          <w:listItem w:displayText="Senegal" w:value="686"/>
          <w:listItem w:displayText="Serbia" w:value="688"/>
          <w:listItem w:displayText="Serbia and Montenegro [former]" w:value="891"/>
          <w:listItem w:displayText="Seychelles" w:value="690"/>
          <w:listItem w:displayText="Sierra Leone" w:value="694"/>
          <w:listItem w:displayText="Singapore" w:value="702"/>
          <w:listItem w:displayText="Sint Maarten (Dutch part)" w:value="534"/>
          <w:listItem w:displayText="Slovakia" w:value="703"/>
          <w:listItem w:displayText="Slovenia" w:value="705"/>
          <w:listItem w:displayText="Small island developing States (SIDS)" w:value="722"/>
          <w:listItem w:displayText="Solomon Islands" w:value="90"/>
          <w:listItem w:displayText="Somalia" w:value="706"/>
          <w:listItem w:displayText="South Africa" w:value="710"/>
          <w:listItem w:displayText="South America (M49)" w:value="5"/>
          <w:listItem w:displayText="South Georgia and the South Sandwich Islands" w:value="239"/>
          <w:listItem w:displayText="South Sudan" w:value="728"/>
          <w:listItem w:displayText="South-eastern Asia (M49-MDG)" w:value="35"/>
          <w:listItem w:displayText="Southern Africa (M49)" w:value="18"/>
          <w:listItem w:displayText="Southern Asia (M49-MDG)" w:value="34"/>
          <w:listItem w:displayText="Southern Asia, exc. India (MDG)" w:value="127"/>
          <w:listItem w:displayText="Southern Europe (M49)" w:value="39"/>
          <w:listItem w:displayText="Spain" w:value="724"/>
          <w:listItem w:displayText="Sri Lanka" w:value="144"/>
          <w:listItem w:displayText="State of Palestine" w:value="275"/>
          <w:listItem w:displayText="Sub-Saharan Africa (SDG)" w:value="202"/>
          <w:listItem w:displayText="Sub-Saharan Africa, inc. Sudan (MDG)" w:value="738"/>
          <w:listItem w:displayText="Sudan" w:value="729"/>
          <w:listItem w:displayText="Sudan [former]" w:value="736"/>
          <w:listItem w:displayText="Suriname" w:value="740"/>
          <w:listItem w:displayText="Svalbard and Jan Mayen Islands" w:value="744"/>
          <w:listItem w:displayText="Swaziland" w:value="748"/>
          <w:listItem w:displayText="Sweden" w:value="752"/>
          <w:listItem w:displayText="Switzerland" w:value="756"/>
          <w:listItem w:displayText="Syrian Arab Republic" w:value="760"/>
          <w:listItem w:displayText="Tajikistan" w:value="762"/>
          <w:listItem w:displayText="Thailand" w:value="764"/>
          <w:listItem w:displayText="The former Yugoslav Republic of Macedonia" w:value="807"/>
          <w:listItem w:displayText="Timor-Leste" w:value="626"/>
          <w:listItem w:displayText="Togo" w:value="768"/>
          <w:listItem w:displayText="Tokelau" w:value="772"/>
          <w:listItem w:displayText="Tonga" w:value="776"/>
          <w:listItem w:displayText="Trinidad and Tobago" w:value="780"/>
          <w:listItem w:displayText="Tunisia" w:value="788"/>
          <w:listItem w:displayText="Turkey" w:value="792"/>
          <w:listItem w:displayText="Turkmenistan" w:value="795"/>
          <w:listItem w:displayText="Turks and Caicos Islands" w:value="796"/>
          <w:listItem w:displayText="Tuvalu" w:value="798"/>
          <w:listItem w:displayText="Uganda" w:value="800"/>
          <w:listItem w:displayText="Ukraine" w:value="804"/>
          <w:listItem w:displayText="United Arab Emirates" w:value="784"/>
          <w:listItem w:displayText="United Kingdom of Great Britain and Northern Ireland" w:value="826"/>
          <w:listItem w:displayText="United Republic of Tanzania" w:value="834"/>
          <w:listItem w:displayText="United Republic of Tanzania (Mainland)" w:value="835"/>
          <w:listItem w:displayText="United Republic of Tanzania (Zanzibar)" w:value="836"/>
          <w:listItem w:displayText="United States minor outlying islands" w:value="581"/>
          <w:listItem w:displayText="United States of America" w:value="840"/>
          <w:listItem w:displayText="United States Virgin Islands" w:value="850"/>
          <w:listItem w:displayText="Upper middle economies (WB)" w:value="914"/>
          <w:listItem w:displayText="Uruguay" w:value="858"/>
          <w:listItem w:displayText="Uzbekistan" w:value="860"/>
          <w:listItem w:displayText="Vanuatu" w:value="548"/>
          <w:listItem w:displayText="Venezuela (Bolivarian Republic of)" w:value="862"/>
          <w:listItem w:displayText="Viet Nam" w:value="704"/>
          <w:listItem w:displayText="Wallis and Futuna Islands" w:value="876"/>
          <w:listItem w:displayText="Western Africa (M49)" w:value="11"/>
          <w:listItem w:displayText="Western Asia (M49)" w:value="145"/>
          <w:listItem w:displayText="Western Asia and Northern Africa (SDG)" w:value="747"/>
          <w:listItem w:displayText="Western Asia, exc. Armenia, Azerbaijan, Cyprus, Israel and Georgia (MDG)" w:value="485"/>
          <w:listItem w:displayText="Western Europe (ILO)" w:value="908"/>
          <w:listItem w:displayText="Western Europe (M49)" w:value="155"/>
          <w:listItem w:displayText="Western Sahara" w:value="732"/>
          <w:listItem w:displayText="WTO Developed Member States" w:value="916"/>
          <w:listItem w:displayText="WTO Developing Member States" w:value="915"/>
          <w:listItem w:displayText="WTO Member States" w:value="889"/>
          <w:listItem w:displayText="Yemen" w:value="887"/>
          <w:listItem w:displayText="Zambia" w:value="894"/>
          <w:listItem w:displayText="Zimbabwe" w:value="716"/>
        </w:dropDownList>
      </w:sdtPr>
      <w:sdtEndPr/>
      <w:sdtContent>
        <w:p w14:paraId="129F1DA5" w14:textId="22E73148" w:rsidR="00281303" w:rsidRDefault="00281303" w:rsidP="00281303">
          <w:r>
            <w:t>World</w:t>
          </w:r>
        </w:p>
      </w:sdtContent>
    </w:sdt>
    <w:p w14:paraId="7D40F477" w14:textId="77777777" w:rsidR="00281303" w:rsidRPr="00F7784D" w:rsidRDefault="00281303" w:rsidP="00281303">
      <w:pPr>
        <w:rPr>
          <w:sz w:val="26"/>
          <w:szCs w:val="26"/>
        </w:rPr>
      </w:pPr>
      <w:r w:rsidRPr="00F7784D">
        <w:rPr>
          <w:sz w:val="26"/>
          <w:szCs w:val="26"/>
        </w:rPr>
        <w:t>Metadata language</w:t>
      </w:r>
    </w:p>
    <w:sdt>
      <w:sdtPr>
        <w:alias w:val="Metadata Language"/>
        <w:tag w:val="ddLanguage"/>
        <w:id w:val="-1285879779"/>
        <w:placeholder>
          <w:docPart w:val="C843F5DDBF1141029E2BEE6E1C64B1D7"/>
        </w:placeholder>
        <w:dropDownList>
          <w:listItem w:displayText="English" w:value="en"/>
          <w:listItem w:displayText="Arabic" w:value="ar"/>
          <w:listItem w:displayText="Chinese" w:value="zh"/>
          <w:listItem w:displayText="French" w:value="fr"/>
          <w:listItem w:displayText="Russian" w:value="ru"/>
          <w:listItem w:displayText="Spanish" w:value="es"/>
        </w:dropDownList>
      </w:sdtPr>
      <w:sdtEndPr/>
      <w:sdtContent>
        <w:p w14:paraId="3FEF7BE8" w14:textId="16668996" w:rsidR="00281303" w:rsidRDefault="00281303" w:rsidP="00281303">
          <w:r>
            <w:t>English</w:t>
          </w:r>
        </w:p>
      </w:sdtContent>
    </w:sdt>
    <w:p w14:paraId="617144BA" w14:textId="77777777" w:rsidR="00281303" w:rsidRDefault="00281303" w:rsidP="00281303"/>
    <w:p w14:paraId="51667E6B" w14:textId="77777777" w:rsidR="00281303" w:rsidRDefault="00281303" w:rsidP="00281303">
      <w:pPr>
        <w:pStyle w:val="Heading2"/>
      </w:pPr>
      <w:r w:rsidRPr="00DB1DCD">
        <w:t>Import Data Structure Definition</w:t>
      </w:r>
    </w:p>
    <w:p w14:paraId="640CA975" w14:textId="77777777" w:rsidR="00281303" w:rsidRDefault="00281303" w:rsidP="00281303">
      <w:r>
        <w:t>To update the options in the dropdowns according to your SDMX DSD, click the button below:</w:t>
      </w:r>
    </w:p>
    <w:p w14:paraId="54CDDE7F" w14:textId="53DE01FF" w:rsidR="00281303" w:rsidRDefault="00281303" w:rsidP="00281303">
      <w:r>
        <w:rPr>
          <w:noProof/>
        </w:rPr>
        <w:drawing>
          <wp:inline distT="0" distB="0" distL="0" distR="0" wp14:anchorId="058655B4" wp14:editId="342A3FCA">
            <wp:extent cx="12573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7300" cy="304800"/>
                    </a:xfrm>
                    <a:prstGeom prst="rect">
                      <a:avLst/>
                    </a:prstGeom>
                    <a:noFill/>
                    <a:ln>
                      <a:noFill/>
                    </a:ln>
                  </pic:spPr>
                </pic:pic>
              </a:graphicData>
            </a:graphic>
          </wp:inline>
        </w:drawing>
      </w:r>
    </w:p>
    <w:p w14:paraId="78DD84AD" w14:textId="77777777" w:rsidR="00281303" w:rsidRDefault="00281303" w:rsidP="00281303"/>
    <w:p w14:paraId="394B9B12" w14:textId="6537D92E" w:rsidR="00281303" w:rsidRDefault="00281303" w:rsidP="00281303">
      <w:pPr>
        <w:pStyle w:val="MHeader"/>
      </w:pPr>
      <w:bookmarkStart w:id="1" w:name="_Toc37932742"/>
      <w:r>
        <w:t>Metadata Submission Form</w:t>
      </w:r>
      <w:bookmarkEnd w:id="1"/>
    </w:p>
    <w:p w14:paraId="535D1003" w14:textId="5125A188" w:rsidR="009C300C" w:rsidRDefault="009C300C" w:rsidP="00A13F90">
      <w:r>
        <w:t xml:space="preserve">Version 2.5 </w:t>
      </w:r>
    </w:p>
    <w:p w14:paraId="3314E59B" w14:textId="1AA61D83" w:rsidR="009C300C" w:rsidRDefault="009C300C" w:rsidP="00A13F90">
      <w:r>
        <w:t>August 5 2020</w:t>
      </w:r>
    </w:p>
    <w:p w14:paraId="335A4EA6" w14:textId="77777777" w:rsidR="00281303" w:rsidRDefault="00281303" w:rsidP="00281303"/>
    <w:tbl>
      <w:tblPr>
        <w:tblW w:w="4750" w:type="pct"/>
        <w:tblLayout w:type="fixed"/>
        <w:tblCellMar>
          <w:left w:w="115" w:type="dxa"/>
          <w:right w:w="115" w:type="dxa"/>
        </w:tblCellMar>
        <w:tblLook w:val="04A0" w:firstRow="1" w:lastRow="0" w:firstColumn="1" w:lastColumn="0" w:noHBand="0" w:noVBand="1"/>
        <w:tblCaption w:val="0. Indicator information"/>
      </w:tblPr>
      <w:tblGrid>
        <w:gridCol w:w="3088"/>
        <w:gridCol w:w="5804"/>
      </w:tblGrid>
      <w:tr w:rsidR="009C300C" w:rsidRPr="004D68B6" w14:paraId="5A3653C1" w14:textId="77777777" w:rsidTr="00870DFF">
        <w:trPr>
          <w:trHeight w:val="470"/>
        </w:trPr>
        <w:tc>
          <w:tcPr>
            <w:tcW w:w="8892" w:type="dxa"/>
            <w:gridSpan w:val="2"/>
            <w:tcBorders>
              <w:top w:val="nil"/>
              <w:left w:val="nil"/>
              <w:bottom w:val="nil"/>
              <w:right w:val="nil"/>
            </w:tcBorders>
            <w:shd w:val="clear" w:color="auto" w:fill="auto"/>
            <w:noWrap/>
            <w:vAlign w:val="bottom"/>
            <w:hideMark/>
          </w:tcPr>
          <w:p w14:paraId="02FA5FB5" w14:textId="77777777" w:rsidR="009C300C" w:rsidRPr="0051738B" w:rsidRDefault="009C300C" w:rsidP="00A13F90">
            <w:pPr>
              <w:pStyle w:val="Heading2"/>
              <w:rPr>
                <w:rFonts w:ascii="Times New Roman" w:hAnsi="Times New Roman"/>
              </w:rPr>
            </w:pPr>
            <w:bookmarkStart w:id="2" w:name="_Toc36655608"/>
            <w:bookmarkStart w:id="3" w:name="_Toc36812571"/>
            <w:bookmarkStart w:id="4" w:name="_Toc36812684"/>
            <w:bookmarkStart w:id="5" w:name="_Toc36813071"/>
            <w:bookmarkStart w:id="6" w:name="_Toc37932743"/>
            <w:r w:rsidRPr="0051738B">
              <w:t>0. Indicator information</w:t>
            </w:r>
            <w:bookmarkEnd w:id="2"/>
            <w:bookmarkEnd w:id="3"/>
            <w:bookmarkEnd w:id="4"/>
            <w:bookmarkEnd w:id="5"/>
            <w:bookmarkEnd w:id="6"/>
          </w:p>
        </w:tc>
      </w:tr>
      <w:tr w:rsidR="009C300C" w:rsidRPr="004D68B6" w14:paraId="79D8246E" w14:textId="77777777" w:rsidTr="00870DFF">
        <w:trPr>
          <w:trHeight w:val="300"/>
        </w:trPr>
        <w:tc>
          <w:tcPr>
            <w:tcW w:w="3088" w:type="dxa"/>
            <w:tcBorders>
              <w:top w:val="nil"/>
              <w:left w:val="nil"/>
              <w:bottom w:val="nil"/>
              <w:right w:val="nil"/>
            </w:tcBorders>
            <w:shd w:val="clear" w:color="000000" w:fill="D9E1F2"/>
            <w:noWrap/>
            <w:vAlign w:val="bottom"/>
            <w:hideMark/>
          </w:tcPr>
          <w:p w14:paraId="71380B5F" w14:textId="77777777" w:rsidR="009C300C" w:rsidRPr="004D68B6" w:rsidRDefault="009C300C" w:rsidP="00A13F90">
            <w:r>
              <w:t>Concept name</w:t>
            </w:r>
          </w:p>
        </w:tc>
        <w:tc>
          <w:tcPr>
            <w:tcW w:w="5804" w:type="dxa"/>
            <w:tcBorders>
              <w:top w:val="nil"/>
              <w:left w:val="nil"/>
              <w:bottom w:val="nil"/>
              <w:right w:val="nil"/>
            </w:tcBorders>
            <w:shd w:val="clear" w:color="000000" w:fill="D9E1F2"/>
            <w:noWrap/>
            <w:vAlign w:val="bottom"/>
            <w:hideMark/>
          </w:tcPr>
          <w:p w14:paraId="0E1940D0" w14:textId="77777777" w:rsidR="009C300C" w:rsidRPr="00A92C73" w:rsidRDefault="009C300C" w:rsidP="00A13F90">
            <w:r w:rsidRPr="00A92C73">
              <w:t xml:space="preserve">Insert text, lists, tables, and images. </w:t>
            </w:r>
          </w:p>
        </w:tc>
      </w:tr>
      <w:tr w:rsidR="009C300C" w:rsidRPr="004D68B6" w14:paraId="0A5FF537"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tcPr>
          <w:p w14:paraId="73FA8AFE" w14:textId="77777777" w:rsidR="009C300C" w:rsidRPr="0051738B" w:rsidRDefault="009C300C" w:rsidP="00A13F90">
            <w:r w:rsidRPr="005B293A">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6DB31600" w14:textId="77777777" w:rsidR="009C300C" w:rsidRPr="009F305C" w:rsidRDefault="009C300C" w:rsidP="00A13F90"/>
        </w:tc>
      </w:tr>
      <w:tr w:rsidR="009C300C" w:rsidRPr="004D68B6" w14:paraId="6002A42C"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1E4EF229" w14:textId="77777777" w:rsidR="009C300C" w:rsidRPr="004D68B6" w:rsidRDefault="009C300C" w:rsidP="00A13F90">
            <w:pPr>
              <w:rPr>
                <w:color w:val="000000"/>
              </w:rPr>
            </w:pPr>
            <w:r w:rsidRPr="007A078A">
              <w:t>0.a. Goal</w:t>
            </w:r>
          </w:p>
        </w:tc>
        <w:tc>
          <w:tcPr>
            <w:tcW w:w="5804" w:type="dxa"/>
            <w:tcBorders>
              <w:top w:val="single" w:sz="4" w:space="0" w:color="auto"/>
              <w:left w:val="nil"/>
              <w:bottom w:val="single" w:sz="4" w:space="0" w:color="auto"/>
              <w:right w:val="single" w:sz="4" w:space="0" w:color="auto"/>
            </w:tcBorders>
            <w:shd w:val="clear" w:color="auto" w:fill="auto"/>
          </w:tcPr>
          <w:p w14:paraId="55ACC4B1" w14:textId="290D3D71" w:rsidR="009C300C" w:rsidRPr="00BE72CB" w:rsidRDefault="00F915C8" w:rsidP="004D61E9">
            <w:pPr>
              <w:pStyle w:val="MGTHeader"/>
            </w:pPr>
            <w:r w:rsidRPr="005E26E6">
              <w:t>Goal 3: Ensure healthy lives and promote well-being for all at all ages</w:t>
            </w:r>
          </w:p>
        </w:tc>
      </w:tr>
      <w:tr w:rsidR="009C300C" w:rsidRPr="004D68B6" w14:paraId="456D4BB2"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60611F13" w14:textId="77777777" w:rsidR="009C300C" w:rsidRPr="004D68B6" w:rsidRDefault="009C300C" w:rsidP="00A13F90">
            <w:pPr>
              <w:rPr>
                <w:color w:val="000000"/>
              </w:rPr>
            </w:pPr>
            <w:r w:rsidRPr="007A078A">
              <w:t>0.b. Target</w:t>
            </w:r>
          </w:p>
        </w:tc>
        <w:tc>
          <w:tcPr>
            <w:tcW w:w="5804" w:type="dxa"/>
            <w:tcBorders>
              <w:top w:val="nil"/>
              <w:left w:val="nil"/>
              <w:bottom w:val="single" w:sz="4" w:space="0" w:color="auto"/>
              <w:right w:val="single" w:sz="4" w:space="0" w:color="auto"/>
            </w:tcBorders>
            <w:shd w:val="clear" w:color="auto" w:fill="auto"/>
          </w:tcPr>
          <w:p w14:paraId="08F1F5BF" w14:textId="2885311A" w:rsidR="009C300C" w:rsidRPr="009F305C" w:rsidRDefault="00F915C8" w:rsidP="004D61E9">
            <w:pPr>
              <w:pStyle w:val="MGTHeader"/>
            </w:pPr>
            <w:r w:rsidRPr="005E26E6">
              <w:t>Target 3.d: Strengthen the capacity of all countries, in particular developing countries, for early warning, risk reduction and management of national and global health risks</w:t>
            </w:r>
          </w:p>
        </w:tc>
      </w:tr>
      <w:tr w:rsidR="009C300C" w:rsidRPr="004D68B6" w14:paraId="2E7D60D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0CFDC50F" w14:textId="77777777" w:rsidR="009C300C" w:rsidRPr="004D68B6" w:rsidRDefault="009C300C" w:rsidP="00A13F90">
            <w:pPr>
              <w:rPr>
                <w:color w:val="000000"/>
              </w:rPr>
            </w:pPr>
            <w:r w:rsidRPr="007A078A">
              <w:t>0.c. Indicator</w:t>
            </w:r>
          </w:p>
        </w:tc>
        <w:tc>
          <w:tcPr>
            <w:tcW w:w="5804" w:type="dxa"/>
            <w:tcBorders>
              <w:top w:val="nil"/>
              <w:left w:val="nil"/>
              <w:bottom w:val="single" w:sz="4" w:space="0" w:color="auto"/>
              <w:right w:val="single" w:sz="4" w:space="0" w:color="auto"/>
            </w:tcBorders>
            <w:shd w:val="clear" w:color="auto" w:fill="auto"/>
          </w:tcPr>
          <w:p w14:paraId="7E7D784F" w14:textId="1D339F71" w:rsidR="009C300C" w:rsidRPr="00BE72CB" w:rsidRDefault="00F915C8" w:rsidP="004D61E9">
            <w:pPr>
              <w:pStyle w:val="MIndHeader"/>
            </w:pPr>
            <w:r w:rsidRPr="004D61E9">
              <w:t>Indicator 3.d.1: International Health Regulations (IHR) capacity and health emergency preparedness</w:t>
            </w:r>
          </w:p>
        </w:tc>
      </w:tr>
      <w:tr w:rsidR="009C300C" w:rsidRPr="004D68B6" w14:paraId="7BE561E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1AF7FDFB" w14:textId="77777777" w:rsidR="009C300C" w:rsidRPr="004D68B6" w:rsidRDefault="009C300C" w:rsidP="00A13F90">
            <w:pPr>
              <w:rPr>
                <w:color w:val="000000"/>
              </w:rPr>
            </w:pPr>
            <w:r w:rsidRPr="002A631A">
              <w:t>0.d. Series</w:t>
            </w:r>
          </w:p>
        </w:tc>
        <w:tc>
          <w:tcPr>
            <w:tcW w:w="5804" w:type="dxa"/>
            <w:tcBorders>
              <w:top w:val="nil"/>
              <w:left w:val="nil"/>
              <w:bottom w:val="single" w:sz="4" w:space="0" w:color="auto"/>
              <w:right w:val="single" w:sz="4" w:space="0" w:color="auto"/>
            </w:tcBorders>
            <w:shd w:val="clear" w:color="auto" w:fill="auto"/>
          </w:tcPr>
          <w:p w14:paraId="36D747AC" w14:textId="77777777" w:rsidR="009C300C" w:rsidRPr="009F305C" w:rsidRDefault="009C300C" w:rsidP="00A13F90"/>
        </w:tc>
      </w:tr>
      <w:tr w:rsidR="009C300C" w:rsidRPr="004D68B6" w14:paraId="375AB2AC"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29E8F11F" w14:textId="77777777" w:rsidR="009C300C" w:rsidRPr="004D68B6" w:rsidRDefault="009C300C" w:rsidP="00A13F90">
            <w:pPr>
              <w:rPr>
                <w:color w:val="000000"/>
              </w:rPr>
            </w:pPr>
            <w:r w:rsidRPr="002A631A">
              <w:t>0.e. Metadata update</w:t>
            </w:r>
          </w:p>
        </w:tc>
        <w:tc>
          <w:tcPr>
            <w:tcW w:w="5804" w:type="dxa"/>
            <w:tcBorders>
              <w:top w:val="nil"/>
              <w:left w:val="nil"/>
              <w:bottom w:val="single" w:sz="4" w:space="0" w:color="auto"/>
              <w:right w:val="single" w:sz="4" w:space="0" w:color="auto"/>
            </w:tcBorders>
            <w:shd w:val="clear" w:color="auto" w:fill="auto"/>
          </w:tcPr>
          <w:p w14:paraId="6876F9D1" w14:textId="45CDE32A" w:rsidR="009C300C" w:rsidRPr="001A2A7E" w:rsidRDefault="00F915C8" w:rsidP="004D61E9">
            <w:pPr>
              <w:pStyle w:val="Header"/>
              <w:rPr>
                <w:color w:val="404040" w:themeColor="text1" w:themeTint="BF"/>
                <w:sz w:val="18"/>
                <w:szCs w:val="18"/>
              </w:rPr>
            </w:pPr>
            <w:bookmarkStart w:id="7" w:name="_Hlk506197003"/>
            <w:bookmarkStart w:id="8" w:name="_Hlk506197004"/>
            <w:bookmarkStart w:id="9" w:name="_Hlk506197005"/>
            <w:bookmarkStart w:id="10" w:name="_Hlk516233502"/>
            <w:bookmarkStart w:id="11" w:name="_Hlk516233503"/>
            <w:bookmarkStart w:id="12" w:name="_Hlk516233504"/>
            <w:r w:rsidRPr="005E26E6">
              <w:rPr>
                <w:color w:val="404040" w:themeColor="text1" w:themeTint="BF"/>
                <w:sz w:val="18"/>
              </w:rPr>
              <w:t>Last updated</w:t>
            </w:r>
            <w:r w:rsidRPr="00BB4C37">
              <w:rPr>
                <w:color w:val="404040" w:themeColor="text1" w:themeTint="BF"/>
                <w:sz w:val="18"/>
              </w:rPr>
              <w:t>: 23 March 2020</w:t>
            </w:r>
            <w:bookmarkEnd w:id="7"/>
            <w:bookmarkEnd w:id="8"/>
            <w:bookmarkEnd w:id="9"/>
            <w:bookmarkEnd w:id="10"/>
            <w:bookmarkEnd w:id="11"/>
            <w:bookmarkEnd w:id="12"/>
          </w:p>
        </w:tc>
      </w:tr>
      <w:tr w:rsidR="009C300C" w:rsidRPr="004D68B6" w14:paraId="7E565FE3" w14:textId="77777777" w:rsidTr="00870DFF">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2D8551F8" w14:textId="77777777" w:rsidR="009C300C" w:rsidRPr="004D68B6" w:rsidRDefault="009C300C" w:rsidP="00A13F90">
            <w:pPr>
              <w:rPr>
                <w:color w:val="000000"/>
              </w:rPr>
            </w:pPr>
            <w:r w:rsidRPr="002A631A">
              <w:t xml:space="preserve">0.f. Related </w:t>
            </w:r>
            <w:r>
              <w:t>i</w:t>
            </w:r>
            <w:r w:rsidRPr="002A631A">
              <w:t>ndicators</w:t>
            </w:r>
          </w:p>
        </w:tc>
        <w:tc>
          <w:tcPr>
            <w:tcW w:w="5804" w:type="dxa"/>
            <w:tcBorders>
              <w:top w:val="nil"/>
              <w:left w:val="nil"/>
              <w:bottom w:val="single" w:sz="4" w:space="0" w:color="auto"/>
              <w:right w:val="single" w:sz="4" w:space="0" w:color="auto"/>
            </w:tcBorders>
            <w:shd w:val="clear" w:color="auto" w:fill="auto"/>
          </w:tcPr>
          <w:p w14:paraId="0CFE924D" w14:textId="77777777" w:rsidR="008F66EA" w:rsidRPr="00604BCB" w:rsidRDefault="008F66EA" w:rsidP="004D61E9">
            <w:pPr>
              <w:pStyle w:val="MHeader"/>
            </w:pPr>
            <w:r w:rsidRPr="00604BCB">
              <w:t>Related indicators as of February 2020</w:t>
            </w:r>
          </w:p>
          <w:p w14:paraId="20BBABE8" w14:textId="77777777" w:rsidR="008F66EA" w:rsidRPr="005E26E6" w:rsidRDefault="008F66EA" w:rsidP="004D61E9">
            <w:pPr>
              <w:pStyle w:val="MText"/>
            </w:pPr>
            <w:r w:rsidRPr="005E26E6">
              <w:t>There are linkages with:</w:t>
            </w:r>
          </w:p>
          <w:p w14:paraId="5ABEAC8F" w14:textId="77777777" w:rsidR="008F66EA" w:rsidRPr="005E26E6" w:rsidRDefault="008F66EA" w:rsidP="004D61E9">
            <w:pPr>
              <w:pStyle w:val="MText"/>
            </w:pPr>
            <w:r w:rsidRPr="005E26E6">
              <w:t>Goal 3: Ensure healthy lives and promote well-being for all at all ages</w:t>
            </w:r>
          </w:p>
          <w:p w14:paraId="6EA656A1" w14:textId="413C29E5" w:rsidR="009C300C" w:rsidRPr="009F305C" w:rsidRDefault="008F66EA" w:rsidP="00024893">
            <w:pPr>
              <w:pStyle w:val="MText"/>
            </w:pPr>
            <w:r w:rsidRPr="005E26E6">
              <w:t>Target 3.d: Strengthen the capacity of all countries, in particular developing countries, for early warning, risk reduction and management of national and global health risks</w:t>
            </w:r>
          </w:p>
        </w:tc>
      </w:tr>
      <w:tr w:rsidR="009C300C" w:rsidRPr="004D68B6" w14:paraId="42C8AA10"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52A97BFA" w14:textId="77777777" w:rsidR="009C300C" w:rsidRPr="004D68B6" w:rsidRDefault="009C300C" w:rsidP="00A13F90">
            <w:pPr>
              <w:rPr>
                <w:color w:val="000000"/>
              </w:rPr>
            </w:pPr>
            <w:r w:rsidRPr="00325D2B">
              <w:lastRenderedPageBreak/>
              <w:t xml:space="preserve">0.g. International </w:t>
            </w:r>
            <w:proofErr w:type="spellStart"/>
            <w:r w:rsidRPr="00325D2B">
              <w:t>organisations</w:t>
            </w:r>
            <w:proofErr w:type="spellEnd"/>
            <w:r w:rsidRPr="00325D2B">
              <w:t>(s) responsible for global monitoring</w:t>
            </w:r>
          </w:p>
        </w:tc>
        <w:tc>
          <w:tcPr>
            <w:tcW w:w="5804" w:type="dxa"/>
            <w:tcBorders>
              <w:top w:val="nil"/>
              <w:left w:val="nil"/>
              <w:bottom w:val="single" w:sz="4" w:space="0" w:color="auto"/>
              <w:right w:val="single" w:sz="4" w:space="0" w:color="auto"/>
            </w:tcBorders>
            <w:shd w:val="clear" w:color="auto" w:fill="auto"/>
          </w:tcPr>
          <w:p w14:paraId="560E11E9" w14:textId="77777777" w:rsidR="00F915C8" w:rsidRPr="00604BCB" w:rsidRDefault="00F915C8" w:rsidP="00F915C8">
            <w:pPr>
              <w:pStyle w:val="MHeader"/>
              <w:rPr>
                <w:rFonts w:cs="Arial"/>
              </w:rPr>
            </w:pPr>
            <w:r w:rsidRPr="005E26E6">
              <w:t xml:space="preserve">Institutional </w:t>
            </w:r>
            <w:r w:rsidRPr="00604BCB">
              <w:rPr>
                <w:rFonts w:cs="Arial"/>
              </w:rPr>
              <w:t>information</w:t>
            </w:r>
          </w:p>
          <w:p w14:paraId="38127239" w14:textId="77777777" w:rsidR="00F915C8" w:rsidRPr="005E26E6" w:rsidRDefault="00F915C8" w:rsidP="00F915C8">
            <w:pPr>
              <w:pStyle w:val="MSubHeader"/>
            </w:pPr>
            <w:r w:rsidRPr="005E26E6">
              <w:t>Organization(s):</w:t>
            </w:r>
          </w:p>
          <w:p w14:paraId="4B06110B" w14:textId="607E9AFF" w:rsidR="009C300C" w:rsidRPr="00803258" w:rsidRDefault="00F915C8" w:rsidP="004D61E9">
            <w:pPr>
              <w:pStyle w:val="MText"/>
            </w:pPr>
            <w:r w:rsidRPr="005E26E6">
              <w:t xml:space="preserve">World Health Organization (WHO) </w:t>
            </w:r>
          </w:p>
        </w:tc>
      </w:tr>
    </w:tbl>
    <w:p w14:paraId="27310433" w14:textId="77777777" w:rsidR="009C300C" w:rsidRDefault="009C300C" w:rsidP="00A13F90"/>
    <w:tbl>
      <w:tblPr>
        <w:tblW w:w="4750" w:type="pct"/>
        <w:tblLayout w:type="fixed"/>
        <w:tblLook w:val="04A0" w:firstRow="1" w:lastRow="0" w:firstColumn="1" w:lastColumn="0" w:noHBand="0" w:noVBand="1"/>
        <w:tblCaption w:val="1. Data reporter"/>
      </w:tblPr>
      <w:tblGrid>
        <w:gridCol w:w="3183"/>
        <w:gridCol w:w="5709"/>
      </w:tblGrid>
      <w:tr w:rsidR="009C300C" w:rsidRPr="004D68B6" w14:paraId="6D7A3446" w14:textId="77777777" w:rsidTr="00870DFF">
        <w:trPr>
          <w:trHeight w:val="432"/>
        </w:trPr>
        <w:tc>
          <w:tcPr>
            <w:tcW w:w="5000" w:type="pct"/>
            <w:gridSpan w:val="2"/>
            <w:tcBorders>
              <w:top w:val="nil"/>
              <w:left w:val="nil"/>
              <w:bottom w:val="nil"/>
              <w:right w:val="nil"/>
            </w:tcBorders>
            <w:shd w:val="clear" w:color="auto" w:fill="auto"/>
            <w:noWrap/>
            <w:vAlign w:val="bottom"/>
            <w:hideMark/>
          </w:tcPr>
          <w:p w14:paraId="1E7AF0F2" w14:textId="77777777" w:rsidR="009C300C" w:rsidRPr="00AF2FE1" w:rsidRDefault="009C300C" w:rsidP="00A13F90">
            <w:pPr>
              <w:pStyle w:val="Heading2"/>
              <w:rPr>
                <w:rFonts w:ascii="Times New Roman" w:hAnsi="Times New Roman"/>
              </w:rPr>
            </w:pPr>
            <w:bookmarkStart w:id="13" w:name="_Toc36655609"/>
            <w:bookmarkStart w:id="14" w:name="_Toc36812572"/>
            <w:bookmarkStart w:id="15" w:name="_Toc36812685"/>
            <w:bookmarkStart w:id="16" w:name="_Toc36813072"/>
            <w:bookmarkStart w:id="17" w:name="_Toc37932744"/>
            <w:r w:rsidRPr="00AF2FE1">
              <w:t>1. Data reporter</w:t>
            </w:r>
            <w:bookmarkEnd w:id="13"/>
            <w:bookmarkEnd w:id="14"/>
            <w:bookmarkEnd w:id="15"/>
            <w:bookmarkEnd w:id="16"/>
            <w:bookmarkEnd w:id="17"/>
          </w:p>
        </w:tc>
      </w:tr>
      <w:tr w:rsidR="009C300C" w:rsidRPr="004D68B6" w14:paraId="470DC32C" w14:textId="77777777" w:rsidTr="00870DFF">
        <w:trPr>
          <w:trHeight w:val="300"/>
        </w:trPr>
        <w:tc>
          <w:tcPr>
            <w:tcW w:w="1790" w:type="pct"/>
            <w:tcBorders>
              <w:top w:val="nil"/>
              <w:left w:val="nil"/>
              <w:bottom w:val="nil"/>
              <w:right w:val="nil"/>
            </w:tcBorders>
            <w:shd w:val="clear" w:color="000000" w:fill="D9E1F2"/>
            <w:noWrap/>
            <w:vAlign w:val="bottom"/>
            <w:hideMark/>
          </w:tcPr>
          <w:p w14:paraId="043462C3" w14:textId="77777777" w:rsidR="009C300C" w:rsidRPr="004D68B6" w:rsidRDefault="009C300C" w:rsidP="00A13F90">
            <w:r>
              <w:t>Concept name</w:t>
            </w:r>
          </w:p>
        </w:tc>
        <w:tc>
          <w:tcPr>
            <w:tcW w:w="3210" w:type="pct"/>
            <w:tcBorders>
              <w:top w:val="nil"/>
              <w:left w:val="nil"/>
              <w:bottom w:val="nil"/>
              <w:right w:val="nil"/>
            </w:tcBorders>
            <w:shd w:val="clear" w:color="000000" w:fill="D9E1F2"/>
            <w:noWrap/>
            <w:vAlign w:val="bottom"/>
            <w:hideMark/>
          </w:tcPr>
          <w:p w14:paraId="68BD73BB" w14:textId="77777777" w:rsidR="009C300C" w:rsidRPr="004D68B6" w:rsidRDefault="009C300C" w:rsidP="00A13F90">
            <w:r w:rsidRPr="00A92C73">
              <w:t xml:space="preserve">Insert text, lists, tables, and images. </w:t>
            </w:r>
          </w:p>
        </w:tc>
      </w:tr>
      <w:tr w:rsidR="009C300C" w:rsidRPr="004D68B6" w14:paraId="02E8EA52"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tcPr>
          <w:p w14:paraId="76053A96" w14:textId="77777777" w:rsidR="009C300C" w:rsidRPr="005B293A" w:rsidRDefault="009C300C" w:rsidP="00A13F90">
            <w:r w:rsidRPr="005B293A">
              <w:t>1. Data reporter</w:t>
            </w:r>
          </w:p>
        </w:tc>
        <w:tc>
          <w:tcPr>
            <w:tcW w:w="3210" w:type="pct"/>
            <w:tcBorders>
              <w:top w:val="single" w:sz="4" w:space="0" w:color="auto"/>
              <w:left w:val="nil"/>
              <w:bottom w:val="single" w:sz="4" w:space="0" w:color="auto"/>
              <w:right w:val="single" w:sz="4" w:space="0" w:color="auto"/>
            </w:tcBorders>
            <w:shd w:val="clear" w:color="auto" w:fill="auto"/>
          </w:tcPr>
          <w:p w14:paraId="41A570E5" w14:textId="77777777" w:rsidR="009C300C" w:rsidRPr="009F305C" w:rsidRDefault="009C300C" w:rsidP="00A13F90"/>
        </w:tc>
      </w:tr>
      <w:tr w:rsidR="009C300C" w:rsidRPr="004D68B6" w14:paraId="583FC31F"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3C71F932" w14:textId="77777777" w:rsidR="009C300C" w:rsidRPr="004D68B6" w:rsidRDefault="009C300C" w:rsidP="00A13F90">
            <w:pPr>
              <w:rPr>
                <w:color w:val="000000"/>
              </w:rPr>
            </w:pPr>
            <w:r w:rsidRPr="00325D2B">
              <w:t xml:space="preserve">1.a. </w:t>
            </w:r>
            <w:proofErr w:type="spellStart"/>
            <w:r w:rsidRPr="00325D2B">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7B71CFD9" w14:textId="77777777" w:rsidR="009C300C" w:rsidRPr="009F305C" w:rsidRDefault="009C300C" w:rsidP="00A13F90"/>
        </w:tc>
      </w:tr>
      <w:tr w:rsidR="009C300C" w:rsidRPr="004D68B6" w14:paraId="4902A3AD"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212D6FE1" w14:textId="77777777" w:rsidR="009C300C" w:rsidRPr="004D68B6" w:rsidRDefault="009C300C" w:rsidP="00A13F90">
            <w:pPr>
              <w:rPr>
                <w:color w:val="000000"/>
              </w:rPr>
            </w:pPr>
            <w:r w:rsidRPr="00325D2B">
              <w:t>1.b. Contact person(s)</w:t>
            </w:r>
          </w:p>
        </w:tc>
        <w:tc>
          <w:tcPr>
            <w:tcW w:w="3210" w:type="pct"/>
            <w:tcBorders>
              <w:top w:val="nil"/>
              <w:left w:val="nil"/>
              <w:bottom w:val="single" w:sz="4" w:space="0" w:color="auto"/>
              <w:right w:val="single" w:sz="4" w:space="0" w:color="auto"/>
            </w:tcBorders>
            <w:shd w:val="clear" w:color="auto" w:fill="auto"/>
          </w:tcPr>
          <w:p w14:paraId="6729C8A1" w14:textId="77777777" w:rsidR="009C300C" w:rsidRPr="009F305C" w:rsidRDefault="009C300C" w:rsidP="00A13F90"/>
        </w:tc>
      </w:tr>
      <w:tr w:rsidR="009C300C" w:rsidRPr="004D68B6" w14:paraId="48A5AAE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54DFFDD" w14:textId="77777777" w:rsidR="009C300C" w:rsidRPr="004D68B6" w:rsidRDefault="009C300C" w:rsidP="00A13F90">
            <w:pPr>
              <w:rPr>
                <w:color w:val="000000"/>
              </w:rPr>
            </w:pPr>
            <w:r w:rsidRPr="00325D2B">
              <w:t xml:space="preserve">1.c. Contact </w:t>
            </w:r>
            <w:proofErr w:type="spellStart"/>
            <w:r>
              <w:t>o</w:t>
            </w:r>
            <w:r w:rsidRPr="00325D2B">
              <w:t>rganisation</w:t>
            </w:r>
            <w:proofErr w:type="spellEnd"/>
            <w:r w:rsidRPr="00325D2B">
              <w:t xml:space="preserve"> </w:t>
            </w:r>
            <w:r>
              <w:t>u</w:t>
            </w:r>
            <w:r w:rsidRPr="00325D2B">
              <w:t>nit</w:t>
            </w:r>
          </w:p>
        </w:tc>
        <w:tc>
          <w:tcPr>
            <w:tcW w:w="3210" w:type="pct"/>
            <w:tcBorders>
              <w:top w:val="nil"/>
              <w:left w:val="nil"/>
              <w:bottom w:val="single" w:sz="4" w:space="0" w:color="auto"/>
              <w:right w:val="single" w:sz="4" w:space="0" w:color="auto"/>
            </w:tcBorders>
            <w:shd w:val="clear" w:color="auto" w:fill="auto"/>
          </w:tcPr>
          <w:p w14:paraId="1C5D76DD" w14:textId="77777777" w:rsidR="009C300C" w:rsidRPr="009F305C" w:rsidRDefault="009C300C" w:rsidP="00A13F90"/>
        </w:tc>
      </w:tr>
      <w:tr w:rsidR="009C300C" w:rsidRPr="004D68B6" w14:paraId="5E12A53A"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1699C5EC" w14:textId="77777777" w:rsidR="009C300C" w:rsidRPr="004D68B6" w:rsidRDefault="009C300C" w:rsidP="00A13F90">
            <w:pPr>
              <w:rPr>
                <w:rFonts w:ascii="Calibri" w:hAnsi="Calibri" w:cs="Calibri"/>
                <w:color w:val="000000"/>
              </w:rPr>
            </w:pPr>
            <w:r w:rsidRPr="00325D2B">
              <w:t>1</w:t>
            </w:r>
            <w:r w:rsidRPr="00325D2B">
              <w:rPr>
                <w:rFonts w:ascii="Calibri"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244AA117" w14:textId="77777777" w:rsidR="009C300C" w:rsidRPr="009F305C" w:rsidRDefault="009C300C" w:rsidP="00A13F90"/>
        </w:tc>
      </w:tr>
      <w:tr w:rsidR="009C300C" w:rsidRPr="004D68B6" w14:paraId="56D9D83F"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C5992EA" w14:textId="77777777" w:rsidR="009C300C" w:rsidRPr="004D68B6" w:rsidRDefault="009C300C" w:rsidP="00A13F90">
            <w:pPr>
              <w:rPr>
                <w:color w:val="000000"/>
              </w:rPr>
            </w:pPr>
            <w:r w:rsidRPr="00D12D35">
              <w:t xml:space="preserve">1.e. Contact </w:t>
            </w:r>
            <w:r>
              <w:t>p</w:t>
            </w:r>
            <w:r w:rsidRPr="00D12D35">
              <w:t>hone</w:t>
            </w:r>
          </w:p>
        </w:tc>
        <w:tc>
          <w:tcPr>
            <w:tcW w:w="3210" w:type="pct"/>
            <w:tcBorders>
              <w:top w:val="nil"/>
              <w:left w:val="nil"/>
              <w:bottom w:val="single" w:sz="4" w:space="0" w:color="auto"/>
              <w:right w:val="single" w:sz="4" w:space="0" w:color="auto"/>
            </w:tcBorders>
            <w:shd w:val="clear" w:color="auto" w:fill="auto"/>
          </w:tcPr>
          <w:p w14:paraId="6365E39D" w14:textId="77777777" w:rsidR="009C300C" w:rsidRPr="009F305C" w:rsidRDefault="009C300C" w:rsidP="00A13F90"/>
        </w:tc>
      </w:tr>
      <w:tr w:rsidR="009C300C" w:rsidRPr="004D68B6" w14:paraId="3733042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7E49DD66" w14:textId="77777777" w:rsidR="009C300C" w:rsidRPr="004D68B6" w:rsidRDefault="009C300C" w:rsidP="00A13F90">
            <w:pPr>
              <w:rPr>
                <w:color w:val="000000"/>
              </w:rPr>
            </w:pPr>
            <w:r w:rsidRPr="001034ED">
              <w:t xml:space="preserve">1.f. Contact </w:t>
            </w:r>
            <w:r>
              <w:t>m</w:t>
            </w:r>
            <w:r w:rsidRPr="001034ED">
              <w:t>ail</w:t>
            </w:r>
          </w:p>
        </w:tc>
        <w:tc>
          <w:tcPr>
            <w:tcW w:w="3210" w:type="pct"/>
            <w:tcBorders>
              <w:top w:val="nil"/>
              <w:left w:val="nil"/>
              <w:bottom w:val="single" w:sz="4" w:space="0" w:color="auto"/>
              <w:right w:val="single" w:sz="4" w:space="0" w:color="auto"/>
            </w:tcBorders>
            <w:shd w:val="clear" w:color="auto" w:fill="auto"/>
          </w:tcPr>
          <w:p w14:paraId="72BF7D33" w14:textId="77777777" w:rsidR="009C300C" w:rsidRPr="009F305C" w:rsidRDefault="009C300C" w:rsidP="00A13F90"/>
        </w:tc>
      </w:tr>
      <w:tr w:rsidR="009C300C" w:rsidRPr="004D68B6" w14:paraId="2A25E831"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3B32A13C" w14:textId="77777777" w:rsidR="009C300C" w:rsidRPr="004D68B6" w:rsidRDefault="009C300C" w:rsidP="00A13F90">
            <w:pPr>
              <w:rPr>
                <w:color w:val="000000"/>
              </w:rPr>
            </w:pPr>
            <w:r w:rsidRPr="001034ED">
              <w:t>1.g. Contact email</w:t>
            </w:r>
          </w:p>
        </w:tc>
        <w:tc>
          <w:tcPr>
            <w:tcW w:w="3210" w:type="pct"/>
            <w:tcBorders>
              <w:top w:val="nil"/>
              <w:left w:val="nil"/>
              <w:bottom w:val="single" w:sz="4" w:space="0" w:color="auto"/>
              <w:right w:val="single" w:sz="4" w:space="0" w:color="auto"/>
            </w:tcBorders>
            <w:shd w:val="clear" w:color="auto" w:fill="auto"/>
          </w:tcPr>
          <w:p w14:paraId="20605191" w14:textId="77777777" w:rsidR="009C300C" w:rsidRPr="009F305C" w:rsidRDefault="009C300C" w:rsidP="00A13F90"/>
        </w:tc>
      </w:tr>
    </w:tbl>
    <w:p w14:paraId="0B496257" w14:textId="77777777" w:rsidR="009C300C" w:rsidRDefault="009C300C" w:rsidP="00A13F90"/>
    <w:tbl>
      <w:tblPr>
        <w:tblW w:w="4750" w:type="pct"/>
        <w:tblLayout w:type="fixed"/>
        <w:tblLook w:val="04A0" w:firstRow="1" w:lastRow="0" w:firstColumn="1" w:lastColumn="0" w:noHBand="0" w:noVBand="1"/>
        <w:tblCaption w:val="2. Definition, concepts, and classifications"/>
      </w:tblPr>
      <w:tblGrid>
        <w:gridCol w:w="3118"/>
        <w:gridCol w:w="5774"/>
      </w:tblGrid>
      <w:tr w:rsidR="009C300C" w:rsidRPr="004D68B6" w14:paraId="6F247EA4" w14:textId="77777777" w:rsidTr="00870DFF">
        <w:trPr>
          <w:trHeight w:val="396"/>
        </w:trPr>
        <w:tc>
          <w:tcPr>
            <w:tcW w:w="5000" w:type="pct"/>
            <w:gridSpan w:val="2"/>
            <w:tcBorders>
              <w:top w:val="nil"/>
              <w:left w:val="nil"/>
              <w:bottom w:val="nil"/>
              <w:right w:val="nil"/>
            </w:tcBorders>
            <w:shd w:val="clear" w:color="auto" w:fill="auto"/>
            <w:noWrap/>
            <w:vAlign w:val="bottom"/>
            <w:hideMark/>
          </w:tcPr>
          <w:p w14:paraId="194E6279" w14:textId="77777777" w:rsidR="009C300C" w:rsidRPr="00AF2FE1" w:rsidRDefault="009C300C" w:rsidP="00A13F90">
            <w:pPr>
              <w:pStyle w:val="Heading2"/>
            </w:pPr>
            <w:bookmarkStart w:id="18" w:name="_Toc36655610"/>
            <w:bookmarkStart w:id="19" w:name="_Toc36812573"/>
            <w:bookmarkStart w:id="20" w:name="_Toc36812686"/>
            <w:bookmarkStart w:id="21" w:name="_Toc36813073"/>
            <w:bookmarkStart w:id="22" w:name="_Toc37932745"/>
            <w:r w:rsidRPr="00AF2FE1">
              <w:t>2. Definition, concepts, and classifications</w:t>
            </w:r>
            <w:bookmarkEnd w:id="18"/>
            <w:bookmarkEnd w:id="19"/>
            <w:bookmarkEnd w:id="20"/>
            <w:bookmarkEnd w:id="21"/>
            <w:bookmarkEnd w:id="22"/>
          </w:p>
        </w:tc>
      </w:tr>
      <w:tr w:rsidR="009C300C" w:rsidRPr="004D68B6" w14:paraId="22F599CD" w14:textId="77777777" w:rsidTr="00870DFF">
        <w:trPr>
          <w:trHeight w:val="300"/>
        </w:trPr>
        <w:tc>
          <w:tcPr>
            <w:tcW w:w="1753" w:type="pct"/>
            <w:tcBorders>
              <w:top w:val="nil"/>
              <w:left w:val="nil"/>
              <w:bottom w:val="nil"/>
              <w:right w:val="nil"/>
            </w:tcBorders>
            <w:shd w:val="clear" w:color="000000" w:fill="D9E1F2"/>
            <w:noWrap/>
            <w:vAlign w:val="bottom"/>
            <w:hideMark/>
          </w:tcPr>
          <w:p w14:paraId="661B4CBE" w14:textId="77777777" w:rsidR="009C300C" w:rsidRPr="004D68B6" w:rsidRDefault="009C300C" w:rsidP="00A13F90">
            <w:r>
              <w:t>Concept name</w:t>
            </w:r>
          </w:p>
        </w:tc>
        <w:tc>
          <w:tcPr>
            <w:tcW w:w="3247" w:type="pct"/>
            <w:tcBorders>
              <w:top w:val="nil"/>
              <w:left w:val="nil"/>
              <w:bottom w:val="nil"/>
              <w:right w:val="nil"/>
            </w:tcBorders>
            <w:shd w:val="clear" w:color="000000" w:fill="D9E1F2"/>
            <w:noWrap/>
            <w:vAlign w:val="bottom"/>
            <w:hideMark/>
          </w:tcPr>
          <w:p w14:paraId="405BF5E8" w14:textId="77777777" w:rsidR="009C300C" w:rsidRPr="004D68B6" w:rsidRDefault="009C300C" w:rsidP="00A13F90">
            <w:r w:rsidRPr="00A92C73">
              <w:t xml:space="preserve">Insert text, lists, tables, and images. </w:t>
            </w:r>
          </w:p>
        </w:tc>
      </w:tr>
      <w:tr w:rsidR="009C300C" w:rsidRPr="004D68B6" w14:paraId="19AC50D0"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tcPr>
          <w:p w14:paraId="431A231E" w14:textId="77777777" w:rsidR="009C300C" w:rsidRPr="004E5702" w:rsidRDefault="009C300C" w:rsidP="00A13F90">
            <w:r w:rsidRPr="005B293A">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5CC200FA" w14:textId="77777777" w:rsidR="009C300C" w:rsidRPr="009F305C" w:rsidRDefault="009C300C" w:rsidP="00A13F90"/>
        </w:tc>
      </w:tr>
      <w:tr w:rsidR="009C300C" w:rsidRPr="004D68B6" w14:paraId="6372774F"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02A4F4D0" w14:textId="77777777" w:rsidR="009C300C" w:rsidRPr="004D68B6" w:rsidRDefault="009C300C" w:rsidP="00A13F90">
            <w:pPr>
              <w:rPr>
                <w:color w:val="000000"/>
              </w:rPr>
            </w:pPr>
            <w:r w:rsidRPr="001F0C55">
              <w:t xml:space="preserve">2.a. Definition and </w:t>
            </w:r>
            <w:r>
              <w:t>c</w:t>
            </w:r>
            <w:r w:rsidRPr="001F0C55">
              <w:t>oncepts</w:t>
            </w:r>
          </w:p>
        </w:tc>
        <w:tc>
          <w:tcPr>
            <w:tcW w:w="3247" w:type="pct"/>
            <w:tcBorders>
              <w:top w:val="single" w:sz="4" w:space="0" w:color="auto"/>
              <w:left w:val="nil"/>
              <w:bottom w:val="single" w:sz="4" w:space="0" w:color="auto"/>
              <w:right w:val="single" w:sz="4" w:space="0" w:color="auto"/>
            </w:tcBorders>
            <w:shd w:val="clear" w:color="auto" w:fill="auto"/>
          </w:tcPr>
          <w:p w14:paraId="55E7FD15" w14:textId="77777777" w:rsidR="00F915C8" w:rsidRPr="00604BCB" w:rsidRDefault="00F915C8" w:rsidP="004D61E9">
            <w:pPr>
              <w:pStyle w:val="MHeader"/>
            </w:pPr>
            <w:r w:rsidRPr="00604BCB">
              <w:t>Concepts and definitions</w:t>
            </w:r>
          </w:p>
          <w:p w14:paraId="4F3ACCC9" w14:textId="77777777" w:rsidR="00F915C8" w:rsidRPr="00FC13A1" w:rsidRDefault="00F915C8" w:rsidP="004D61E9">
            <w:pPr>
              <w:pStyle w:val="MSubHeader"/>
            </w:pPr>
            <w:r w:rsidRPr="00FC13A1">
              <w:t>Definition:</w:t>
            </w:r>
          </w:p>
          <w:p w14:paraId="2E799569" w14:textId="0C8E3CB2" w:rsidR="00F915C8" w:rsidRDefault="00F915C8" w:rsidP="004D61E9">
            <w:pPr>
              <w:pStyle w:val="MText"/>
            </w:pPr>
            <w:r w:rsidRPr="00FC13A1">
              <w:t>Percentage of attributes of 13 core capacities that have been attained at a specific point in time. The 13 core capacities are: (1) Legislation and financing; (2) IHR Coordination and National Focal Point Functions; (3) Zoonotic events and the Human-Animal Health Interface; (4) Food safety; (5) Laboratory; (6) Surveillance; (7) Human resources; (8) National Health Emergency Framework; (9) Health Service Provision; (10) Risk communication; (11) Points of entry; (12) Chemical events; (13) Radiation emergencies.</w:t>
            </w:r>
          </w:p>
          <w:p w14:paraId="47BB2326" w14:textId="71404244" w:rsidR="00F915C8" w:rsidRDefault="00F915C8" w:rsidP="00F915C8">
            <w:pPr>
              <w:rPr>
                <w:rFonts w:cs="Arial"/>
              </w:rPr>
            </w:pPr>
          </w:p>
          <w:p w14:paraId="7D37A00B" w14:textId="77777777" w:rsidR="00F915C8" w:rsidRPr="00FC13A1" w:rsidRDefault="00F915C8" w:rsidP="004D61E9">
            <w:pPr>
              <w:pStyle w:val="MSubHeader"/>
            </w:pPr>
            <w:r w:rsidRPr="00FC13A1">
              <w:t>Concepts:</w:t>
            </w:r>
          </w:p>
          <w:p w14:paraId="5CDD4F73" w14:textId="77777777" w:rsidR="00F915C8" w:rsidRPr="005E26E6" w:rsidRDefault="00F915C8" w:rsidP="004D61E9">
            <w:pPr>
              <w:pStyle w:val="MText"/>
            </w:pPr>
            <w:r w:rsidRPr="005E26E6">
              <w:rPr>
                <w:b/>
              </w:rPr>
              <w:t>Core capacity:</w:t>
            </w:r>
            <w:r w:rsidRPr="005E26E6">
              <w:t xml:space="preserve"> the essential public health capacity that States Parties are required to have in place throughout their territories pursuant to Articles 5 and 12, and Annex 1A of the IHR (2005) requirements by the year 2012. Thirteen core capacities and 24 indicators are defined in this document. </w:t>
            </w:r>
          </w:p>
          <w:p w14:paraId="313DD56E" w14:textId="77777777" w:rsidR="00F915C8" w:rsidRPr="005E26E6" w:rsidRDefault="00F915C8" w:rsidP="00F915C8">
            <w:pPr>
              <w:pStyle w:val="Default"/>
              <w:rPr>
                <w:color w:val="4A4A4A"/>
                <w:sz w:val="21"/>
              </w:rPr>
            </w:pPr>
          </w:p>
          <w:p w14:paraId="2C31B0F5" w14:textId="77777777" w:rsidR="00F915C8" w:rsidRPr="005E26E6" w:rsidRDefault="00F915C8" w:rsidP="00F915C8">
            <w:pPr>
              <w:pStyle w:val="Default"/>
              <w:rPr>
                <w:color w:val="4A4A4A"/>
                <w:sz w:val="21"/>
              </w:rPr>
            </w:pPr>
            <w:r w:rsidRPr="004D61E9">
              <w:rPr>
                <w:rStyle w:val="MTextChar"/>
                <w:rFonts w:eastAsiaTheme="minorHAnsi"/>
                <w:b/>
                <w:bCs/>
              </w:rPr>
              <w:t>Indicator</w:t>
            </w:r>
            <w:r w:rsidRPr="004D61E9">
              <w:rPr>
                <w:rStyle w:val="MTextChar"/>
                <w:rFonts w:eastAsiaTheme="minorHAnsi"/>
              </w:rPr>
              <w:t>: a variable that can be measured repeatedly (directly or indirectly) over time to reveal change in a system. It can be qualitative or quantitative, allowing the objective measurement</w:t>
            </w:r>
            <w:r w:rsidRPr="005E26E6">
              <w:rPr>
                <w:color w:val="4A4A4A"/>
                <w:sz w:val="21"/>
              </w:rPr>
              <w:t xml:space="preserve"> </w:t>
            </w:r>
            <w:r w:rsidRPr="005E26E6">
              <w:rPr>
                <w:color w:val="4A4A4A"/>
                <w:sz w:val="21"/>
              </w:rPr>
              <w:lastRenderedPageBreak/>
              <w:t xml:space="preserve">of the progress of a </w:t>
            </w:r>
            <w:proofErr w:type="spellStart"/>
            <w:r w:rsidRPr="005E26E6">
              <w:rPr>
                <w:color w:val="4A4A4A"/>
                <w:sz w:val="21"/>
              </w:rPr>
              <w:t>programme</w:t>
            </w:r>
            <w:proofErr w:type="spellEnd"/>
            <w:r w:rsidRPr="005E26E6">
              <w:rPr>
                <w:color w:val="4A4A4A"/>
                <w:sz w:val="21"/>
              </w:rPr>
              <w:t xml:space="preserve"> or event. The quantitative measurements need to be interpreted in the broader context, taking other sources of information (e.g. supervisory reports and special studies) into consideration and they should be supplemented with qualitative information.</w:t>
            </w:r>
            <w:r w:rsidRPr="005E26E6">
              <w:rPr>
                <w:color w:val="4A4A4A"/>
                <w:sz w:val="21"/>
                <w:szCs w:val="21"/>
              </w:rPr>
              <w:t xml:space="preserve"> </w:t>
            </w:r>
          </w:p>
          <w:p w14:paraId="095E723C" w14:textId="77777777" w:rsidR="00F915C8" w:rsidRPr="005E26E6" w:rsidRDefault="00F915C8" w:rsidP="00F915C8">
            <w:pPr>
              <w:pStyle w:val="Default"/>
              <w:rPr>
                <w:color w:val="4A4A4A"/>
                <w:sz w:val="21"/>
                <w:szCs w:val="21"/>
              </w:rPr>
            </w:pPr>
          </w:p>
          <w:p w14:paraId="0751295D" w14:textId="77777777" w:rsidR="00F915C8" w:rsidRPr="005E26E6" w:rsidRDefault="00F915C8" w:rsidP="004D61E9">
            <w:pPr>
              <w:pStyle w:val="MText"/>
            </w:pPr>
            <w:r w:rsidRPr="005E26E6">
              <w:rPr>
                <w:b/>
              </w:rPr>
              <w:t>Attributes:</w:t>
            </w:r>
            <w:r w:rsidRPr="005E26E6">
              <w:t xml:space="preserve"> one of a set of specific elements or characteristics that reflect the level of performance or achievement of a specific indicator. </w:t>
            </w:r>
          </w:p>
          <w:p w14:paraId="4FAC85CA" w14:textId="77777777" w:rsidR="00F915C8" w:rsidRPr="005E26E6" w:rsidRDefault="00F915C8" w:rsidP="00F915C8">
            <w:pPr>
              <w:pStyle w:val="Default"/>
              <w:rPr>
                <w:color w:val="4A4A4A"/>
                <w:sz w:val="21"/>
              </w:rPr>
            </w:pPr>
          </w:p>
          <w:p w14:paraId="0D507A5A" w14:textId="11037386" w:rsidR="0023460C" w:rsidRPr="009F305C" w:rsidRDefault="004D61E9" w:rsidP="004D61E9">
            <w:pPr>
              <w:pStyle w:val="MText"/>
            </w:pPr>
            <w:r>
              <w:rPr>
                <w:b/>
              </w:rPr>
              <w:t>Ca</w:t>
            </w:r>
            <w:r w:rsidR="00F915C8" w:rsidRPr="005E26E6">
              <w:rPr>
                <w:b/>
              </w:rPr>
              <w:t>pability levels:</w:t>
            </w:r>
            <w:r w:rsidR="00F915C8" w:rsidRPr="005E26E6">
              <w:t xml:space="preserve"> Each attribute has been assigned a level of maturity, or a ‘capability level.’ Attainment of a given capability level requires that all attributes at lower levels are in place. In the checklist, the status of core capacity development is measured at five capability levels, each of the 5 levels used is described by specific indicators, according related capacity.</w:t>
            </w:r>
          </w:p>
        </w:tc>
      </w:tr>
      <w:tr w:rsidR="009C300C" w:rsidRPr="004D68B6" w14:paraId="69CDD44D"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3957ED67" w14:textId="77777777" w:rsidR="009C300C" w:rsidRPr="004D68B6" w:rsidRDefault="009C300C" w:rsidP="00A13F90">
            <w:pPr>
              <w:rPr>
                <w:color w:val="000000"/>
              </w:rPr>
            </w:pPr>
            <w:r w:rsidRPr="001F0C55">
              <w:lastRenderedPageBreak/>
              <w:t xml:space="preserve">2.b. Unit of </w:t>
            </w:r>
            <w:r>
              <w:t>m</w:t>
            </w:r>
            <w:r w:rsidRPr="001F0C55">
              <w:t>easure</w:t>
            </w:r>
          </w:p>
        </w:tc>
        <w:tc>
          <w:tcPr>
            <w:tcW w:w="3247" w:type="pct"/>
            <w:tcBorders>
              <w:top w:val="nil"/>
              <w:left w:val="nil"/>
              <w:bottom w:val="single" w:sz="4" w:space="0" w:color="auto"/>
              <w:right w:val="single" w:sz="4" w:space="0" w:color="auto"/>
            </w:tcBorders>
            <w:shd w:val="clear" w:color="auto" w:fill="auto"/>
          </w:tcPr>
          <w:p w14:paraId="7D3B5F8E" w14:textId="77777777" w:rsidR="009C300C" w:rsidRPr="009F305C" w:rsidRDefault="009C300C" w:rsidP="00A13F90"/>
        </w:tc>
      </w:tr>
      <w:tr w:rsidR="009C300C" w:rsidRPr="004D68B6" w14:paraId="49869F14"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185688C8" w14:textId="77777777" w:rsidR="009C300C" w:rsidRPr="004D68B6" w:rsidRDefault="009C300C" w:rsidP="00A13F90">
            <w:pPr>
              <w:rPr>
                <w:color w:val="000000"/>
              </w:rPr>
            </w:pPr>
            <w:r w:rsidRPr="001F0C55">
              <w:t>2.c. Classifications</w:t>
            </w:r>
          </w:p>
        </w:tc>
        <w:tc>
          <w:tcPr>
            <w:tcW w:w="3247" w:type="pct"/>
            <w:tcBorders>
              <w:top w:val="nil"/>
              <w:left w:val="nil"/>
              <w:bottom w:val="single" w:sz="4" w:space="0" w:color="auto"/>
              <w:right w:val="single" w:sz="4" w:space="0" w:color="auto"/>
            </w:tcBorders>
            <w:shd w:val="clear" w:color="auto" w:fill="auto"/>
          </w:tcPr>
          <w:p w14:paraId="4ACA2F55" w14:textId="77777777" w:rsidR="009C300C" w:rsidRPr="009F305C" w:rsidRDefault="009C300C" w:rsidP="00A13F90"/>
        </w:tc>
      </w:tr>
    </w:tbl>
    <w:p w14:paraId="4C919BE1" w14:textId="77777777" w:rsidR="009C300C" w:rsidRDefault="009C300C" w:rsidP="00A13F90"/>
    <w:tbl>
      <w:tblPr>
        <w:tblW w:w="4750" w:type="pct"/>
        <w:tblLayout w:type="fixed"/>
        <w:tblLook w:val="04A0" w:firstRow="1" w:lastRow="0" w:firstColumn="1" w:lastColumn="0" w:noHBand="0" w:noVBand="1"/>
        <w:tblCaption w:val="3. Data source type and data collection method"/>
      </w:tblPr>
      <w:tblGrid>
        <w:gridCol w:w="3119"/>
        <w:gridCol w:w="5773"/>
      </w:tblGrid>
      <w:tr w:rsidR="009C300C" w:rsidRPr="004D68B6" w14:paraId="28B9CF67"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0915E9DF" w14:textId="77777777" w:rsidR="009C300C" w:rsidRPr="00AF2FE1" w:rsidRDefault="009C300C" w:rsidP="00A13F90">
            <w:pPr>
              <w:pStyle w:val="Heading2"/>
            </w:pPr>
            <w:bookmarkStart w:id="23" w:name="_Toc36813074"/>
            <w:bookmarkStart w:id="24" w:name="_Toc37932746"/>
            <w:r w:rsidRPr="00AF2FE1">
              <w:t>3. Data source type and data collection method</w:t>
            </w:r>
            <w:bookmarkEnd w:id="23"/>
            <w:bookmarkEnd w:id="24"/>
          </w:p>
        </w:tc>
      </w:tr>
      <w:tr w:rsidR="009C300C" w:rsidRPr="004D68B6" w14:paraId="4AF48548" w14:textId="77777777" w:rsidTr="00BA6FEF">
        <w:trPr>
          <w:trHeight w:val="300"/>
        </w:trPr>
        <w:tc>
          <w:tcPr>
            <w:tcW w:w="1754" w:type="pct"/>
            <w:tcBorders>
              <w:top w:val="nil"/>
              <w:left w:val="nil"/>
              <w:bottom w:val="nil"/>
              <w:right w:val="nil"/>
            </w:tcBorders>
            <w:shd w:val="clear" w:color="000000" w:fill="D9E1F2"/>
            <w:noWrap/>
            <w:vAlign w:val="bottom"/>
            <w:hideMark/>
          </w:tcPr>
          <w:p w14:paraId="7B566F84" w14:textId="77777777" w:rsidR="009C300C" w:rsidRPr="004D68B6" w:rsidRDefault="009C300C" w:rsidP="00A13F90">
            <w:r>
              <w:t>Concept name</w:t>
            </w:r>
          </w:p>
        </w:tc>
        <w:tc>
          <w:tcPr>
            <w:tcW w:w="3246" w:type="pct"/>
            <w:tcBorders>
              <w:top w:val="nil"/>
              <w:left w:val="nil"/>
              <w:bottom w:val="nil"/>
              <w:right w:val="nil"/>
            </w:tcBorders>
            <w:shd w:val="clear" w:color="000000" w:fill="D9E1F2"/>
            <w:noWrap/>
            <w:vAlign w:val="bottom"/>
          </w:tcPr>
          <w:p w14:paraId="3E0117A2" w14:textId="7AC3EEC2" w:rsidR="009C300C" w:rsidRPr="004D68B6" w:rsidRDefault="009C300C" w:rsidP="00A13F90"/>
        </w:tc>
      </w:tr>
      <w:tr w:rsidR="009C300C" w:rsidRPr="004D68B6" w14:paraId="32A10803"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21A9F66C" w14:textId="77777777" w:rsidR="009C300C" w:rsidRPr="004E5702" w:rsidRDefault="009C300C" w:rsidP="00A13F90">
            <w:r w:rsidRPr="005B293A">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105F49DB" w14:textId="77777777" w:rsidR="009C300C" w:rsidRPr="009F305C" w:rsidRDefault="009C300C" w:rsidP="00A13F90"/>
        </w:tc>
      </w:tr>
      <w:tr w:rsidR="009C300C" w:rsidRPr="004D68B6" w14:paraId="7B88004C"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66BD306E" w14:textId="77777777" w:rsidR="009C300C" w:rsidRPr="004D68B6" w:rsidRDefault="009C300C" w:rsidP="00A13F90">
            <w:pPr>
              <w:rPr>
                <w:color w:val="000000"/>
              </w:rPr>
            </w:pPr>
            <w:r w:rsidRPr="00FA20D9">
              <w:t>3.a. Data sources</w:t>
            </w:r>
          </w:p>
        </w:tc>
        <w:tc>
          <w:tcPr>
            <w:tcW w:w="3246" w:type="pct"/>
            <w:tcBorders>
              <w:top w:val="single" w:sz="4" w:space="0" w:color="auto"/>
              <w:left w:val="nil"/>
              <w:bottom w:val="single" w:sz="4" w:space="0" w:color="auto"/>
              <w:right w:val="single" w:sz="4" w:space="0" w:color="auto"/>
            </w:tcBorders>
            <w:shd w:val="clear" w:color="auto" w:fill="auto"/>
          </w:tcPr>
          <w:p w14:paraId="33E3832F" w14:textId="22ACEF61" w:rsidR="00D435E4" w:rsidRPr="00604BCB" w:rsidRDefault="00D435E4" w:rsidP="00450185">
            <w:pPr>
              <w:pStyle w:val="MHeader"/>
            </w:pPr>
            <w:r w:rsidRPr="00604BCB">
              <w:t xml:space="preserve">Data </w:t>
            </w:r>
            <w:r w:rsidR="00450185">
              <w:t>s</w:t>
            </w:r>
            <w:r w:rsidRPr="00604BCB">
              <w:t>ources</w:t>
            </w:r>
          </w:p>
          <w:p w14:paraId="57AEB0C6" w14:textId="77777777" w:rsidR="00D435E4" w:rsidRPr="00FC13A1" w:rsidRDefault="00D435E4" w:rsidP="00450185">
            <w:pPr>
              <w:pStyle w:val="MSubHeader"/>
            </w:pPr>
            <w:r w:rsidRPr="00FC13A1">
              <w:t>Description:</w:t>
            </w:r>
          </w:p>
          <w:p w14:paraId="6ACEA896" w14:textId="6C34D573" w:rsidR="00D435E4" w:rsidRDefault="00D435E4" w:rsidP="00450185">
            <w:pPr>
              <w:pStyle w:val="MText"/>
              <w:rPr>
                <w:rFonts w:cs="Arial"/>
              </w:rPr>
            </w:pPr>
            <w:r w:rsidRPr="00FC13A1">
              <w:t xml:space="preserve">State Parties of IHR can use the on-line reporting tool, that reflects the questionnaire of the </w:t>
            </w:r>
            <w:r w:rsidRPr="00FC13A1">
              <w:rPr>
                <w:rFonts w:cs="Arial"/>
              </w:rPr>
              <w:t xml:space="preserve">IHR State Parties Self-Assessment Tool was published in July 2018 (all references and results published at: </w:t>
            </w:r>
            <w:hyperlink r:id="rId6" w:history="1">
              <w:r>
                <w:rPr>
                  <w:rStyle w:val="Hyperlink"/>
                </w:rPr>
                <w:t>https://extranet.who.int/e-spar/</w:t>
              </w:r>
            </w:hyperlink>
            <w:r>
              <w:rPr>
                <w:rFonts w:cs="Arial"/>
              </w:rPr>
              <w:t xml:space="preserve">.  </w:t>
            </w:r>
          </w:p>
          <w:p w14:paraId="41ED8F1E" w14:textId="77777777" w:rsidR="00450185" w:rsidRDefault="00450185" w:rsidP="00450185">
            <w:pPr>
              <w:pStyle w:val="MText"/>
              <w:rPr>
                <w:rFonts w:eastAsiaTheme="minorEastAsia"/>
              </w:rPr>
            </w:pPr>
          </w:p>
          <w:p w14:paraId="15268253" w14:textId="77777777" w:rsidR="00D435E4" w:rsidRPr="005E26E6" w:rsidRDefault="00D435E4" w:rsidP="00450185">
            <w:pPr>
              <w:pStyle w:val="MText"/>
              <w:rPr>
                <w:rFonts w:ascii="Roboto-Regular" w:eastAsiaTheme="minorHAnsi" w:hAnsi="Roboto-Regular" w:cs="Roboto-Regular"/>
                <w:sz w:val="20"/>
                <w:szCs w:val="20"/>
                <w:lang w:eastAsia="en-US"/>
              </w:rPr>
            </w:pPr>
            <w:r w:rsidRPr="005E26E6">
              <w:rPr>
                <w:rFonts w:ascii="Roboto-Regular" w:eastAsiaTheme="minorHAnsi" w:hAnsi="Roboto-Regular" w:cs="Roboto-Regular"/>
                <w:sz w:val="20"/>
                <w:szCs w:val="20"/>
                <w:lang w:eastAsia="en-US"/>
              </w:rPr>
              <w:t xml:space="preserve">The tool consists of 24 indicators for the thirteen IHR capacities needed to detect, assess, notify, report and respond, including at points of entry, to public health risk and acute events of domestic and international concern. </w:t>
            </w:r>
          </w:p>
          <w:p w14:paraId="02F7E7E5" w14:textId="0F62ECD8" w:rsidR="009C300C" w:rsidRPr="009F305C" w:rsidRDefault="00D435E4" w:rsidP="00450185">
            <w:pPr>
              <w:pStyle w:val="MText"/>
            </w:pPr>
            <w:r w:rsidRPr="005E26E6">
              <w:rPr>
                <w:rFonts w:ascii="Roboto-Regular" w:eastAsiaTheme="minorHAnsi" w:hAnsi="Roboto-Regular" w:cs="Roboto-Regular"/>
                <w:sz w:val="20"/>
                <w:szCs w:val="20"/>
                <w:lang w:eastAsia="en-US"/>
              </w:rPr>
              <w:t>For each of the 13 capacities, one to three indicators are used to measure the status of each capacity. Each indicator is based on five cumulative levels for annual reporting. For each indicator, the reporting State Party is asked to select which of the five levels best describes the State Party’s current status. For each indicator, in order to move to the next level, all capacities described in previous levels should be in place.</w:t>
            </w:r>
            <w:r w:rsidRPr="005E26E6">
              <w:rPr>
                <w:sz w:val="20"/>
                <w:szCs w:val="20"/>
              </w:rPr>
              <w:t xml:space="preserve"> </w:t>
            </w:r>
          </w:p>
        </w:tc>
      </w:tr>
      <w:tr w:rsidR="009C300C" w:rsidRPr="004D68B6" w14:paraId="60A6671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2B806816" w14:textId="77777777" w:rsidR="009C300C" w:rsidRPr="004D68B6" w:rsidRDefault="009C300C" w:rsidP="00A13F90">
            <w:pPr>
              <w:rPr>
                <w:color w:val="000000"/>
              </w:rPr>
            </w:pPr>
            <w:r w:rsidRPr="00FA20D9">
              <w:t>3.b. Data collection method</w:t>
            </w:r>
          </w:p>
        </w:tc>
        <w:tc>
          <w:tcPr>
            <w:tcW w:w="3246" w:type="pct"/>
            <w:tcBorders>
              <w:top w:val="nil"/>
              <w:left w:val="nil"/>
              <w:bottom w:val="single" w:sz="4" w:space="0" w:color="auto"/>
              <w:right w:val="single" w:sz="4" w:space="0" w:color="auto"/>
            </w:tcBorders>
            <w:shd w:val="clear" w:color="auto" w:fill="auto"/>
          </w:tcPr>
          <w:p w14:paraId="0A006C85" w14:textId="77777777" w:rsidR="00D435E4" w:rsidRPr="00FC13A1" w:rsidRDefault="00D435E4" w:rsidP="009009BE">
            <w:pPr>
              <w:pStyle w:val="MSubHeader"/>
            </w:pPr>
            <w:r w:rsidRPr="00FC13A1">
              <w:t>Collection process:</w:t>
            </w:r>
          </w:p>
          <w:p w14:paraId="0B221040" w14:textId="77777777" w:rsidR="00D435E4" w:rsidRPr="00FC13A1" w:rsidRDefault="00D435E4" w:rsidP="009009BE">
            <w:pPr>
              <w:pStyle w:val="MText"/>
            </w:pPr>
            <w:r w:rsidRPr="00FC13A1">
              <w:t xml:space="preserve">WHO receives the data send by each State Party from the Official IHR National Focal Point from designated officers that will have </w:t>
            </w:r>
            <w:r w:rsidRPr="00FC13A1">
              <w:lastRenderedPageBreak/>
              <w:t xml:space="preserve">access to e-SPAR restrict page for reporting on line and consult all national reports submitted in the e-SPAR database. </w:t>
            </w:r>
          </w:p>
          <w:p w14:paraId="34D62092" w14:textId="0866FF71" w:rsidR="00D435E4" w:rsidRDefault="00D435E4" w:rsidP="009009BE">
            <w:pPr>
              <w:pStyle w:val="MText"/>
            </w:pPr>
            <w:r w:rsidRPr="00FC13A1">
              <w:t xml:space="preserve">After submission of data by each State Party, State Party and WHO IHR staff involved in the specific report will receive acknowledgement message from e-SPAR, with summary of information provided. </w:t>
            </w:r>
          </w:p>
          <w:p w14:paraId="72623736" w14:textId="77777777" w:rsidR="009009BE" w:rsidRPr="005E26E6" w:rsidRDefault="009009BE" w:rsidP="009009BE">
            <w:pPr>
              <w:pStyle w:val="MText"/>
              <w:rPr>
                <w:rFonts w:eastAsiaTheme="minorEastAsia" w:cstheme="minorBidi"/>
              </w:rPr>
            </w:pPr>
          </w:p>
          <w:p w14:paraId="15AC5928" w14:textId="3CED166B" w:rsidR="00D435E4" w:rsidRDefault="00D435E4" w:rsidP="009009BE">
            <w:pPr>
              <w:pStyle w:val="MText"/>
            </w:pPr>
            <w:r w:rsidRPr="00FC13A1">
              <w:t>WHO also will review data received at all level of the organization, using the e-SPAR platform for monitoring and evaluation of results, before final report to the World Health Assembly is produced and published.</w:t>
            </w:r>
          </w:p>
          <w:p w14:paraId="6E81CDD3" w14:textId="77777777" w:rsidR="009009BE" w:rsidRPr="005E26E6" w:rsidRDefault="009009BE" w:rsidP="009009BE">
            <w:pPr>
              <w:pStyle w:val="MText"/>
              <w:rPr>
                <w:rFonts w:eastAsiaTheme="minorEastAsia" w:cstheme="minorBidi"/>
              </w:rPr>
            </w:pPr>
          </w:p>
          <w:p w14:paraId="7825E3F0" w14:textId="1B975D4A" w:rsidR="009C300C" w:rsidRPr="009F305C" w:rsidRDefault="00D435E4" w:rsidP="009009BE">
            <w:pPr>
              <w:pStyle w:val="MText"/>
            </w:pPr>
            <w:r w:rsidRPr="00FC13A1">
              <w:t>Breakdown of results can be done by country, WHO administrative Regions, Capacities and its indicators. All data recorded safely in e-SPAR platform.</w:t>
            </w:r>
          </w:p>
        </w:tc>
      </w:tr>
      <w:tr w:rsidR="009C300C" w:rsidRPr="004D68B6" w14:paraId="08B9F3D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ACEF0B1" w14:textId="77777777" w:rsidR="009C300C" w:rsidRPr="004D68B6" w:rsidRDefault="009C300C" w:rsidP="00A13F90">
            <w:pPr>
              <w:rPr>
                <w:rFonts w:ascii="Calibri" w:hAnsi="Calibri" w:cs="Calibri"/>
                <w:color w:val="000000"/>
              </w:rPr>
            </w:pPr>
            <w:r w:rsidRPr="00D2485A">
              <w:lastRenderedPageBreak/>
              <w:t>3.</w:t>
            </w:r>
            <w:r>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414800C4" w14:textId="77777777" w:rsidR="009A15DE" w:rsidRPr="00604BCB" w:rsidRDefault="009A15DE" w:rsidP="00AF347C">
            <w:pPr>
              <w:pStyle w:val="MHeader"/>
            </w:pPr>
            <w:r w:rsidRPr="00604BCB">
              <w:t>Calendar</w:t>
            </w:r>
          </w:p>
          <w:p w14:paraId="2796EA58" w14:textId="77777777" w:rsidR="009A15DE" w:rsidRPr="00FC13A1" w:rsidRDefault="009A15DE" w:rsidP="00AF347C">
            <w:pPr>
              <w:pStyle w:val="MSubHeader"/>
            </w:pPr>
            <w:r w:rsidRPr="00FC13A1">
              <w:t>Data collection:</w:t>
            </w:r>
          </w:p>
          <w:p w14:paraId="1FF4ADBD" w14:textId="328A7AAD" w:rsidR="009C300C" w:rsidRPr="009F305C" w:rsidRDefault="009A15DE" w:rsidP="00AF347C">
            <w:pPr>
              <w:pStyle w:val="MText"/>
            </w:pPr>
            <w:r w:rsidRPr="00FC13A1">
              <w:t xml:space="preserve">Data collection for 2019 currently is under way. Deadline for completed questionnaire submission is end of February and report to be presented to the World Health Assembly is prepared to be submitted by May every year. Collection of data starts second semester every year. </w:t>
            </w:r>
          </w:p>
        </w:tc>
      </w:tr>
      <w:tr w:rsidR="009C300C" w:rsidRPr="004D68B6" w14:paraId="5441673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0CB6FB1" w14:textId="77777777" w:rsidR="009C300C" w:rsidRPr="005B293A" w:rsidRDefault="009C300C" w:rsidP="00A13F90">
            <w:pPr>
              <w:rPr>
                <w:color w:val="000000"/>
              </w:rPr>
            </w:pPr>
            <w:r w:rsidRPr="005B293A">
              <w:t>3.d. Data release calendar</w:t>
            </w:r>
          </w:p>
        </w:tc>
        <w:tc>
          <w:tcPr>
            <w:tcW w:w="3246" w:type="pct"/>
            <w:tcBorders>
              <w:top w:val="nil"/>
              <w:left w:val="nil"/>
              <w:bottom w:val="single" w:sz="4" w:space="0" w:color="auto"/>
              <w:right w:val="single" w:sz="4" w:space="0" w:color="auto"/>
            </w:tcBorders>
            <w:shd w:val="clear" w:color="auto" w:fill="auto"/>
          </w:tcPr>
          <w:p w14:paraId="6754DF6F" w14:textId="77777777" w:rsidR="009A15DE" w:rsidRPr="00FC13A1" w:rsidRDefault="009A15DE" w:rsidP="00AF347C">
            <w:pPr>
              <w:pStyle w:val="MSubHeader"/>
            </w:pPr>
            <w:r w:rsidRPr="00FC13A1">
              <w:t>Data release:</w:t>
            </w:r>
          </w:p>
          <w:p w14:paraId="7788C02D" w14:textId="11EA83AD" w:rsidR="009C300C" w:rsidRPr="00856714" w:rsidRDefault="009A15DE" w:rsidP="00AF347C">
            <w:pPr>
              <w:pStyle w:val="MText"/>
            </w:pPr>
            <w:r w:rsidRPr="00FC13A1">
              <w:t>Release of all data is provided every year around April, just before the World Health Assembly</w:t>
            </w:r>
          </w:p>
        </w:tc>
      </w:tr>
      <w:tr w:rsidR="009C300C" w:rsidRPr="004D68B6" w14:paraId="0ED46D7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C22C11D" w14:textId="77777777" w:rsidR="009C300C" w:rsidRPr="005B293A" w:rsidRDefault="009C300C" w:rsidP="00A13F90">
            <w:pPr>
              <w:rPr>
                <w:color w:val="000000"/>
              </w:rPr>
            </w:pPr>
            <w:r w:rsidRPr="005B293A">
              <w:t>3.e. Data providers</w:t>
            </w:r>
          </w:p>
        </w:tc>
        <w:tc>
          <w:tcPr>
            <w:tcW w:w="3246" w:type="pct"/>
            <w:tcBorders>
              <w:top w:val="nil"/>
              <w:left w:val="nil"/>
              <w:bottom w:val="single" w:sz="4" w:space="0" w:color="auto"/>
              <w:right w:val="single" w:sz="4" w:space="0" w:color="auto"/>
            </w:tcBorders>
            <w:shd w:val="clear" w:color="auto" w:fill="auto"/>
          </w:tcPr>
          <w:p w14:paraId="43DD3065" w14:textId="77777777" w:rsidR="009A15DE" w:rsidRPr="00604BCB" w:rsidRDefault="009A15DE" w:rsidP="00AF347C">
            <w:pPr>
              <w:pStyle w:val="MHeader"/>
            </w:pPr>
            <w:r w:rsidRPr="00604BCB">
              <w:t>Data providers</w:t>
            </w:r>
          </w:p>
          <w:p w14:paraId="0C575E97" w14:textId="11AE6C96" w:rsidR="009C300C" w:rsidRPr="005E6457" w:rsidRDefault="009A15DE" w:rsidP="00AF347C">
            <w:pPr>
              <w:pStyle w:val="MText"/>
            </w:pPr>
            <w:r w:rsidRPr="00FC13A1">
              <w:t>Each State Party shall designate a IHR National Focal Point and update regularly the contacts details of its designated officers, that will be able to report on-line and consult all national reports submitted in the e-SPAR database.</w:t>
            </w:r>
          </w:p>
        </w:tc>
      </w:tr>
      <w:tr w:rsidR="009C300C" w:rsidRPr="004D68B6" w14:paraId="38AF2463"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067776CC" w14:textId="77777777" w:rsidR="009C300C" w:rsidRPr="005B293A" w:rsidRDefault="009C300C" w:rsidP="00A13F90">
            <w:pPr>
              <w:rPr>
                <w:color w:val="000000"/>
              </w:rPr>
            </w:pPr>
            <w:r w:rsidRPr="005B293A">
              <w:t>3.f. Data compilers</w:t>
            </w:r>
          </w:p>
        </w:tc>
        <w:tc>
          <w:tcPr>
            <w:tcW w:w="3246" w:type="pct"/>
            <w:tcBorders>
              <w:top w:val="nil"/>
              <w:left w:val="nil"/>
              <w:bottom w:val="single" w:sz="4" w:space="0" w:color="auto"/>
              <w:right w:val="single" w:sz="4" w:space="0" w:color="auto"/>
            </w:tcBorders>
            <w:shd w:val="clear" w:color="auto" w:fill="auto"/>
          </w:tcPr>
          <w:p w14:paraId="493E338A" w14:textId="77777777" w:rsidR="009A15DE" w:rsidRPr="00604BCB" w:rsidRDefault="009A15DE" w:rsidP="00AF347C">
            <w:pPr>
              <w:pStyle w:val="MHeader"/>
            </w:pPr>
            <w:r w:rsidRPr="00604BCB">
              <w:t>Data compilers</w:t>
            </w:r>
          </w:p>
          <w:p w14:paraId="3015356B" w14:textId="2A12F314" w:rsidR="009C300C" w:rsidRPr="005E6457" w:rsidRDefault="009A15DE" w:rsidP="00AF347C">
            <w:pPr>
              <w:pStyle w:val="MText"/>
            </w:pPr>
            <w:r w:rsidRPr="00FC13A1">
              <w:t>World Health Organization (WHO)</w:t>
            </w:r>
          </w:p>
        </w:tc>
      </w:tr>
      <w:tr w:rsidR="009C300C" w:rsidRPr="004D68B6" w14:paraId="5A2FEFFA"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3213ADA0" w14:textId="77777777" w:rsidR="009C300C" w:rsidRPr="005B293A" w:rsidRDefault="009C300C" w:rsidP="00A13F90">
            <w:pPr>
              <w:rPr>
                <w:color w:val="000000"/>
              </w:rPr>
            </w:pPr>
            <w:r w:rsidRPr="005B293A">
              <w:t>3.g. Institutional mandate</w:t>
            </w:r>
          </w:p>
        </w:tc>
        <w:tc>
          <w:tcPr>
            <w:tcW w:w="3246" w:type="pct"/>
            <w:tcBorders>
              <w:top w:val="nil"/>
              <w:left w:val="nil"/>
              <w:bottom w:val="single" w:sz="4" w:space="0" w:color="auto"/>
              <w:right w:val="single" w:sz="4" w:space="0" w:color="auto"/>
            </w:tcBorders>
            <w:shd w:val="clear" w:color="auto" w:fill="auto"/>
          </w:tcPr>
          <w:p w14:paraId="37F8ADCA" w14:textId="77777777" w:rsidR="009C300C" w:rsidRPr="009F305C" w:rsidRDefault="009C300C" w:rsidP="00A13F90"/>
        </w:tc>
      </w:tr>
    </w:tbl>
    <w:p w14:paraId="7C16429A" w14:textId="77777777" w:rsidR="009C300C" w:rsidRDefault="009C300C" w:rsidP="00A13F90"/>
    <w:tbl>
      <w:tblPr>
        <w:tblW w:w="4792" w:type="pct"/>
        <w:tblLayout w:type="fixed"/>
        <w:tblLook w:val="04A0" w:firstRow="1" w:lastRow="0" w:firstColumn="1" w:lastColumn="0" w:noHBand="0" w:noVBand="1"/>
        <w:tblCaption w:val="4. Other methodological considerations"/>
      </w:tblPr>
      <w:tblGrid>
        <w:gridCol w:w="3120"/>
        <w:gridCol w:w="5851"/>
      </w:tblGrid>
      <w:tr w:rsidR="009C300C" w:rsidRPr="004D68B6" w14:paraId="6B3A267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7D0606A7" w14:textId="77777777" w:rsidR="009C300C" w:rsidRPr="007F2D9F" w:rsidRDefault="009C300C" w:rsidP="00A13F90">
            <w:pPr>
              <w:pStyle w:val="Heading2"/>
              <w:rPr>
                <w:rFonts w:ascii="Times New Roman" w:hAnsi="Times New Roman"/>
              </w:rPr>
            </w:pPr>
            <w:bookmarkStart w:id="25" w:name="_Toc36655612"/>
            <w:bookmarkStart w:id="26" w:name="_Toc36812575"/>
            <w:bookmarkStart w:id="27" w:name="_Toc36812688"/>
            <w:bookmarkStart w:id="28" w:name="_Toc36813075"/>
            <w:bookmarkStart w:id="29" w:name="_Toc37932747"/>
            <w:r w:rsidRPr="007F2D9F">
              <w:t>4. Other methodological considerations</w:t>
            </w:r>
            <w:bookmarkEnd w:id="25"/>
            <w:bookmarkEnd w:id="26"/>
            <w:bookmarkEnd w:id="27"/>
            <w:bookmarkEnd w:id="28"/>
            <w:bookmarkEnd w:id="29"/>
          </w:p>
        </w:tc>
      </w:tr>
      <w:tr w:rsidR="009C300C" w:rsidRPr="004D68B6" w14:paraId="64789EC9" w14:textId="77777777" w:rsidTr="00870DFF">
        <w:trPr>
          <w:trHeight w:val="300"/>
        </w:trPr>
        <w:tc>
          <w:tcPr>
            <w:tcW w:w="1739" w:type="pct"/>
            <w:tcBorders>
              <w:top w:val="nil"/>
              <w:left w:val="nil"/>
              <w:bottom w:val="nil"/>
              <w:right w:val="nil"/>
            </w:tcBorders>
            <w:shd w:val="clear" w:color="000000" w:fill="D9E1F2"/>
            <w:noWrap/>
            <w:vAlign w:val="bottom"/>
            <w:hideMark/>
          </w:tcPr>
          <w:p w14:paraId="30E33997" w14:textId="77777777" w:rsidR="009C300C" w:rsidRPr="004D68B6" w:rsidRDefault="009C300C" w:rsidP="00A13F90">
            <w:r>
              <w:t>Concept name</w:t>
            </w:r>
          </w:p>
        </w:tc>
        <w:tc>
          <w:tcPr>
            <w:tcW w:w="3261" w:type="pct"/>
            <w:tcBorders>
              <w:top w:val="nil"/>
              <w:left w:val="nil"/>
              <w:bottom w:val="nil"/>
              <w:right w:val="nil"/>
            </w:tcBorders>
            <w:shd w:val="clear" w:color="000000" w:fill="D9E1F2"/>
            <w:noWrap/>
            <w:vAlign w:val="bottom"/>
          </w:tcPr>
          <w:p w14:paraId="182527E8" w14:textId="77777777" w:rsidR="009C300C" w:rsidRPr="004D68B6" w:rsidRDefault="009C300C" w:rsidP="00A13F90">
            <w:r w:rsidRPr="00A92C73">
              <w:t>Insert text, lists, tables, and images.</w:t>
            </w:r>
          </w:p>
        </w:tc>
      </w:tr>
      <w:tr w:rsidR="009C300C" w:rsidRPr="004D68B6" w14:paraId="1AC95EA6"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tcPr>
          <w:p w14:paraId="02706502" w14:textId="77777777" w:rsidR="009C300C" w:rsidRPr="00487FF0" w:rsidRDefault="009C300C" w:rsidP="00A13F90">
            <w:pPr>
              <w:rPr>
                <w:b/>
                <w:bCs/>
              </w:rPr>
            </w:pPr>
            <w:r w:rsidRPr="005B293A">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2CDFA4FE" w14:textId="77777777" w:rsidR="009C300C" w:rsidRPr="009F305C" w:rsidRDefault="009C300C" w:rsidP="00A13F90"/>
        </w:tc>
      </w:tr>
      <w:tr w:rsidR="009C300C" w:rsidRPr="004D68B6" w14:paraId="69C7C170"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A40BD87" w14:textId="77777777" w:rsidR="009C300C" w:rsidRPr="004D68B6" w:rsidRDefault="009C300C" w:rsidP="00A13F90">
            <w:pPr>
              <w:rPr>
                <w:color w:val="000000"/>
              </w:rPr>
            </w:pPr>
            <w:r w:rsidRPr="00490C58">
              <w:t>4.a. Rationale</w:t>
            </w:r>
          </w:p>
        </w:tc>
        <w:tc>
          <w:tcPr>
            <w:tcW w:w="3261" w:type="pct"/>
            <w:tcBorders>
              <w:top w:val="single" w:sz="4" w:space="0" w:color="auto"/>
              <w:left w:val="nil"/>
              <w:bottom w:val="single" w:sz="4" w:space="0" w:color="auto"/>
              <w:right w:val="single" w:sz="4" w:space="0" w:color="auto"/>
            </w:tcBorders>
            <w:shd w:val="clear" w:color="auto" w:fill="auto"/>
          </w:tcPr>
          <w:p w14:paraId="3E71D0F5" w14:textId="77777777" w:rsidR="00F915C8" w:rsidRPr="00FC13A1" w:rsidRDefault="00F915C8" w:rsidP="00AF347C">
            <w:pPr>
              <w:pStyle w:val="MSubHeader"/>
            </w:pPr>
            <w:r w:rsidRPr="00FC13A1">
              <w:t>Rationale:</w:t>
            </w:r>
          </w:p>
          <w:p w14:paraId="16526672" w14:textId="589B7EA6" w:rsidR="00F915C8" w:rsidRDefault="00F915C8" w:rsidP="00AF347C">
            <w:pPr>
              <w:pStyle w:val="MText"/>
            </w:pPr>
            <w:r w:rsidRPr="005E26E6">
              <w:lastRenderedPageBreak/>
              <w:t xml:space="preserve">The revised International Health Regulations (IHR) were adopted in 2005 and entered into force in 2007 (available at: </w:t>
            </w:r>
            <w:hyperlink r:id="rId7" w:history="1">
              <w:r w:rsidRPr="00DB37D7">
                <w:rPr>
                  <w:rStyle w:val="Hyperlink"/>
                </w:rPr>
                <w:t>http://apps.who.int/iris/bitstream/10665/43883/1/9789241580410_eng.pdf</w:t>
              </w:r>
            </w:hyperlink>
            <w:r>
              <w:rPr>
                <w:color w:val="auto"/>
              </w:rPr>
              <w:t>)</w:t>
            </w:r>
            <w:r>
              <w:t xml:space="preserve"> </w:t>
            </w:r>
            <w:r w:rsidRPr="00106785">
              <w:t xml:space="preserve">. </w:t>
            </w:r>
          </w:p>
          <w:p w14:paraId="194B9A29" w14:textId="77777777" w:rsidR="00AF347C" w:rsidRDefault="00AF347C" w:rsidP="00AF347C">
            <w:pPr>
              <w:pStyle w:val="MText"/>
            </w:pPr>
          </w:p>
          <w:p w14:paraId="7230D444" w14:textId="77777777" w:rsidR="00F915C8" w:rsidRPr="005E26E6" w:rsidRDefault="00F915C8" w:rsidP="00AF347C">
            <w:pPr>
              <w:pStyle w:val="MText"/>
            </w:pPr>
            <w:r w:rsidRPr="005E26E6">
              <w:t>Under the IHR, States Parties are obliged to develop and maintain minimum core capacities for surveillance and response, including at points of entry, in order to early detect, assess, notify, and respond to any potential public health events of international concern.</w:t>
            </w:r>
          </w:p>
          <w:p w14:paraId="4EFD7C99" w14:textId="77777777" w:rsidR="00AF347C" w:rsidRDefault="00AF347C" w:rsidP="00AF347C">
            <w:pPr>
              <w:pStyle w:val="MText"/>
            </w:pPr>
          </w:p>
          <w:p w14:paraId="564C1F06" w14:textId="0465C32E" w:rsidR="00F915C8" w:rsidRPr="005E26E6" w:rsidRDefault="00F915C8" w:rsidP="00AF347C">
            <w:pPr>
              <w:pStyle w:val="MText"/>
            </w:pPr>
            <w:r w:rsidRPr="005E26E6">
              <w:t>Article 54 of the IHR request that States Parties and the Director-General shall report to the World Health Assembly on the implementation of these Regulations as decided by the World Health Assembly.</w:t>
            </w:r>
          </w:p>
          <w:p w14:paraId="75F353FD" w14:textId="77777777" w:rsidR="00AF347C" w:rsidRDefault="00AF347C" w:rsidP="00AF347C">
            <w:pPr>
              <w:pStyle w:val="MText"/>
            </w:pPr>
          </w:p>
          <w:p w14:paraId="414F1FCB" w14:textId="6DA1DEF5" w:rsidR="00F915C8" w:rsidRPr="005E26E6" w:rsidRDefault="00F915C8" w:rsidP="00AF347C">
            <w:pPr>
              <w:pStyle w:val="MText"/>
            </w:pPr>
            <w:r w:rsidRPr="005E26E6">
              <w:t>In 2008, the World Health Assembly, through the adoption of Resolution WHA61(2), and later on 2018 with the Resolution WHA71(15), decided that “that States Parties and the Director-General shall continue to report annually to the Health Assembly on the implementation of the International Health Regulations (2005), using the self-assessment annual reporting tool”.</w:t>
            </w:r>
          </w:p>
          <w:p w14:paraId="138376D5" w14:textId="77777777" w:rsidR="00F915C8" w:rsidRPr="005E26E6" w:rsidRDefault="00F915C8" w:rsidP="00AF347C">
            <w:pPr>
              <w:pStyle w:val="MText"/>
            </w:pPr>
          </w:p>
          <w:p w14:paraId="60B3B8DC" w14:textId="5660F5D2" w:rsidR="009C300C" w:rsidRPr="009F305C" w:rsidRDefault="00F915C8" w:rsidP="00AF347C">
            <w:pPr>
              <w:pStyle w:val="MText"/>
            </w:pPr>
            <w:r w:rsidRPr="005E26E6">
              <w:t xml:space="preserve">This SDG 3.d.1. indicator reflects the capacities State Parties of the International Health Regulations (2005) (IHR) had agreed and committed to develop. </w:t>
            </w:r>
          </w:p>
        </w:tc>
      </w:tr>
      <w:tr w:rsidR="009C300C" w:rsidRPr="004D68B6" w14:paraId="059FE47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F54C6A5" w14:textId="77777777" w:rsidR="009C300C" w:rsidRPr="004D68B6" w:rsidRDefault="009C300C" w:rsidP="00A13F90">
            <w:pPr>
              <w:rPr>
                <w:color w:val="000000"/>
              </w:rPr>
            </w:pPr>
            <w:r w:rsidRPr="00490C58">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74D65F4E" w14:textId="77777777" w:rsidR="00F915C8" w:rsidRPr="00FC13A1" w:rsidRDefault="00F915C8" w:rsidP="007E17EC">
            <w:pPr>
              <w:pStyle w:val="MSubHeader"/>
            </w:pPr>
            <w:r w:rsidRPr="00FC13A1">
              <w:t>Comments and limitations:</w:t>
            </w:r>
          </w:p>
          <w:p w14:paraId="7D2EB827" w14:textId="77777777" w:rsidR="00F915C8" w:rsidRPr="005E26E6" w:rsidRDefault="00F915C8" w:rsidP="007E17EC">
            <w:pPr>
              <w:pStyle w:val="MText"/>
            </w:pPr>
            <w:r w:rsidRPr="005E26E6">
              <w:t xml:space="preserve">1) it is based on a self-assessment and self-reporting by the State Party </w:t>
            </w:r>
          </w:p>
          <w:p w14:paraId="6255836D" w14:textId="0942B5E0" w:rsidR="009C300C" w:rsidRPr="009F305C" w:rsidRDefault="00F915C8" w:rsidP="007E17EC">
            <w:pPr>
              <w:pStyle w:val="MText"/>
            </w:pPr>
            <w:r w:rsidRPr="005E26E6">
              <w:t>2) The questionnaire was revised in 2018 and been used for reporting in 2018 and 2019 with same format, different from the questionnaire used during period from 2010-2017, thus there is limitation for comparison of scores from reports between 2010-2017 period with reports after 2018.</w:t>
            </w:r>
          </w:p>
        </w:tc>
      </w:tr>
      <w:tr w:rsidR="009C300C" w:rsidRPr="004D68B6" w14:paraId="3E2D3D1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20D347F" w14:textId="77777777" w:rsidR="009C300C" w:rsidRPr="004D68B6" w:rsidRDefault="009C300C" w:rsidP="00A13F90">
            <w:pPr>
              <w:rPr>
                <w:color w:val="000000"/>
              </w:rPr>
            </w:pPr>
            <w:r w:rsidRPr="00490C58">
              <w:t>4.c. Method of computation</w:t>
            </w:r>
          </w:p>
        </w:tc>
        <w:tc>
          <w:tcPr>
            <w:tcW w:w="3261" w:type="pct"/>
            <w:tcBorders>
              <w:top w:val="nil"/>
              <w:left w:val="nil"/>
              <w:bottom w:val="single" w:sz="4" w:space="0" w:color="auto"/>
              <w:right w:val="single" w:sz="4" w:space="0" w:color="auto"/>
            </w:tcBorders>
            <w:shd w:val="clear" w:color="auto" w:fill="auto"/>
          </w:tcPr>
          <w:p w14:paraId="312A36AD" w14:textId="77777777" w:rsidR="00F915C8" w:rsidRPr="00604BCB" w:rsidRDefault="00F915C8" w:rsidP="007E17EC">
            <w:pPr>
              <w:pStyle w:val="MHeader"/>
            </w:pPr>
            <w:r w:rsidRPr="00604BCB">
              <w:t>Methodology</w:t>
            </w:r>
          </w:p>
          <w:p w14:paraId="4556401F" w14:textId="55D05EE6" w:rsidR="00F915C8" w:rsidRPr="00FC13A1" w:rsidRDefault="00F915C8" w:rsidP="007E17EC">
            <w:pPr>
              <w:pStyle w:val="MSubHeader"/>
            </w:pPr>
            <w:r w:rsidRPr="00FC13A1">
              <w:t xml:space="preserve">Computation </w:t>
            </w:r>
            <w:r w:rsidR="007E17EC">
              <w:t>m</w:t>
            </w:r>
            <w:r w:rsidRPr="00FC13A1">
              <w:t>ethod:</w:t>
            </w:r>
          </w:p>
          <w:p w14:paraId="18E6BF7A" w14:textId="77777777" w:rsidR="00F915C8" w:rsidRPr="005E26E6" w:rsidRDefault="00F915C8" w:rsidP="007E17EC">
            <w:pPr>
              <w:pStyle w:val="MText"/>
              <w:rPr>
                <w:rFonts w:eastAsiaTheme="minorEastAsia"/>
              </w:rPr>
            </w:pPr>
            <w:r w:rsidRPr="00FC13A1">
              <w:t>INDICATOR LEVEL</w:t>
            </w:r>
          </w:p>
          <w:p w14:paraId="674C7978" w14:textId="77777777" w:rsidR="00F915C8" w:rsidRPr="005E26E6" w:rsidRDefault="00F915C8" w:rsidP="007E17EC">
            <w:pPr>
              <w:pStyle w:val="MText"/>
              <w:rPr>
                <w:rFonts w:eastAsiaTheme="minorEastAsia"/>
              </w:rPr>
            </w:pPr>
            <w:r w:rsidRPr="00FC13A1">
              <w:t>The score of each indicator level will be classified as a percentage of performance along the “1 to 5” scale. e.g. for a country selecting level 3 for indicator 2.1, the indicator level will be expressed as: 3/5*100=60%</w:t>
            </w:r>
          </w:p>
          <w:p w14:paraId="7BDCDBBD" w14:textId="77777777" w:rsidR="00F915C8" w:rsidRPr="00FC13A1" w:rsidRDefault="00F915C8" w:rsidP="00F915C8">
            <w:pPr>
              <w:spacing w:line="336" w:lineRule="atLeast"/>
              <w:rPr>
                <w:rFonts w:cs="Arial"/>
              </w:rPr>
            </w:pPr>
          </w:p>
          <w:p w14:paraId="62E6D81F" w14:textId="77777777" w:rsidR="00F915C8" w:rsidRPr="005E26E6" w:rsidRDefault="00F915C8" w:rsidP="007E17EC">
            <w:pPr>
              <w:pStyle w:val="MText"/>
              <w:rPr>
                <w:rFonts w:eastAsiaTheme="minorEastAsia"/>
              </w:rPr>
            </w:pPr>
            <w:r w:rsidRPr="00FC13A1">
              <w:lastRenderedPageBreak/>
              <w:t>CAPACITY LEVEL</w:t>
            </w:r>
          </w:p>
          <w:p w14:paraId="2FA3E8F8" w14:textId="37F1BEF3" w:rsidR="009C300C" w:rsidRPr="009F305C" w:rsidRDefault="00F915C8" w:rsidP="007E17EC">
            <w:pPr>
              <w:pStyle w:val="MText"/>
            </w:pPr>
            <w:r w:rsidRPr="00FC13A1">
              <w:t>The level of the capacity will be expressed as the average of all indicators. e.g. for a country selecting level 3 for indicator 2.1 and level 4 for indicator 2.2. Indicator level for 2.1 will be expressed as: 3/5*100=60%, indicator level for 2.2 will be expressed as: 4/5*100=80% and capacity level for 2 will be expressed as: (60+80)/2=70%</w:t>
            </w:r>
          </w:p>
        </w:tc>
      </w:tr>
      <w:tr w:rsidR="009C300C" w:rsidRPr="004D68B6" w14:paraId="2D59671F"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88DBB1A" w14:textId="77777777" w:rsidR="009C300C" w:rsidRPr="004D68B6" w:rsidRDefault="009C300C" w:rsidP="00A13F90">
            <w:pPr>
              <w:rPr>
                <w:color w:val="000000"/>
              </w:rPr>
            </w:pPr>
            <w:r w:rsidRPr="00643134">
              <w:lastRenderedPageBreak/>
              <w:t>4.d. Validation</w:t>
            </w:r>
          </w:p>
        </w:tc>
        <w:tc>
          <w:tcPr>
            <w:tcW w:w="3261" w:type="pct"/>
            <w:tcBorders>
              <w:top w:val="nil"/>
              <w:left w:val="nil"/>
              <w:bottom w:val="single" w:sz="4" w:space="0" w:color="auto"/>
              <w:right w:val="single" w:sz="4" w:space="0" w:color="auto"/>
            </w:tcBorders>
            <w:shd w:val="clear" w:color="auto" w:fill="auto"/>
          </w:tcPr>
          <w:p w14:paraId="204FB82D" w14:textId="6EA83BA9" w:rsidR="009C300C" w:rsidRPr="00A13F90" w:rsidRDefault="009C300C" w:rsidP="00A13F90"/>
        </w:tc>
      </w:tr>
      <w:tr w:rsidR="009C300C" w:rsidRPr="004D68B6" w14:paraId="4110040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59D5E2C2" w14:textId="77777777" w:rsidR="009C300C" w:rsidRPr="004D68B6" w:rsidRDefault="009C300C" w:rsidP="00A13F90">
            <w:pPr>
              <w:rPr>
                <w:color w:val="000000"/>
              </w:rPr>
            </w:pPr>
            <w:r w:rsidRPr="00643134">
              <w:t>4.e. Adjustments</w:t>
            </w:r>
          </w:p>
        </w:tc>
        <w:tc>
          <w:tcPr>
            <w:tcW w:w="3261" w:type="pct"/>
            <w:tcBorders>
              <w:top w:val="nil"/>
              <w:left w:val="nil"/>
              <w:bottom w:val="single" w:sz="4" w:space="0" w:color="auto"/>
              <w:right w:val="single" w:sz="4" w:space="0" w:color="auto"/>
            </w:tcBorders>
            <w:shd w:val="clear" w:color="auto" w:fill="auto"/>
          </w:tcPr>
          <w:p w14:paraId="7D6905CA" w14:textId="77777777" w:rsidR="009C300C" w:rsidRPr="009F305C" w:rsidRDefault="009C300C" w:rsidP="00A13F90"/>
        </w:tc>
      </w:tr>
      <w:tr w:rsidR="009C300C" w:rsidRPr="004D68B6" w14:paraId="0F1D9423"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1E766A50" w14:textId="77777777" w:rsidR="009C300C" w:rsidRPr="004D68B6" w:rsidRDefault="009C300C" w:rsidP="00A13F90">
            <w:pPr>
              <w:rPr>
                <w:color w:val="000000"/>
              </w:rPr>
            </w:pPr>
            <w:r w:rsidRPr="00643134">
              <w:t>4.f. Treatment of missing values (</w:t>
            </w:r>
            <w:proofErr w:type="spellStart"/>
            <w:r w:rsidRPr="00643134">
              <w:t>i</w:t>
            </w:r>
            <w:proofErr w:type="spellEnd"/>
            <w:r w:rsidRPr="00643134">
              <w:t>) at country level and (ii) at regional level</w:t>
            </w:r>
          </w:p>
        </w:tc>
        <w:tc>
          <w:tcPr>
            <w:tcW w:w="3261" w:type="pct"/>
            <w:tcBorders>
              <w:top w:val="nil"/>
              <w:left w:val="nil"/>
              <w:bottom w:val="single" w:sz="4" w:space="0" w:color="auto"/>
              <w:right w:val="single" w:sz="4" w:space="0" w:color="auto"/>
            </w:tcBorders>
            <w:shd w:val="clear" w:color="auto" w:fill="auto"/>
          </w:tcPr>
          <w:p w14:paraId="2B51495F" w14:textId="77777777" w:rsidR="00D435E4" w:rsidRPr="00FC13A1" w:rsidRDefault="00D435E4" w:rsidP="007E17EC">
            <w:pPr>
              <w:pStyle w:val="MSubHeader"/>
            </w:pPr>
            <w:r w:rsidRPr="00FC13A1">
              <w:t>Treatment of missing values:</w:t>
            </w:r>
          </w:p>
          <w:p w14:paraId="736B9A34" w14:textId="1362F471" w:rsidR="00D435E4" w:rsidRPr="001C293C" w:rsidRDefault="00D435E4" w:rsidP="007E17EC">
            <w:pPr>
              <w:pStyle w:val="MText"/>
              <w:numPr>
                <w:ilvl w:val="0"/>
                <w:numId w:val="30"/>
              </w:numPr>
              <w:rPr>
                <w:b/>
                <w:bCs/>
                <w:i/>
                <w:iCs/>
              </w:rPr>
            </w:pPr>
            <w:r w:rsidRPr="001C293C">
              <w:rPr>
                <w:b/>
                <w:bCs/>
                <w:i/>
                <w:iCs/>
              </w:rPr>
              <w:t>At country level</w:t>
            </w:r>
            <w:r w:rsidR="007E17EC" w:rsidRPr="001C293C">
              <w:rPr>
                <w:b/>
                <w:bCs/>
                <w:i/>
                <w:iCs/>
              </w:rPr>
              <w:t>:</w:t>
            </w:r>
          </w:p>
          <w:p w14:paraId="0207BAED" w14:textId="77777777" w:rsidR="00D435E4" w:rsidRDefault="00D435E4" w:rsidP="00D435E4">
            <w:pPr>
              <w:ind w:left="495"/>
              <w:rPr>
                <w:rFonts w:cs="Arial"/>
              </w:rPr>
            </w:pPr>
          </w:p>
          <w:p w14:paraId="7D9AB74A" w14:textId="56485FDA" w:rsidR="00D435E4" w:rsidRPr="001C293C" w:rsidRDefault="00D435E4" w:rsidP="007E17EC">
            <w:pPr>
              <w:pStyle w:val="MText"/>
              <w:numPr>
                <w:ilvl w:val="0"/>
                <w:numId w:val="30"/>
              </w:numPr>
              <w:rPr>
                <w:b/>
                <w:bCs/>
                <w:i/>
                <w:iCs/>
              </w:rPr>
            </w:pPr>
            <w:r w:rsidRPr="001C293C">
              <w:rPr>
                <w:b/>
                <w:bCs/>
                <w:i/>
                <w:iCs/>
              </w:rPr>
              <w:t>At regional and global levels</w:t>
            </w:r>
            <w:r w:rsidR="007E17EC" w:rsidRPr="001C293C">
              <w:rPr>
                <w:b/>
                <w:bCs/>
                <w:i/>
                <w:iCs/>
              </w:rPr>
              <w:t>:</w:t>
            </w:r>
          </w:p>
          <w:p w14:paraId="3FD951A2" w14:textId="3746B275" w:rsidR="009C300C" w:rsidRPr="009F305C" w:rsidRDefault="00D435E4" w:rsidP="007E17EC">
            <w:pPr>
              <w:pStyle w:val="MText"/>
            </w:pPr>
            <w:r w:rsidRPr="00FC13A1">
              <w:t>No estimate is made.</w:t>
            </w:r>
          </w:p>
        </w:tc>
      </w:tr>
      <w:tr w:rsidR="009C300C" w:rsidRPr="004D68B6" w14:paraId="68F9399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7CC8C5D9" w14:textId="77777777" w:rsidR="009C300C" w:rsidRPr="004D68B6" w:rsidRDefault="009C300C" w:rsidP="00A13F90">
            <w:pPr>
              <w:rPr>
                <w:color w:val="000000"/>
              </w:rPr>
            </w:pPr>
            <w:r w:rsidRPr="00643134">
              <w:t>4.g. Regional aggregations</w:t>
            </w:r>
          </w:p>
        </w:tc>
        <w:tc>
          <w:tcPr>
            <w:tcW w:w="3261" w:type="pct"/>
            <w:tcBorders>
              <w:top w:val="nil"/>
              <w:left w:val="nil"/>
              <w:bottom w:val="single" w:sz="4" w:space="0" w:color="auto"/>
              <w:right w:val="single" w:sz="4" w:space="0" w:color="auto"/>
            </w:tcBorders>
            <w:shd w:val="clear" w:color="auto" w:fill="auto"/>
          </w:tcPr>
          <w:p w14:paraId="43FEBAC7" w14:textId="77777777" w:rsidR="00D435E4" w:rsidRPr="00FC13A1" w:rsidRDefault="00D435E4" w:rsidP="007E17EC">
            <w:pPr>
              <w:pStyle w:val="MSubHeader"/>
            </w:pPr>
            <w:r w:rsidRPr="00FC13A1">
              <w:t>Regional aggregates:</w:t>
            </w:r>
          </w:p>
          <w:p w14:paraId="3D5B0C72" w14:textId="773C82AF" w:rsidR="009C300C" w:rsidRPr="009F305C" w:rsidRDefault="00D435E4" w:rsidP="007E17EC">
            <w:pPr>
              <w:pStyle w:val="MText"/>
            </w:pPr>
            <w:r w:rsidRPr="00FC13A1">
              <w:t>Aggregate of each score per indicator/capacity, by country/number of countries submitted the questionnaire out of the 196 IHR State Parties by WHO administrate regions or other groups</w:t>
            </w:r>
          </w:p>
        </w:tc>
      </w:tr>
      <w:tr w:rsidR="009C300C" w:rsidRPr="004D68B6" w14:paraId="2E0F8C05"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C226CCE" w14:textId="77777777" w:rsidR="009C300C" w:rsidRPr="004D68B6" w:rsidRDefault="009C300C" w:rsidP="00A13F90">
            <w:pPr>
              <w:rPr>
                <w:color w:val="000000"/>
              </w:rPr>
            </w:pPr>
            <w:r w:rsidRPr="00C94E79">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6B148A3E" w14:textId="77777777" w:rsidR="00D435E4" w:rsidRPr="00FC13A1" w:rsidRDefault="00D435E4" w:rsidP="00E3410D">
            <w:pPr>
              <w:pStyle w:val="MSubHeader"/>
            </w:pPr>
            <w:r w:rsidRPr="00FC13A1">
              <w:t>Methods and guidance available to countries for the compilation of the data at the national level:</w:t>
            </w:r>
          </w:p>
          <w:p w14:paraId="71490F75" w14:textId="2AB7E23C" w:rsidR="00D435E4" w:rsidRPr="005E26E6" w:rsidRDefault="00D435E4" w:rsidP="000F0BF0">
            <w:pPr>
              <w:pStyle w:val="MText"/>
            </w:pPr>
            <w:r w:rsidRPr="005E26E6">
              <w:t xml:space="preserve">The IHR States Parties Annual reports uses specific standard reporting tool made available by WHO Secretariat </w:t>
            </w:r>
            <w:r w:rsidRPr="00FC13A1">
              <w:rPr>
                <w:rFonts w:cs="Arial"/>
              </w:rPr>
              <w:t xml:space="preserve">in July 2018.  </w:t>
            </w:r>
            <w:r w:rsidRPr="005E26E6">
              <w:t xml:space="preserve">(State Parties Annual Reporting Tool annual reports and other guidance, links and references available at: </w:t>
            </w:r>
            <w:hyperlink r:id="rId8" w:history="1">
              <w:r w:rsidR="000F0BF0">
                <w:rPr>
                  <w:rStyle w:val="Hyperlink"/>
                </w:rPr>
                <w:t>https://extranet.who.int/e-spar/</w:t>
              </w:r>
            </w:hyperlink>
            <w:r w:rsidRPr="005E26E6">
              <w:t>)</w:t>
            </w:r>
          </w:p>
          <w:p w14:paraId="1AE2E9A7" w14:textId="77777777" w:rsidR="00D435E4" w:rsidRPr="005E26E6" w:rsidRDefault="00D435E4" w:rsidP="00D435E4">
            <w:pPr>
              <w:rPr>
                <w:lang w:val="en-GB"/>
              </w:rPr>
            </w:pPr>
            <w:r w:rsidRPr="005E26E6">
              <w:rPr>
                <w:lang w:val="en-GB"/>
              </w:rPr>
              <w:t xml:space="preserve"> </w:t>
            </w:r>
          </w:p>
          <w:p w14:paraId="1D05BB05" w14:textId="77777777" w:rsidR="000F0BF0" w:rsidRDefault="00D435E4" w:rsidP="000F0BF0">
            <w:pPr>
              <w:pStyle w:val="MText"/>
              <w:rPr>
                <w:rFonts w:cs="Arial"/>
              </w:rPr>
            </w:pPr>
            <w:r w:rsidRPr="00FC13A1">
              <w:t xml:space="preserve">State Parties of IHR can use the on-line reporting tool, that reflects the questionnaire of the </w:t>
            </w:r>
            <w:r w:rsidRPr="00FC13A1">
              <w:rPr>
                <w:rFonts w:cs="Arial"/>
              </w:rPr>
              <w:t xml:space="preserve">IHR State Parties Self-Assessment Tool was published in July 2018. </w:t>
            </w:r>
          </w:p>
          <w:p w14:paraId="0E2A5FBF" w14:textId="5218D08E" w:rsidR="00D435E4" w:rsidRPr="00FC13A1" w:rsidRDefault="00D435E4" w:rsidP="000F0BF0">
            <w:pPr>
              <w:pStyle w:val="MText"/>
              <w:rPr>
                <w:rFonts w:cs="Arial"/>
              </w:rPr>
            </w:pPr>
            <w:r w:rsidRPr="00FC13A1">
              <w:rPr>
                <w:rFonts w:cs="Arial"/>
              </w:rPr>
              <w:t xml:space="preserve"> </w:t>
            </w:r>
          </w:p>
          <w:p w14:paraId="0AA7DF15" w14:textId="77777777" w:rsidR="00D435E4" w:rsidRPr="005E26E6" w:rsidRDefault="00D435E4" w:rsidP="000F0BF0">
            <w:pPr>
              <w:pStyle w:val="MText"/>
              <w:rPr>
                <w:rFonts w:eastAsiaTheme="minorHAnsi"/>
                <w:lang w:eastAsia="en-US"/>
              </w:rPr>
            </w:pPr>
            <w:r w:rsidRPr="005E26E6">
              <w:rPr>
                <w:rFonts w:eastAsiaTheme="minorHAnsi"/>
                <w:lang w:eastAsia="en-US"/>
              </w:rPr>
              <w:t xml:space="preserve">The tool consists of 24 indicators for the thirteen IHR capacities needed to detect, assess, notify, report and respond, including at points of entry, to public health risk and acute events of domestic and international concern. </w:t>
            </w:r>
          </w:p>
          <w:p w14:paraId="77D24675" w14:textId="77777777" w:rsidR="000F0BF0" w:rsidRDefault="000F0BF0" w:rsidP="00D435E4">
            <w:pPr>
              <w:rPr>
                <w:rFonts w:ascii="Roboto-Regular" w:eastAsiaTheme="minorHAnsi" w:hAnsi="Roboto-Regular" w:cs="Roboto-Regular"/>
                <w:sz w:val="20"/>
                <w:szCs w:val="20"/>
                <w:lang w:eastAsia="en-US"/>
              </w:rPr>
            </w:pPr>
          </w:p>
          <w:p w14:paraId="6525E10C" w14:textId="7FE463B6" w:rsidR="00D435E4" w:rsidRPr="005E26E6" w:rsidRDefault="00D435E4" w:rsidP="000F0BF0">
            <w:pPr>
              <w:pStyle w:val="MText"/>
              <w:rPr>
                <w:rFonts w:eastAsiaTheme="minorEastAsia" w:cstheme="minorBidi"/>
              </w:rPr>
            </w:pPr>
            <w:r w:rsidRPr="005E26E6">
              <w:rPr>
                <w:rFonts w:eastAsiaTheme="minorHAnsi"/>
                <w:lang w:eastAsia="en-US"/>
              </w:rPr>
              <w:t>For each of the 13 capacities, one to three indicators are used to measure the status of each capacity. Each indicator is based on five cumulative levels for annual reporting. For each indicator, the reporting State Party is asked to select which of the five levels best describes the State Party’s current status. For each indicator, in order to move to the next level, all capacities described in previous levels should be in place.</w:t>
            </w:r>
            <w:r w:rsidRPr="005E26E6">
              <w:t xml:space="preserve"> </w:t>
            </w:r>
          </w:p>
          <w:p w14:paraId="793780F1" w14:textId="77777777" w:rsidR="00D435E4" w:rsidRPr="005E26E6" w:rsidRDefault="00D435E4" w:rsidP="00D435E4">
            <w:pPr>
              <w:rPr>
                <w:sz w:val="20"/>
                <w:szCs w:val="20"/>
              </w:rPr>
            </w:pPr>
          </w:p>
          <w:p w14:paraId="0FB501B7" w14:textId="795E37D9" w:rsidR="009C300C" w:rsidRPr="006126A9" w:rsidRDefault="00D435E4" w:rsidP="000F0BF0">
            <w:r w:rsidRPr="000F0BF0">
              <w:rPr>
                <w:rFonts w:cs="Times New Roman"/>
              </w:rPr>
              <w:lastRenderedPageBreak/>
              <w:t xml:space="preserve">WHO made available specific guidance and tool, related resources and links for IHR State Parties submit annually their reports as well specific web platform (e-SPAR available at: </w:t>
            </w:r>
            <w:hyperlink r:id="rId9" w:history="1">
              <w:r>
                <w:rPr>
                  <w:rStyle w:val="Hyperlink"/>
                </w:rPr>
                <w:t>https://extranet.who.int/e-spar/</w:t>
              </w:r>
            </w:hyperlink>
            <w:r>
              <w:t>)</w:t>
            </w:r>
          </w:p>
        </w:tc>
      </w:tr>
      <w:tr w:rsidR="009C300C" w:rsidRPr="004D68B6" w14:paraId="66F40D24"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57B5AAF" w14:textId="77777777" w:rsidR="009C300C" w:rsidRPr="005B293A" w:rsidRDefault="009C300C" w:rsidP="00A13F90">
            <w:pPr>
              <w:rPr>
                <w:color w:val="000000"/>
              </w:rPr>
            </w:pPr>
            <w:r w:rsidRPr="005B293A">
              <w:lastRenderedPageBreak/>
              <w:t>4.i. Quality management</w:t>
            </w:r>
          </w:p>
        </w:tc>
        <w:tc>
          <w:tcPr>
            <w:tcW w:w="3261" w:type="pct"/>
            <w:tcBorders>
              <w:top w:val="nil"/>
              <w:left w:val="nil"/>
              <w:bottom w:val="single" w:sz="4" w:space="0" w:color="auto"/>
              <w:right w:val="single" w:sz="4" w:space="0" w:color="auto"/>
            </w:tcBorders>
            <w:shd w:val="clear" w:color="auto" w:fill="auto"/>
          </w:tcPr>
          <w:p w14:paraId="0852AE44" w14:textId="77777777" w:rsidR="009C300C" w:rsidRPr="009F305C" w:rsidRDefault="009C300C" w:rsidP="00A13F90"/>
        </w:tc>
      </w:tr>
      <w:tr w:rsidR="009C300C" w:rsidRPr="004D68B6" w14:paraId="0B712B39" w14:textId="77777777" w:rsidTr="00094EA6">
        <w:trPr>
          <w:trHeight w:val="6515"/>
        </w:trPr>
        <w:tc>
          <w:tcPr>
            <w:tcW w:w="1739" w:type="pct"/>
            <w:tcBorders>
              <w:top w:val="nil"/>
              <w:left w:val="nil"/>
              <w:bottom w:val="single" w:sz="4" w:space="0" w:color="auto"/>
              <w:right w:val="single" w:sz="4" w:space="0" w:color="auto"/>
            </w:tcBorders>
            <w:shd w:val="clear" w:color="auto" w:fill="E7E6E6" w:themeFill="background2"/>
            <w:hideMark/>
          </w:tcPr>
          <w:p w14:paraId="3BA8FEE3" w14:textId="77777777" w:rsidR="009C300C" w:rsidRPr="005B293A" w:rsidRDefault="009C300C" w:rsidP="00A13F90">
            <w:pPr>
              <w:rPr>
                <w:color w:val="000000"/>
              </w:rPr>
            </w:pPr>
            <w:r w:rsidRPr="005B293A">
              <w:t>4.j. Quality assurance</w:t>
            </w:r>
          </w:p>
        </w:tc>
        <w:tc>
          <w:tcPr>
            <w:tcW w:w="3261" w:type="pct"/>
            <w:tcBorders>
              <w:top w:val="nil"/>
              <w:left w:val="nil"/>
              <w:bottom w:val="single" w:sz="4" w:space="0" w:color="auto"/>
              <w:right w:val="single" w:sz="4" w:space="0" w:color="auto"/>
            </w:tcBorders>
            <w:shd w:val="clear" w:color="auto" w:fill="auto"/>
          </w:tcPr>
          <w:p w14:paraId="0EDE530E" w14:textId="770A240D" w:rsidR="00D435E4" w:rsidRPr="00FC13A1" w:rsidRDefault="00D435E4" w:rsidP="00094EA6">
            <w:pPr>
              <w:pStyle w:val="MSubHeader"/>
            </w:pPr>
            <w:r w:rsidRPr="00FC13A1">
              <w:t>Quality assurance</w:t>
            </w:r>
            <w:r w:rsidR="00094EA6">
              <w:t>:</w:t>
            </w:r>
          </w:p>
          <w:p w14:paraId="60A055F6" w14:textId="77777777" w:rsidR="00D435E4" w:rsidRPr="00FC13A1" w:rsidRDefault="00D435E4" w:rsidP="00094EA6">
            <w:pPr>
              <w:pStyle w:val="MText"/>
            </w:pPr>
            <w:r w:rsidRPr="00094EA6">
              <w:t>The national multisectoral self-assessment of IHR capacities, in preparation to the annual report is supported by WHO Country Office and Regional Offices activities and technical orientation and advocacy work.</w:t>
            </w:r>
          </w:p>
          <w:p w14:paraId="09EE5883" w14:textId="77777777" w:rsidR="00D435E4" w:rsidRPr="005E26E6" w:rsidRDefault="00D435E4" w:rsidP="00D435E4">
            <w:pPr>
              <w:pStyle w:val="ListParagraph"/>
              <w:spacing w:after="0"/>
              <w:rPr>
                <w:sz w:val="20"/>
                <w:szCs w:val="20"/>
              </w:rPr>
            </w:pPr>
          </w:p>
          <w:p w14:paraId="17C64F3E" w14:textId="77777777" w:rsidR="00D435E4" w:rsidRPr="005E26E6" w:rsidRDefault="00D435E4" w:rsidP="00094EA6">
            <w:pPr>
              <w:pStyle w:val="MText"/>
              <w:rPr>
                <w:sz w:val="20"/>
                <w:szCs w:val="20"/>
              </w:rPr>
            </w:pPr>
            <w:r w:rsidRPr="00FC13A1">
              <w:t>After submission of data by each State Party, WHO review data received at all level of the organization, using the e-SPAR platform for monitoring and evaluation of results, before final report to the World Health Assembly is produced and published. Results are published at several WHO Websites:</w:t>
            </w:r>
          </w:p>
          <w:p w14:paraId="2DDACA18" w14:textId="77777777" w:rsidR="00D435E4" w:rsidRPr="00094EA6" w:rsidRDefault="00D435E4" w:rsidP="00094EA6">
            <w:pPr>
              <w:pStyle w:val="ListParagraph"/>
              <w:numPr>
                <w:ilvl w:val="0"/>
                <w:numId w:val="31"/>
              </w:numPr>
              <w:rPr>
                <w:color w:val="auto"/>
                <w:sz w:val="20"/>
                <w:szCs w:val="20"/>
                <w:lang w:val="pt-BR"/>
              </w:rPr>
            </w:pPr>
            <w:r w:rsidRPr="00094EA6">
              <w:rPr>
                <w:rStyle w:val="MTextChar"/>
                <w:rFonts w:eastAsiaTheme="minorEastAsia"/>
                <w:lang w:val="pt-BR"/>
              </w:rPr>
              <w:t>e-SPAR</w:t>
            </w:r>
            <w:r w:rsidRPr="00094EA6">
              <w:rPr>
                <w:rFonts w:eastAsia="Times New Roman" w:cs="Times New Roman"/>
                <w:color w:val="auto"/>
                <w:lang w:val="pt-BR" w:eastAsia="en-GB"/>
              </w:rPr>
              <w:t xml:space="preserve"> (</w:t>
            </w:r>
            <w:hyperlink r:id="rId10" w:history="1">
              <w:r w:rsidRPr="00094EA6">
                <w:rPr>
                  <w:rStyle w:val="Hyperlink"/>
                  <w:rFonts w:eastAsia="Times New Roman"/>
                  <w:lang w:val="en-US" w:eastAsia="en-GB"/>
                </w:rPr>
                <w:t>https://extranet.who.int/e-spar/</w:t>
              </w:r>
            </w:hyperlink>
            <w:r w:rsidRPr="00094EA6">
              <w:rPr>
                <w:color w:val="auto"/>
                <w:lang w:val="pt-BR"/>
              </w:rPr>
              <w:t xml:space="preserve">), </w:t>
            </w:r>
          </w:p>
          <w:p w14:paraId="3D87B760" w14:textId="77777777" w:rsidR="00D435E4" w:rsidRPr="00094EA6" w:rsidRDefault="00D435E4" w:rsidP="00094EA6">
            <w:pPr>
              <w:pStyle w:val="ListParagraph"/>
              <w:numPr>
                <w:ilvl w:val="0"/>
                <w:numId w:val="31"/>
              </w:numPr>
              <w:rPr>
                <w:color w:val="auto"/>
                <w:sz w:val="20"/>
                <w:szCs w:val="20"/>
              </w:rPr>
            </w:pPr>
            <w:r w:rsidRPr="00094EA6">
              <w:rPr>
                <w:rStyle w:val="MTextChar"/>
                <w:rFonts w:eastAsiaTheme="minorEastAsia"/>
              </w:rPr>
              <w:t>Strategic Partnership for IHR (2005) and Health Security – SPH portal</w:t>
            </w:r>
            <w:r w:rsidRPr="00094EA6">
              <w:rPr>
                <w:color w:val="auto"/>
              </w:rPr>
              <w:t xml:space="preserve"> (</w:t>
            </w:r>
            <w:hyperlink r:id="rId11" w:history="1">
              <w:r w:rsidRPr="00094EA6">
                <w:rPr>
                  <w:rStyle w:val="Hyperlink"/>
                  <w:rFonts w:eastAsia="Times New Roman"/>
                  <w:lang w:val="en-US" w:eastAsia="en-GB"/>
                </w:rPr>
                <w:t>https://extranet.who.int/sph/</w:t>
              </w:r>
            </w:hyperlink>
            <w:r w:rsidRPr="00094EA6">
              <w:rPr>
                <w:rStyle w:val="Hyperlink"/>
                <w:rFonts w:eastAsia="Times New Roman"/>
                <w:lang w:val="en-US" w:eastAsia="en-GB"/>
              </w:rPr>
              <w:t xml:space="preserve"> </w:t>
            </w:r>
            <w:r w:rsidRPr="00094EA6">
              <w:rPr>
                <w:color w:val="auto"/>
              </w:rPr>
              <w:t>)</w:t>
            </w:r>
          </w:p>
          <w:p w14:paraId="1A92A5FF" w14:textId="77777777" w:rsidR="00D435E4" w:rsidRPr="00094EA6" w:rsidRDefault="00D435E4" w:rsidP="00094EA6">
            <w:pPr>
              <w:pStyle w:val="ListParagraph"/>
              <w:numPr>
                <w:ilvl w:val="0"/>
                <w:numId w:val="31"/>
              </w:numPr>
              <w:rPr>
                <w:color w:val="auto"/>
                <w:sz w:val="20"/>
                <w:szCs w:val="20"/>
              </w:rPr>
            </w:pPr>
            <w:r w:rsidRPr="00094EA6">
              <w:rPr>
                <w:rStyle w:val="MTextChar"/>
                <w:rFonts w:eastAsiaTheme="minorEastAsia"/>
              </w:rPr>
              <w:t>World Health Statistics data visualization dashboard</w:t>
            </w:r>
            <w:r w:rsidRPr="00094EA6">
              <w:rPr>
                <w:color w:val="auto"/>
              </w:rPr>
              <w:t xml:space="preserve"> (</w:t>
            </w:r>
            <w:hyperlink r:id="rId12" w:history="1">
              <w:r w:rsidRPr="00094EA6">
                <w:rPr>
                  <w:rStyle w:val="Hyperlink"/>
                  <w:rFonts w:eastAsia="Times New Roman"/>
                  <w:lang w:val="en-US" w:eastAsia="en-GB"/>
                </w:rPr>
                <w:t>http://apps.who.int/gho/data/node.sdg.3-d</w:t>
              </w:r>
            </w:hyperlink>
            <w:r w:rsidRPr="00094EA6">
              <w:rPr>
                <w:rStyle w:val="Hyperlink"/>
                <w:rFonts w:eastAsia="Times New Roman"/>
                <w:lang w:val="en-US" w:eastAsia="en-GB"/>
              </w:rPr>
              <w:t xml:space="preserve"> </w:t>
            </w:r>
            <w:r w:rsidRPr="00094EA6">
              <w:rPr>
                <w:color w:val="auto"/>
              </w:rPr>
              <w:t>)</w:t>
            </w:r>
          </w:p>
          <w:p w14:paraId="5D471804" w14:textId="6F6D802B" w:rsidR="009C300C" w:rsidRPr="009F305C" w:rsidRDefault="00D435E4" w:rsidP="00094EA6">
            <w:pPr>
              <w:pStyle w:val="ListParagraph"/>
              <w:numPr>
                <w:ilvl w:val="0"/>
                <w:numId w:val="31"/>
              </w:numPr>
              <w:spacing w:after="0"/>
            </w:pPr>
            <w:r w:rsidRPr="00094EA6">
              <w:rPr>
                <w:rStyle w:val="MTextChar"/>
                <w:rFonts w:eastAsiaTheme="minorEastAsia"/>
              </w:rPr>
              <w:t>Global Health Observatory for period after 2017</w:t>
            </w:r>
            <w:r w:rsidRPr="00094EA6">
              <w:rPr>
                <w:color w:val="auto"/>
              </w:rPr>
              <w:t xml:space="preserve"> (</w:t>
            </w:r>
            <w:hyperlink r:id="rId13" w:history="1">
              <w:r w:rsidRPr="00094EA6">
                <w:rPr>
                  <w:rStyle w:val="Hyperlink"/>
                  <w:rFonts w:eastAsia="Times New Roman"/>
                  <w:lang w:val="en-US" w:eastAsia="en-GB"/>
                </w:rPr>
                <w:t>https://www.who.int/data/gho/data/themes/theme-details/GHO/international-health-regulations-(2005)-monitoring-framework-spar</w:t>
              </w:r>
            </w:hyperlink>
            <w:r w:rsidRPr="00094EA6">
              <w:rPr>
                <w:color w:val="auto"/>
              </w:rPr>
              <w:t>)</w:t>
            </w:r>
            <w:r w:rsidR="00094EA6">
              <w:rPr>
                <w:color w:val="auto"/>
              </w:rPr>
              <w:t xml:space="preserve"> </w:t>
            </w:r>
            <w:r w:rsidRPr="00094EA6">
              <w:rPr>
                <w:color w:val="auto"/>
              </w:rPr>
              <w:t>and for period 2010-2017 (</w:t>
            </w:r>
            <w:hyperlink r:id="rId14" w:history="1">
              <w:r w:rsidRPr="00094EA6">
                <w:rPr>
                  <w:rStyle w:val="Hyperlink"/>
                  <w:rFonts w:eastAsia="Times New Roman"/>
                  <w:lang w:val="en-US" w:eastAsia="en-GB"/>
                </w:rPr>
                <w:t>https://www.who.int/data/gho/data/themes/topics/GHO/all-capacities</w:t>
              </w:r>
            </w:hyperlink>
            <w:r w:rsidRPr="00094EA6">
              <w:rPr>
                <w:color w:val="auto"/>
              </w:rPr>
              <w:t>)</w:t>
            </w:r>
          </w:p>
        </w:tc>
      </w:tr>
      <w:tr w:rsidR="009C300C" w:rsidRPr="004D68B6" w14:paraId="28BA5BD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0F93CE0D" w14:textId="77777777" w:rsidR="009C300C" w:rsidRPr="005B293A" w:rsidRDefault="009C300C" w:rsidP="00A13F90">
            <w:pPr>
              <w:rPr>
                <w:color w:val="000000"/>
              </w:rPr>
            </w:pPr>
            <w:r w:rsidRPr="005B293A">
              <w:t>4.k. Quality assessment</w:t>
            </w:r>
          </w:p>
        </w:tc>
        <w:tc>
          <w:tcPr>
            <w:tcW w:w="3261" w:type="pct"/>
            <w:tcBorders>
              <w:top w:val="nil"/>
              <w:left w:val="nil"/>
              <w:bottom w:val="single" w:sz="4" w:space="0" w:color="auto"/>
              <w:right w:val="single" w:sz="4" w:space="0" w:color="auto"/>
            </w:tcBorders>
            <w:shd w:val="clear" w:color="auto" w:fill="auto"/>
          </w:tcPr>
          <w:p w14:paraId="34547FDF" w14:textId="77777777" w:rsidR="009C300C" w:rsidRPr="009F305C" w:rsidRDefault="009C300C" w:rsidP="00A13F90"/>
        </w:tc>
      </w:tr>
    </w:tbl>
    <w:p w14:paraId="1062FC90" w14:textId="77777777" w:rsidR="009C300C" w:rsidRDefault="009C300C" w:rsidP="00A13F90"/>
    <w:tbl>
      <w:tblPr>
        <w:tblW w:w="4833" w:type="pct"/>
        <w:tblLayout w:type="fixed"/>
        <w:tblLook w:val="04A0" w:firstRow="1" w:lastRow="0" w:firstColumn="1" w:lastColumn="0" w:noHBand="0" w:noVBand="1"/>
        <w:tblCaption w:val="5. Data availability and disaggregation"/>
      </w:tblPr>
      <w:tblGrid>
        <w:gridCol w:w="3020"/>
        <w:gridCol w:w="6027"/>
      </w:tblGrid>
      <w:tr w:rsidR="009C300C" w:rsidRPr="004D68B6" w14:paraId="03EF726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407FDA88" w14:textId="77777777" w:rsidR="009C300C" w:rsidRPr="00776312" w:rsidRDefault="009C300C" w:rsidP="00A13F90">
            <w:pPr>
              <w:pStyle w:val="Heading2"/>
              <w:rPr>
                <w:rFonts w:ascii="Times New Roman" w:hAnsi="Times New Roman"/>
              </w:rPr>
            </w:pPr>
            <w:bookmarkStart w:id="30" w:name="_Toc36655613"/>
            <w:bookmarkStart w:id="31" w:name="_Toc36812576"/>
            <w:bookmarkStart w:id="32" w:name="_Toc36812689"/>
            <w:bookmarkStart w:id="33" w:name="_Toc36813076"/>
            <w:bookmarkStart w:id="34" w:name="_Toc37932748"/>
            <w:r w:rsidRPr="00776312">
              <w:t>5. Data availability and disaggregation</w:t>
            </w:r>
            <w:bookmarkEnd w:id="30"/>
            <w:bookmarkEnd w:id="31"/>
            <w:bookmarkEnd w:id="32"/>
            <w:bookmarkEnd w:id="33"/>
            <w:bookmarkEnd w:id="34"/>
          </w:p>
        </w:tc>
      </w:tr>
      <w:tr w:rsidR="009C300C" w:rsidRPr="004D68B6" w14:paraId="59B233D2" w14:textId="77777777" w:rsidTr="00870DFF">
        <w:trPr>
          <w:trHeight w:val="300"/>
        </w:trPr>
        <w:tc>
          <w:tcPr>
            <w:tcW w:w="1669" w:type="pct"/>
            <w:tcBorders>
              <w:top w:val="nil"/>
              <w:left w:val="nil"/>
              <w:bottom w:val="nil"/>
              <w:right w:val="nil"/>
            </w:tcBorders>
            <w:shd w:val="clear" w:color="000000" w:fill="D9E1F2"/>
            <w:noWrap/>
            <w:vAlign w:val="bottom"/>
            <w:hideMark/>
          </w:tcPr>
          <w:p w14:paraId="140532A3"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267460CC" w14:textId="77777777" w:rsidR="009C300C" w:rsidRPr="004D68B6" w:rsidRDefault="009C300C" w:rsidP="00A13F90">
            <w:r w:rsidRPr="00A92C73">
              <w:t>Insert text, lists, tables, and images.</w:t>
            </w:r>
          </w:p>
        </w:tc>
      </w:tr>
      <w:tr w:rsidR="009C300C" w:rsidRPr="004D68B6" w14:paraId="394AAE0E"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47AE498" w14:textId="77777777" w:rsidR="009C300C" w:rsidRPr="004E5702" w:rsidRDefault="009C300C" w:rsidP="00A13F90">
            <w:pPr>
              <w:rPr>
                <w:color w:val="000000"/>
              </w:rPr>
            </w:pPr>
            <w:r w:rsidRPr="004E5702">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49EC201E" w14:textId="13BDA63E" w:rsidR="00D435E4" w:rsidRPr="00604BCB" w:rsidRDefault="00D435E4" w:rsidP="003C5CF0">
            <w:pPr>
              <w:pStyle w:val="MHeader"/>
            </w:pPr>
            <w:r w:rsidRPr="00604BCB">
              <w:t xml:space="preserve">Data </w:t>
            </w:r>
            <w:r w:rsidR="003C5CF0">
              <w:t>a</w:t>
            </w:r>
            <w:r w:rsidRPr="00604BCB">
              <w:t>vailability</w:t>
            </w:r>
          </w:p>
          <w:p w14:paraId="41601E46" w14:textId="77777777" w:rsidR="00D435E4" w:rsidRPr="00604BCB" w:rsidRDefault="00D435E4" w:rsidP="003C5CF0">
            <w:pPr>
              <w:pStyle w:val="MSubHeader"/>
            </w:pPr>
            <w:r w:rsidRPr="00604BCB">
              <w:t>Description:</w:t>
            </w:r>
          </w:p>
          <w:p w14:paraId="13CC2342" w14:textId="77777777" w:rsidR="00D435E4" w:rsidRPr="005E26E6" w:rsidRDefault="00D435E4" w:rsidP="003C5CF0">
            <w:pPr>
              <w:pStyle w:val="MText"/>
            </w:pPr>
            <w:r>
              <w:t xml:space="preserve">Since 2010 all 196 State Parties of IHR had at least once provided data for IHR Annual Reports/indicator SDG 3.d.1. Previous year, in 2018, 183 States had provided data using e-SPAR report format that was published, regarding this indicator. It was the highest number since 2010. For ongoing period 2019, as of </w:t>
            </w:r>
            <w:r w:rsidRPr="005E26E6">
              <w:t>06 February 2020 we have received 100 reports</w:t>
            </w:r>
          </w:p>
          <w:p w14:paraId="197145C3" w14:textId="77777777" w:rsidR="00D435E4" w:rsidRDefault="00D435E4" w:rsidP="003C5CF0">
            <w:pPr>
              <w:pStyle w:val="MText"/>
            </w:pPr>
          </w:p>
          <w:p w14:paraId="298E18D1" w14:textId="18260A3F" w:rsidR="00D435E4" w:rsidRDefault="00D435E4" w:rsidP="003C5CF0">
            <w:pPr>
              <w:pStyle w:val="MText"/>
            </w:pPr>
            <w:r w:rsidRPr="005E26E6">
              <w:t>The final deadline for State Parties to submit annual reports is 29 February, so we expect final numbers first week of March.</w:t>
            </w:r>
          </w:p>
          <w:p w14:paraId="0663E144" w14:textId="40C5A107" w:rsidR="008749FE" w:rsidRDefault="008749FE" w:rsidP="003C5CF0">
            <w:pPr>
              <w:pStyle w:val="MText"/>
            </w:pPr>
          </w:p>
          <w:tbl>
            <w:tblPr>
              <w:tblStyle w:val="TableGrid"/>
              <w:tblW w:w="0" w:type="auto"/>
              <w:tblLayout w:type="fixed"/>
              <w:tblLook w:val="04A0" w:firstRow="1" w:lastRow="0" w:firstColumn="1" w:lastColumn="0" w:noHBand="0" w:noVBand="1"/>
            </w:tblPr>
            <w:tblGrid>
              <w:gridCol w:w="4697"/>
              <w:gridCol w:w="563"/>
            </w:tblGrid>
            <w:tr w:rsidR="008749FE" w:rsidRPr="00FC13A1" w14:paraId="0423B560" w14:textId="77777777" w:rsidTr="008E1A25">
              <w:trPr>
                <w:trHeight w:val="300"/>
              </w:trPr>
              <w:tc>
                <w:tcPr>
                  <w:tcW w:w="5260" w:type="dxa"/>
                  <w:gridSpan w:val="2"/>
                  <w:noWrap/>
                  <w:hideMark/>
                </w:tcPr>
                <w:p w14:paraId="05079864" w14:textId="77777777" w:rsidR="008749FE" w:rsidRPr="005E26E6" w:rsidRDefault="008749FE" w:rsidP="008749FE">
                  <w:pPr>
                    <w:pStyle w:val="MText"/>
                    <w:rPr>
                      <w:rFonts w:ascii="Times New Roman" w:hAnsi="Times New Roman"/>
                    </w:rPr>
                  </w:pPr>
                  <w:r w:rsidRPr="005E26E6">
                    <w:t>Country Totals for e-SPAR report format received in 2019</w:t>
                  </w:r>
                </w:p>
                <w:p w14:paraId="0F6DD8D2" w14:textId="77777777" w:rsidR="008749FE" w:rsidRPr="005E26E6" w:rsidRDefault="008749FE" w:rsidP="008749FE">
                  <w:pPr>
                    <w:pStyle w:val="MText"/>
                    <w:rPr>
                      <w:rFonts w:ascii="Times New Roman" w:hAnsi="Times New Roman"/>
                    </w:rPr>
                  </w:pPr>
                  <w:r w:rsidRPr="005E26E6">
                    <w:t>By 12 February 2020 (provisional data)</w:t>
                  </w:r>
                </w:p>
              </w:tc>
            </w:tr>
            <w:tr w:rsidR="008749FE" w:rsidRPr="00FC13A1" w14:paraId="746A2E13" w14:textId="77777777" w:rsidTr="008E1A25">
              <w:trPr>
                <w:trHeight w:val="300"/>
              </w:trPr>
              <w:tc>
                <w:tcPr>
                  <w:tcW w:w="4697" w:type="dxa"/>
                  <w:noWrap/>
                  <w:hideMark/>
                </w:tcPr>
                <w:p w14:paraId="68F1E97B" w14:textId="77777777" w:rsidR="008749FE" w:rsidRPr="005E26E6" w:rsidRDefault="008749FE" w:rsidP="008749FE">
                  <w:pPr>
                    <w:pStyle w:val="MText"/>
                    <w:rPr>
                      <w:rFonts w:ascii="Times New Roman" w:hAnsi="Times New Roman"/>
                    </w:rPr>
                  </w:pPr>
                  <w:r w:rsidRPr="005E26E6">
                    <w:t>Total Country Reports Submitted</w:t>
                  </w:r>
                </w:p>
              </w:tc>
              <w:tc>
                <w:tcPr>
                  <w:tcW w:w="563" w:type="dxa"/>
                  <w:noWrap/>
                  <w:hideMark/>
                </w:tcPr>
                <w:p w14:paraId="23970A13" w14:textId="77777777" w:rsidR="008749FE" w:rsidRPr="005E26E6" w:rsidRDefault="008749FE" w:rsidP="008749FE">
                  <w:pPr>
                    <w:pStyle w:val="MText"/>
                    <w:rPr>
                      <w:rFonts w:ascii="Times New Roman" w:hAnsi="Times New Roman"/>
                    </w:rPr>
                  </w:pPr>
                  <w:r w:rsidRPr="005E26E6">
                    <w:t>108</w:t>
                  </w:r>
                </w:p>
              </w:tc>
            </w:tr>
            <w:tr w:rsidR="008749FE" w:rsidRPr="00FC13A1" w14:paraId="49436A6D" w14:textId="77777777" w:rsidTr="008E1A25">
              <w:trPr>
                <w:trHeight w:val="300"/>
              </w:trPr>
              <w:tc>
                <w:tcPr>
                  <w:tcW w:w="4697" w:type="dxa"/>
                  <w:noWrap/>
                  <w:hideMark/>
                </w:tcPr>
                <w:p w14:paraId="2876916E" w14:textId="77777777" w:rsidR="008749FE" w:rsidRPr="005E26E6" w:rsidRDefault="008749FE" w:rsidP="008749FE">
                  <w:pPr>
                    <w:pStyle w:val="MText"/>
                    <w:rPr>
                      <w:rFonts w:ascii="Times New Roman" w:hAnsi="Times New Roman"/>
                    </w:rPr>
                  </w:pPr>
                  <w:r w:rsidRPr="00FC13A1">
                    <w:t>Total AFRO</w:t>
                  </w:r>
                </w:p>
              </w:tc>
              <w:tc>
                <w:tcPr>
                  <w:tcW w:w="563" w:type="dxa"/>
                  <w:noWrap/>
                  <w:hideMark/>
                </w:tcPr>
                <w:p w14:paraId="67B5EC9E" w14:textId="77777777" w:rsidR="008749FE" w:rsidRPr="005E26E6" w:rsidRDefault="008749FE" w:rsidP="008749FE">
                  <w:pPr>
                    <w:pStyle w:val="MText"/>
                    <w:rPr>
                      <w:rFonts w:ascii="Times New Roman" w:hAnsi="Times New Roman"/>
                    </w:rPr>
                  </w:pPr>
                  <w:r w:rsidRPr="005E26E6">
                    <w:t>37</w:t>
                  </w:r>
                </w:p>
              </w:tc>
            </w:tr>
            <w:tr w:rsidR="008749FE" w:rsidRPr="00FC13A1" w14:paraId="55340DD6" w14:textId="77777777" w:rsidTr="008E1A25">
              <w:trPr>
                <w:trHeight w:val="300"/>
              </w:trPr>
              <w:tc>
                <w:tcPr>
                  <w:tcW w:w="4697" w:type="dxa"/>
                  <w:noWrap/>
                  <w:hideMark/>
                </w:tcPr>
                <w:p w14:paraId="3A56A932" w14:textId="77777777" w:rsidR="008749FE" w:rsidRPr="005E26E6" w:rsidRDefault="008749FE" w:rsidP="008749FE">
                  <w:pPr>
                    <w:pStyle w:val="MText"/>
                    <w:rPr>
                      <w:rFonts w:ascii="Times New Roman" w:hAnsi="Times New Roman"/>
                    </w:rPr>
                  </w:pPr>
                  <w:r w:rsidRPr="00FC13A1">
                    <w:t>Total AMRO</w:t>
                  </w:r>
                </w:p>
              </w:tc>
              <w:tc>
                <w:tcPr>
                  <w:tcW w:w="563" w:type="dxa"/>
                  <w:noWrap/>
                  <w:hideMark/>
                </w:tcPr>
                <w:p w14:paraId="29A5B596" w14:textId="77777777" w:rsidR="008749FE" w:rsidRPr="005E26E6" w:rsidRDefault="008749FE" w:rsidP="008749FE">
                  <w:pPr>
                    <w:pStyle w:val="MText"/>
                    <w:rPr>
                      <w:rFonts w:ascii="Times New Roman" w:hAnsi="Times New Roman"/>
                    </w:rPr>
                  </w:pPr>
                  <w:r w:rsidRPr="005E26E6">
                    <w:t>04</w:t>
                  </w:r>
                </w:p>
              </w:tc>
            </w:tr>
            <w:tr w:rsidR="008749FE" w:rsidRPr="00FC13A1" w14:paraId="781BB9FB" w14:textId="77777777" w:rsidTr="008E1A25">
              <w:trPr>
                <w:trHeight w:val="300"/>
              </w:trPr>
              <w:tc>
                <w:tcPr>
                  <w:tcW w:w="4697" w:type="dxa"/>
                  <w:noWrap/>
                  <w:hideMark/>
                </w:tcPr>
                <w:p w14:paraId="4903BC7C" w14:textId="77777777" w:rsidR="008749FE" w:rsidRPr="005E26E6" w:rsidRDefault="008749FE" w:rsidP="008749FE">
                  <w:pPr>
                    <w:pStyle w:val="MText"/>
                    <w:rPr>
                      <w:rFonts w:ascii="Times New Roman" w:hAnsi="Times New Roman"/>
                    </w:rPr>
                  </w:pPr>
                  <w:r w:rsidRPr="00FC13A1">
                    <w:t>Total EMRO</w:t>
                  </w:r>
                </w:p>
              </w:tc>
              <w:tc>
                <w:tcPr>
                  <w:tcW w:w="563" w:type="dxa"/>
                  <w:noWrap/>
                  <w:hideMark/>
                </w:tcPr>
                <w:p w14:paraId="2F62B08C" w14:textId="77777777" w:rsidR="008749FE" w:rsidRPr="005E26E6" w:rsidRDefault="008749FE" w:rsidP="008749FE">
                  <w:pPr>
                    <w:pStyle w:val="MText"/>
                    <w:rPr>
                      <w:rFonts w:ascii="Times New Roman" w:hAnsi="Times New Roman"/>
                    </w:rPr>
                  </w:pPr>
                  <w:r w:rsidRPr="005E26E6">
                    <w:t>07</w:t>
                  </w:r>
                </w:p>
              </w:tc>
            </w:tr>
            <w:tr w:rsidR="008749FE" w:rsidRPr="00FC13A1" w14:paraId="0C4EFDFA" w14:textId="77777777" w:rsidTr="008E1A25">
              <w:trPr>
                <w:trHeight w:val="300"/>
              </w:trPr>
              <w:tc>
                <w:tcPr>
                  <w:tcW w:w="4697" w:type="dxa"/>
                  <w:noWrap/>
                  <w:hideMark/>
                </w:tcPr>
                <w:p w14:paraId="5ABACB31" w14:textId="77777777" w:rsidR="008749FE" w:rsidRPr="005E26E6" w:rsidRDefault="008749FE" w:rsidP="008749FE">
                  <w:pPr>
                    <w:pStyle w:val="MText"/>
                    <w:rPr>
                      <w:rFonts w:ascii="Times New Roman" w:hAnsi="Times New Roman"/>
                    </w:rPr>
                  </w:pPr>
                  <w:r w:rsidRPr="00FC13A1">
                    <w:t>Total EURO</w:t>
                  </w:r>
                </w:p>
              </w:tc>
              <w:tc>
                <w:tcPr>
                  <w:tcW w:w="563" w:type="dxa"/>
                  <w:noWrap/>
                  <w:hideMark/>
                </w:tcPr>
                <w:p w14:paraId="4B11FE20" w14:textId="77777777" w:rsidR="008749FE" w:rsidRPr="005E26E6" w:rsidRDefault="008749FE" w:rsidP="008749FE">
                  <w:pPr>
                    <w:pStyle w:val="MText"/>
                    <w:rPr>
                      <w:rFonts w:ascii="Times New Roman" w:hAnsi="Times New Roman"/>
                    </w:rPr>
                  </w:pPr>
                  <w:r w:rsidRPr="005E26E6">
                    <w:t>38</w:t>
                  </w:r>
                </w:p>
              </w:tc>
            </w:tr>
            <w:tr w:rsidR="008749FE" w:rsidRPr="00FC13A1" w14:paraId="11632F03" w14:textId="77777777" w:rsidTr="008E1A25">
              <w:trPr>
                <w:trHeight w:val="300"/>
              </w:trPr>
              <w:tc>
                <w:tcPr>
                  <w:tcW w:w="4697" w:type="dxa"/>
                  <w:noWrap/>
                  <w:hideMark/>
                </w:tcPr>
                <w:p w14:paraId="4D7205F5" w14:textId="77777777" w:rsidR="008749FE" w:rsidRPr="005E26E6" w:rsidRDefault="008749FE" w:rsidP="008749FE">
                  <w:pPr>
                    <w:pStyle w:val="MText"/>
                    <w:rPr>
                      <w:rFonts w:ascii="Times New Roman" w:hAnsi="Times New Roman"/>
                    </w:rPr>
                  </w:pPr>
                  <w:r w:rsidRPr="00FC13A1">
                    <w:t>Total SEARO</w:t>
                  </w:r>
                </w:p>
              </w:tc>
              <w:tc>
                <w:tcPr>
                  <w:tcW w:w="563" w:type="dxa"/>
                  <w:noWrap/>
                  <w:hideMark/>
                </w:tcPr>
                <w:p w14:paraId="2A5B734E" w14:textId="77777777" w:rsidR="008749FE" w:rsidRPr="005E26E6" w:rsidRDefault="008749FE" w:rsidP="008749FE">
                  <w:pPr>
                    <w:pStyle w:val="MText"/>
                    <w:rPr>
                      <w:rFonts w:ascii="Times New Roman" w:hAnsi="Times New Roman"/>
                    </w:rPr>
                  </w:pPr>
                  <w:r w:rsidRPr="005E26E6">
                    <w:t>11</w:t>
                  </w:r>
                </w:p>
              </w:tc>
            </w:tr>
            <w:tr w:rsidR="008749FE" w:rsidRPr="00FC13A1" w14:paraId="68B11D04" w14:textId="77777777" w:rsidTr="008E1A25">
              <w:trPr>
                <w:trHeight w:val="300"/>
              </w:trPr>
              <w:tc>
                <w:tcPr>
                  <w:tcW w:w="4697" w:type="dxa"/>
                  <w:noWrap/>
                  <w:hideMark/>
                </w:tcPr>
                <w:p w14:paraId="250F37FE" w14:textId="77777777" w:rsidR="008749FE" w:rsidRPr="005E26E6" w:rsidRDefault="008749FE" w:rsidP="008749FE">
                  <w:pPr>
                    <w:pStyle w:val="MText"/>
                    <w:rPr>
                      <w:rFonts w:ascii="Times New Roman" w:hAnsi="Times New Roman"/>
                    </w:rPr>
                  </w:pPr>
                  <w:r w:rsidRPr="00FC13A1">
                    <w:t>Total WPRO</w:t>
                  </w:r>
                </w:p>
              </w:tc>
              <w:tc>
                <w:tcPr>
                  <w:tcW w:w="563" w:type="dxa"/>
                  <w:noWrap/>
                  <w:hideMark/>
                </w:tcPr>
                <w:p w14:paraId="53E3E410" w14:textId="77777777" w:rsidR="008749FE" w:rsidRPr="005E26E6" w:rsidRDefault="008749FE" w:rsidP="008749FE">
                  <w:pPr>
                    <w:pStyle w:val="MText"/>
                    <w:rPr>
                      <w:rFonts w:ascii="Times New Roman" w:hAnsi="Times New Roman"/>
                    </w:rPr>
                  </w:pPr>
                  <w:r w:rsidRPr="005E26E6">
                    <w:t>11</w:t>
                  </w:r>
                </w:p>
              </w:tc>
            </w:tr>
          </w:tbl>
          <w:p w14:paraId="78BF73A3" w14:textId="63C43C35" w:rsidR="008749FE" w:rsidRDefault="008749FE" w:rsidP="003C5CF0">
            <w:pPr>
              <w:pStyle w:val="MText"/>
            </w:pPr>
          </w:p>
          <w:p w14:paraId="45831B99" w14:textId="77777777" w:rsidR="00D435E4" w:rsidRPr="005E26E6" w:rsidRDefault="00D435E4" w:rsidP="003C5CF0">
            <w:pPr>
              <w:pStyle w:val="MSubHeader"/>
              <w:rPr>
                <w:rFonts w:eastAsiaTheme="minorEastAsia"/>
              </w:rPr>
            </w:pPr>
            <w:r w:rsidRPr="005E26E6">
              <w:t>Time series:</w:t>
            </w:r>
          </w:p>
          <w:p w14:paraId="4B18184F" w14:textId="77777777" w:rsidR="00D435E4" w:rsidRDefault="00D435E4" w:rsidP="003C5CF0">
            <w:pPr>
              <w:pStyle w:val="MText"/>
            </w:pPr>
            <w:r>
              <w:t>Data collection started in 2010 and collected with same questionnaire until 2017 (Serie of data 2010-2017).</w:t>
            </w:r>
          </w:p>
          <w:p w14:paraId="76697C17" w14:textId="77777777" w:rsidR="00D435E4" w:rsidRDefault="00D435E4" w:rsidP="003C5CF0">
            <w:pPr>
              <w:pStyle w:val="MText"/>
            </w:pPr>
            <w:r>
              <w:t>New IHR State Parties Annual Assessment and Reporting Tool implemented since 2018 (Serie of data 2018-19).</w:t>
            </w:r>
          </w:p>
          <w:p w14:paraId="47CA860D" w14:textId="77777777" w:rsidR="00D435E4" w:rsidRDefault="00D435E4" w:rsidP="003C5CF0">
            <w:pPr>
              <w:pStyle w:val="MText"/>
            </w:pPr>
            <w:r>
              <w:t>All years have data published at e-SPAR (</w:t>
            </w:r>
            <w:hyperlink r:id="rId15" w:history="1">
              <w:r w:rsidRPr="00A545C8">
                <w:rPr>
                  <w:color w:val="0000FF"/>
                  <w:u w:val="single"/>
                </w:rPr>
                <w:t>https://extranet.who.int/e-spar/</w:t>
              </w:r>
            </w:hyperlink>
            <w:r>
              <w:t xml:space="preserve"> ).</w:t>
            </w:r>
          </w:p>
          <w:p w14:paraId="27961566" w14:textId="179F1CF8" w:rsidR="00010E42" w:rsidRDefault="00010E42" w:rsidP="00010E42">
            <w:pPr>
              <w:pStyle w:val="MText"/>
            </w:pPr>
          </w:p>
          <w:p w14:paraId="43BFAB78" w14:textId="77777777" w:rsidR="00F915C8" w:rsidRPr="00FC13A1" w:rsidRDefault="00F915C8" w:rsidP="003C5CF0">
            <w:pPr>
              <w:pStyle w:val="MSubHeader"/>
            </w:pPr>
            <w:r w:rsidRPr="00FC13A1">
              <w:t>Disaggregation:</w:t>
            </w:r>
          </w:p>
          <w:p w14:paraId="19A064E0" w14:textId="1FC49B6F" w:rsidR="00F915C8" w:rsidRPr="009F305C" w:rsidRDefault="00F915C8" w:rsidP="003C5CF0">
            <w:pPr>
              <w:pStyle w:val="MText"/>
            </w:pPr>
            <w:r w:rsidRPr="00FC13A1">
              <w:t>D</w:t>
            </w:r>
            <w:r>
              <w:t>i</w:t>
            </w:r>
            <w:r w:rsidRPr="00FC13A1">
              <w:t>s</w:t>
            </w:r>
            <w:r>
              <w:t>ag</w:t>
            </w:r>
            <w:r w:rsidRPr="00FC13A1">
              <w:t>gregation can be done by WHO Administrative Regions and countries, by scores of the 13 capacities.</w:t>
            </w:r>
          </w:p>
        </w:tc>
      </w:tr>
    </w:tbl>
    <w:p w14:paraId="01043046" w14:textId="77777777" w:rsidR="009C300C" w:rsidRDefault="009C300C" w:rsidP="00A13F90"/>
    <w:tbl>
      <w:tblPr>
        <w:tblW w:w="4833" w:type="pct"/>
        <w:tblLayout w:type="fixed"/>
        <w:tblLook w:val="04A0" w:firstRow="1" w:lastRow="0" w:firstColumn="1" w:lastColumn="0" w:noHBand="0" w:noVBand="1"/>
        <w:tblCaption w:val="6. Comparability/deviation from international standards"/>
      </w:tblPr>
      <w:tblGrid>
        <w:gridCol w:w="3020"/>
        <w:gridCol w:w="6027"/>
      </w:tblGrid>
      <w:tr w:rsidR="009C300C" w:rsidRPr="004D68B6" w14:paraId="1517313F" w14:textId="77777777" w:rsidTr="00870DFF">
        <w:trPr>
          <w:trHeight w:val="290"/>
        </w:trPr>
        <w:tc>
          <w:tcPr>
            <w:tcW w:w="5000" w:type="pct"/>
            <w:gridSpan w:val="2"/>
            <w:tcBorders>
              <w:top w:val="nil"/>
              <w:left w:val="nil"/>
              <w:bottom w:val="nil"/>
              <w:right w:val="nil"/>
            </w:tcBorders>
            <w:shd w:val="clear" w:color="auto" w:fill="auto"/>
            <w:noWrap/>
            <w:vAlign w:val="bottom"/>
          </w:tcPr>
          <w:p w14:paraId="18BC9119" w14:textId="77777777" w:rsidR="009C300C" w:rsidRPr="006A7EF1" w:rsidRDefault="009C300C" w:rsidP="00A13F90">
            <w:pPr>
              <w:pStyle w:val="Heading2"/>
            </w:pPr>
            <w:r>
              <w:t>6</w:t>
            </w:r>
            <w:r w:rsidRPr="00776312">
              <w:t xml:space="preserve">. </w:t>
            </w:r>
            <w:r w:rsidRPr="002806B7">
              <w:t>Comparability/deviation from international standards</w:t>
            </w:r>
          </w:p>
        </w:tc>
      </w:tr>
      <w:tr w:rsidR="009C300C" w:rsidRPr="004D68B6" w14:paraId="30B7FF80" w14:textId="77777777" w:rsidTr="00870DFF">
        <w:trPr>
          <w:trHeight w:val="300"/>
        </w:trPr>
        <w:tc>
          <w:tcPr>
            <w:tcW w:w="1669" w:type="pct"/>
            <w:tcBorders>
              <w:top w:val="nil"/>
              <w:left w:val="nil"/>
              <w:bottom w:val="nil"/>
              <w:right w:val="nil"/>
            </w:tcBorders>
            <w:shd w:val="clear" w:color="000000" w:fill="D9E1F2"/>
            <w:noWrap/>
            <w:vAlign w:val="bottom"/>
            <w:hideMark/>
          </w:tcPr>
          <w:p w14:paraId="35C8EF9A"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789CC17E" w14:textId="77777777" w:rsidR="009C300C" w:rsidRPr="004D68B6" w:rsidRDefault="009C300C" w:rsidP="00A13F90">
            <w:r w:rsidRPr="00A92C73">
              <w:t>Insert text, lists, tables, and images.</w:t>
            </w:r>
          </w:p>
        </w:tc>
      </w:tr>
      <w:tr w:rsidR="009C300C" w:rsidRPr="004D68B6" w14:paraId="5CA98BAF"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1DD1ADBD" w14:textId="77777777" w:rsidR="009C300C" w:rsidRPr="004E5702" w:rsidRDefault="009C300C" w:rsidP="00A13F90">
            <w:pPr>
              <w:rPr>
                <w:color w:val="000000"/>
              </w:rPr>
            </w:pPr>
            <w:r w:rsidRPr="004E5702">
              <w:t>6. Comparability/deviation from international standards</w:t>
            </w:r>
          </w:p>
        </w:tc>
        <w:tc>
          <w:tcPr>
            <w:tcW w:w="3331" w:type="pct"/>
            <w:tcBorders>
              <w:top w:val="single" w:sz="4" w:space="0" w:color="auto"/>
              <w:left w:val="nil"/>
              <w:bottom w:val="single" w:sz="4" w:space="0" w:color="auto"/>
              <w:right w:val="single" w:sz="4" w:space="0" w:color="auto"/>
            </w:tcBorders>
            <w:shd w:val="clear" w:color="auto" w:fill="auto"/>
          </w:tcPr>
          <w:p w14:paraId="4C1F50CF" w14:textId="77777777" w:rsidR="00D435E4" w:rsidRPr="00FC13A1" w:rsidRDefault="00D435E4" w:rsidP="003C5CF0">
            <w:pPr>
              <w:pStyle w:val="MSubHeader"/>
            </w:pPr>
            <w:r w:rsidRPr="00FC13A1">
              <w:t>Sources of discrepancies:</w:t>
            </w:r>
          </w:p>
          <w:p w14:paraId="1002F624" w14:textId="584BCF5C" w:rsidR="009C300C" w:rsidRPr="009F305C" w:rsidRDefault="00D435E4" w:rsidP="003C5CF0">
            <w:pPr>
              <w:pStyle w:val="MText"/>
            </w:pPr>
            <w:r w:rsidRPr="00FC13A1">
              <w:t>No estimate is made. The Regional and global scores are all based on submitted questionnaires.</w:t>
            </w:r>
          </w:p>
        </w:tc>
      </w:tr>
    </w:tbl>
    <w:p w14:paraId="6F6092C9" w14:textId="77777777" w:rsidR="009C300C" w:rsidRDefault="009C300C" w:rsidP="00A13F90"/>
    <w:tbl>
      <w:tblPr>
        <w:tblW w:w="4833" w:type="pct"/>
        <w:tblLayout w:type="fixed"/>
        <w:tblLook w:val="04A0" w:firstRow="1" w:lastRow="0" w:firstColumn="1" w:lastColumn="0" w:noHBand="0" w:noVBand="1"/>
        <w:tblCaption w:val="7. References and Documentation"/>
      </w:tblPr>
      <w:tblGrid>
        <w:gridCol w:w="3020"/>
        <w:gridCol w:w="6027"/>
      </w:tblGrid>
      <w:tr w:rsidR="009C300C" w:rsidRPr="004D68B6" w14:paraId="0B35D5A2" w14:textId="77777777" w:rsidTr="00870DFF">
        <w:trPr>
          <w:trHeight w:val="290"/>
        </w:trPr>
        <w:tc>
          <w:tcPr>
            <w:tcW w:w="5000" w:type="pct"/>
            <w:gridSpan w:val="2"/>
            <w:tcBorders>
              <w:top w:val="nil"/>
              <w:left w:val="nil"/>
              <w:bottom w:val="nil"/>
              <w:right w:val="nil"/>
            </w:tcBorders>
            <w:shd w:val="clear" w:color="auto" w:fill="auto"/>
            <w:noWrap/>
            <w:vAlign w:val="bottom"/>
          </w:tcPr>
          <w:p w14:paraId="66EC1D88" w14:textId="77777777" w:rsidR="009C300C" w:rsidRPr="006A7EF1" w:rsidRDefault="009C300C" w:rsidP="00A13F90">
            <w:pPr>
              <w:pStyle w:val="Heading2"/>
            </w:pPr>
            <w:r>
              <w:t>7. References and Documentation</w:t>
            </w:r>
          </w:p>
        </w:tc>
      </w:tr>
      <w:tr w:rsidR="009C300C" w:rsidRPr="004D68B6" w14:paraId="40A0F7DF" w14:textId="77777777" w:rsidTr="00870DFF">
        <w:trPr>
          <w:trHeight w:val="300"/>
        </w:trPr>
        <w:tc>
          <w:tcPr>
            <w:tcW w:w="1669" w:type="pct"/>
            <w:tcBorders>
              <w:top w:val="nil"/>
              <w:left w:val="nil"/>
              <w:bottom w:val="nil"/>
              <w:right w:val="nil"/>
            </w:tcBorders>
            <w:shd w:val="clear" w:color="000000" w:fill="D9E1F2"/>
            <w:noWrap/>
            <w:vAlign w:val="bottom"/>
            <w:hideMark/>
          </w:tcPr>
          <w:p w14:paraId="2B51588E"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6ABF1BF8" w14:textId="77777777" w:rsidR="009C300C" w:rsidRPr="004D68B6" w:rsidRDefault="009C300C" w:rsidP="00A13F90">
            <w:r w:rsidRPr="00A92C73">
              <w:t>Insert text, lists, tables, and images.</w:t>
            </w:r>
          </w:p>
        </w:tc>
      </w:tr>
      <w:tr w:rsidR="009C300C" w:rsidRPr="004D68B6" w14:paraId="270F8662"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A520CBC" w14:textId="77777777" w:rsidR="009C300C" w:rsidRPr="004E5702" w:rsidRDefault="009C300C" w:rsidP="00A13F90">
            <w:r>
              <w:t>7. References and Documentation</w:t>
            </w:r>
          </w:p>
        </w:tc>
        <w:tc>
          <w:tcPr>
            <w:tcW w:w="3331" w:type="pct"/>
            <w:tcBorders>
              <w:top w:val="single" w:sz="4" w:space="0" w:color="auto"/>
              <w:left w:val="nil"/>
              <w:bottom w:val="single" w:sz="4" w:space="0" w:color="auto"/>
              <w:right w:val="single" w:sz="4" w:space="0" w:color="auto"/>
            </w:tcBorders>
            <w:shd w:val="clear" w:color="auto" w:fill="auto"/>
          </w:tcPr>
          <w:p w14:paraId="74ADD486" w14:textId="77777777" w:rsidR="00381FB9" w:rsidRPr="003B1BFE" w:rsidRDefault="00381FB9" w:rsidP="003C5CF0">
            <w:pPr>
              <w:pStyle w:val="MHeader"/>
            </w:pPr>
            <w:r w:rsidRPr="003B1BFE">
              <w:t>References</w:t>
            </w:r>
          </w:p>
          <w:p w14:paraId="7DF96A13" w14:textId="77777777" w:rsidR="00381FB9" w:rsidRPr="005E26E6" w:rsidRDefault="00381FB9" w:rsidP="003C5CF0">
            <w:pPr>
              <w:pStyle w:val="MSubHeader"/>
              <w:rPr>
                <w:rFonts w:eastAsiaTheme="minorEastAsia"/>
              </w:rPr>
            </w:pPr>
            <w:r w:rsidRPr="005E26E6">
              <w:t>URL:</w:t>
            </w:r>
          </w:p>
          <w:p w14:paraId="64674466" w14:textId="77777777" w:rsidR="00381FB9" w:rsidRPr="005E26E6" w:rsidRDefault="00381FB9" w:rsidP="00381FB9">
            <w:pPr>
              <w:rPr>
                <w:lang w:val="fr-CH"/>
              </w:rPr>
            </w:pPr>
          </w:p>
          <w:p w14:paraId="68B7F3AA" w14:textId="77777777" w:rsidR="00381FB9" w:rsidRPr="005E26E6" w:rsidRDefault="00381FB9" w:rsidP="003C5CF0">
            <w:pPr>
              <w:pStyle w:val="MSubHeader"/>
            </w:pPr>
            <w:r w:rsidRPr="005E26E6">
              <w:t>References:</w:t>
            </w:r>
          </w:p>
          <w:p w14:paraId="740BAF33" w14:textId="622277AB" w:rsidR="00381FB9" w:rsidRDefault="0014746E" w:rsidP="00381FB9">
            <w:pPr>
              <w:spacing w:line="336" w:lineRule="atLeast"/>
              <w:rPr>
                <w:rFonts w:cs="Arial"/>
                <w:lang w:val="fr-FR"/>
              </w:rPr>
            </w:pPr>
            <w:hyperlink r:id="rId16" w:history="1">
              <w:r w:rsidR="00381FB9" w:rsidRPr="003C5CF0">
                <w:rPr>
                  <w:rStyle w:val="Hyperlink"/>
                  <w:rFonts w:cs="Arial"/>
                  <w:lang w:val="fr-FR"/>
                </w:rPr>
                <w:t>http://apps.who.int/iris/bitstream/10665/43883/1/9789241580410_eng.pdf</w:t>
              </w:r>
            </w:hyperlink>
            <w:r w:rsidR="00381FB9" w:rsidRPr="00FC13A1">
              <w:rPr>
                <w:rFonts w:cs="Arial"/>
                <w:lang w:val="fr-FR"/>
              </w:rPr>
              <w:t xml:space="preserve"> (Article 54)</w:t>
            </w:r>
          </w:p>
          <w:p w14:paraId="7F4D2DB0" w14:textId="77777777" w:rsidR="00381FB9" w:rsidRPr="002F3606" w:rsidRDefault="0014746E" w:rsidP="00381FB9">
            <w:pPr>
              <w:spacing w:line="336" w:lineRule="atLeast"/>
              <w:rPr>
                <w:rFonts w:cs="Arial"/>
              </w:rPr>
            </w:pPr>
            <w:hyperlink r:id="rId17" w:history="1">
              <w:r w:rsidR="00381FB9">
                <w:rPr>
                  <w:rStyle w:val="Hyperlink"/>
                </w:rPr>
                <w:t>WHA71/15</w:t>
              </w:r>
            </w:hyperlink>
          </w:p>
          <w:p w14:paraId="4EDEA402" w14:textId="228B86F3" w:rsidR="00381FB9" w:rsidRPr="003B1BFE" w:rsidRDefault="0014746E" w:rsidP="00381FB9">
            <w:pPr>
              <w:spacing w:line="336" w:lineRule="atLeast"/>
              <w:rPr>
                <w:rFonts w:cs="Arial"/>
                <w:lang w:val="fr-FR"/>
              </w:rPr>
            </w:pPr>
            <w:hyperlink r:id="rId18" w:history="1">
              <w:r w:rsidR="00381FB9" w:rsidRPr="003152EB">
                <w:rPr>
                  <w:rStyle w:val="Hyperlink"/>
                  <w:rFonts w:cs="Arial"/>
                  <w:lang w:val="fr-FR"/>
                </w:rPr>
                <w:t>WHA61/7</w:t>
              </w:r>
            </w:hyperlink>
          </w:p>
          <w:p w14:paraId="4E46D04B" w14:textId="77777777" w:rsidR="00381FB9" w:rsidRPr="003B1BFE" w:rsidRDefault="0014746E" w:rsidP="00381FB9">
            <w:pPr>
              <w:spacing w:line="336" w:lineRule="atLeast"/>
              <w:rPr>
                <w:rFonts w:cs="Arial"/>
                <w:lang w:val="fr-FR"/>
              </w:rPr>
            </w:pPr>
            <w:hyperlink r:id="rId19" w:history="1">
              <w:r w:rsidR="00381FB9" w:rsidRPr="003B1BFE">
                <w:rPr>
                  <w:rStyle w:val="Hyperlink"/>
                  <w:rFonts w:cs="Arial"/>
                  <w:lang w:val="fr-FR"/>
                </w:rPr>
                <w:t>https://www.who.int/ihr/publications/WHO-WHE-CPI-2018.16/en/</w:t>
              </w:r>
            </w:hyperlink>
          </w:p>
          <w:p w14:paraId="38BF89A0" w14:textId="6837F505" w:rsidR="009C300C" w:rsidRPr="009F305C" w:rsidRDefault="0014746E" w:rsidP="003C5CF0">
            <w:pPr>
              <w:spacing w:line="336" w:lineRule="atLeast"/>
            </w:pPr>
            <w:hyperlink r:id="rId20" w:history="1">
              <w:r w:rsidR="00381FB9" w:rsidRPr="003B1BFE">
                <w:rPr>
                  <w:rStyle w:val="Hyperlink"/>
                  <w:rFonts w:cs="Arial"/>
                  <w:lang w:val="fr-FR"/>
                </w:rPr>
                <w:t>https://www.who.int/ihr/publications/WHO-WHE-CPI-2018.17/en/</w:t>
              </w:r>
            </w:hyperlink>
          </w:p>
        </w:tc>
      </w:tr>
    </w:tbl>
    <w:p w14:paraId="37697424" w14:textId="77777777" w:rsidR="009C300C" w:rsidRDefault="009C300C" w:rsidP="00A13F90"/>
    <w:sectPr w:rsidR="009C3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Regular">
    <w:altName w:val="Arial"/>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6FED"/>
    <w:multiLevelType w:val="hybridMultilevel"/>
    <w:tmpl w:val="32986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50A22"/>
    <w:multiLevelType w:val="hybridMultilevel"/>
    <w:tmpl w:val="FCA8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F20F4"/>
    <w:multiLevelType w:val="hybridMultilevel"/>
    <w:tmpl w:val="D4045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0D7999"/>
    <w:multiLevelType w:val="hybridMultilevel"/>
    <w:tmpl w:val="6C4C30DA"/>
    <w:lvl w:ilvl="0" w:tplc="D90EA94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DD44F8"/>
    <w:multiLevelType w:val="hybridMultilevel"/>
    <w:tmpl w:val="3E8CD55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4F24DE2"/>
    <w:multiLevelType w:val="hybridMultilevel"/>
    <w:tmpl w:val="4C8C1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8A233C8"/>
    <w:multiLevelType w:val="hybridMultilevel"/>
    <w:tmpl w:val="59FA37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0C5F1D"/>
    <w:multiLevelType w:val="hybridMultilevel"/>
    <w:tmpl w:val="668A5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FD60BB8"/>
    <w:multiLevelType w:val="hybridMultilevel"/>
    <w:tmpl w:val="71A66B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CE035B"/>
    <w:multiLevelType w:val="hybridMultilevel"/>
    <w:tmpl w:val="B84A9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8154AE"/>
    <w:multiLevelType w:val="hybridMultilevel"/>
    <w:tmpl w:val="A4F6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6D4088"/>
    <w:multiLevelType w:val="hybridMultilevel"/>
    <w:tmpl w:val="EBAE2294"/>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D293CEE"/>
    <w:multiLevelType w:val="hybridMultilevel"/>
    <w:tmpl w:val="A53216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45F6957"/>
    <w:multiLevelType w:val="hybridMultilevel"/>
    <w:tmpl w:val="D99E3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58F74D1"/>
    <w:multiLevelType w:val="hybridMultilevel"/>
    <w:tmpl w:val="8DE65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9F94090"/>
    <w:multiLevelType w:val="hybridMultilevel"/>
    <w:tmpl w:val="25D47EF8"/>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7F137BD"/>
    <w:multiLevelType w:val="hybridMultilevel"/>
    <w:tmpl w:val="112C09FE"/>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C812D7B"/>
    <w:multiLevelType w:val="hybridMultilevel"/>
    <w:tmpl w:val="25603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DD4909"/>
    <w:multiLevelType w:val="hybridMultilevel"/>
    <w:tmpl w:val="9A622E14"/>
    <w:lvl w:ilvl="0" w:tplc="D6DA132A">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84B0ED9"/>
    <w:multiLevelType w:val="hybridMultilevel"/>
    <w:tmpl w:val="AF6E7CE2"/>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8725F50"/>
    <w:multiLevelType w:val="hybridMultilevel"/>
    <w:tmpl w:val="3C364AC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227182"/>
    <w:multiLevelType w:val="hybridMultilevel"/>
    <w:tmpl w:val="0024D9A2"/>
    <w:lvl w:ilvl="0" w:tplc="545017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9C2745"/>
    <w:multiLevelType w:val="hybridMultilevel"/>
    <w:tmpl w:val="69E29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AE38E6"/>
    <w:multiLevelType w:val="hybridMultilevel"/>
    <w:tmpl w:val="1F4603C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3701859"/>
    <w:multiLevelType w:val="hybridMultilevel"/>
    <w:tmpl w:val="87AA1C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8CD6078"/>
    <w:multiLevelType w:val="hybridMultilevel"/>
    <w:tmpl w:val="470E5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D2C799F"/>
    <w:multiLevelType w:val="hybridMultilevel"/>
    <w:tmpl w:val="21AADAA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0FD59AE"/>
    <w:multiLevelType w:val="hybridMultilevel"/>
    <w:tmpl w:val="45623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F6598E"/>
    <w:multiLevelType w:val="hybridMultilevel"/>
    <w:tmpl w:val="DB2253F0"/>
    <w:lvl w:ilvl="0" w:tplc="2DE877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A72961"/>
    <w:multiLevelType w:val="hybridMultilevel"/>
    <w:tmpl w:val="3F6A2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9"/>
  </w:num>
  <w:num w:numId="3">
    <w:abstractNumId w:val="18"/>
  </w:num>
  <w:num w:numId="4">
    <w:abstractNumId w:val="13"/>
  </w:num>
  <w:num w:numId="5">
    <w:abstractNumId w:val="27"/>
  </w:num>
  <w:num w:numId="6">
    <w:abstractNumId w:val="2"/>
  </w:num>
  <w:num w:numId="7">
    <w:abstractNumId w:val="1"/>
  </w:num>
  <w:num w:numId="8">
    <w:abstractNumId w:val="22"/>
  </w:num>
  <w:num w:numId="9">
    <w:abstractNumId w:val="4"/>
  </w:num>
  <w:num w:numId="10">
    <w:abstractNumId w:val="28"/>
  </w:num>
  <w:num w:numId="11">
    <w:abstractNumId w:val="16"/>
  </w:num>
  <w:num w:numId="12">
    <w:abstractNumId w:val="9"/>
  </w:num>
  <w:num w:numId="13">
    <w:abstractNumId w:val="29"/>
  </w:num>
  <w:num w:numId="14">
    <w:abstractNumId w:val="0"/>
  </w:num>
  <w:num w:numId="15">
    <w:abstractNumId w:val="11"/>
  </w:num>
  <w:num w:numId="16">
    <w:abstractNumId w:val="20"/>
  </w:num>
  <w:num w:numId="17">
    <w:abstractNumId w:val="23"/>
  </w:num>
  <w:num w:numId="18">
    <w:abstractNumId w:val="15"/>
  </w:num>
  <w:num w:numId="19">
    <w:abstractNumId w:val="24"/>
  </w:num>
  <w:num w:numId="20">
    <w:abstractNumId w:val="30"/>
  </w:num>
  <w:num w:numId="21">
    <w:abstractNumId w:val="10"/>
  </w:num>
  <w:num w:numId="22">
    <w:abstractNumId w:val="14"/>
  </w:num>
  <w:num w:numId="23">
    <w:abstractNumId w:val="7"/>
  </w:num>
  <w:num w:numId="24">
    <w:abstractNumId w:val="17"/>
  </w:num>
  <w:num w:numId="25">
    <w:abstractNumId w:val="6"/>
  </w:num>
  <w:num w:numId="26">
    <w:abstractNumId w:val="26"/>
  </w:num>
  <w:num w:numId="27">
    <w:abstractNumId w:val="3"/>
  </w:num>
  <w:num w:numId="28">
    <w:abstractNumId w:val="5"/>
  </w:num>
  <w:num w:numId="29">
    <w:abstractNumId w:val="12"/>
  </w:num>
  <w:num w:numId="30">
    <w:abstractNumId w:val="8"/>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0C"/>
    <w:rsid w:val="00001935"/>
    <w:rsid w:val="00010E42"/>
    <w:rsid w:val="00024893"/>
    <w:rsid w:val="000473AF"/>
    <w:rsid w:val="00072FC0"/>
    <w:rsid w:val="00094EA6"/>
    <w:rsid w:val="000A1682"/>
    <w:rsid w:val="000F0BF0"/>
    <w:rsid w:val="0014746E"/>
    <w:rsid w:val="001A2A7E"/>
    <w:rsid w:val="001C293C"/>
    <w:rsid w:val="0020364C"/>
    <w:rsid w:val="0020532C"/>
    <w:rsid w:val="0023460C"/>
    <w:rsid w:val="00246C95"/>
    <w:rsid w:val="00281303"/>
    <w:rsid w:val="003152EB"/>
    <w:rsid w:val="0034737E"/>
    <w:rsid w:val="00355B4E"/>
    <w:rsid w:val="00381FB9"/>
    <w:rsid w:val="003C163D"/>
    <w:rsid w:val="003C5CF0"/>
    <w:rsid w:val="00416A79"/>
    <w:rsid w:val="00450185"/>
    <w:rsid w:val="004614FB"/>
    <w:rsid w:val="00473168"/>
    <w:rsid w:val="004D11AE"/>
    <w:rsid w:val="004D61E9"/>
    <w:rsid w:val="004E6A35"/>
    <w:rsid w:val="00513CD4"/>
    <w:rsid w:val="00583CC6"/>
    <w:rsid w:val="00587481"/>
    <w:rsid w:val="005E1F5E"/>
    <w:rsid w:val="005E6457"/>
    <w:rsid w:val="006126A9"/>
    <w:rsid w:val="00633333"/>
    <w:rsid w:val="006445B3"/>
    <w:rsid w:val="00656B67"/>
    <w:rsid w:val="00712078"/>
    <w:rsid w:val="00791AA9"/>
    <w:rsid w:val="007E17EC"/>
    <w:rsid w:val="00803258"/>
    <w:rsid w:val="00856714"/>
    <w:rsid w:val="008641D6"/>
    <w:rsid w:val="00870DFF"/>
    <w:rsid w:val="008749FE"/>
    <w:rsid w:val="008D0C4C"/>
    <w:rsid w:val="008D1210"/>
    <w:rsid w:val="008F66EA"/>
    <w:rsid w:val="009009BE"/>
    <w:rsid w:val="00937F08"/>
    <w:rsid w:val="00975E06"/>
    <w:rsid w:val="00980E4E"/>
    <w:rsid w:val="00984D84"/>
    <w:rsid w:val="009862DA"/>
    <w:rsid w:val="009A15DE"/>
    <w:rsid w:val="009B768A"/>
    <w:rsid w:val="009C300C"/>
    <w:rsid w:val="009F157A"/>
    <w:rsid w:val="00A10855"/>
    <w:rsid w:val="00A13F90"/>
    <w:rsid w:val="00A1738D"/>
    <w:rsid w:val="00A66924"/>
    <w:rsid w:val="00A71707"/>
    <w:rsid w:val="00AF347C"/>
    <w:rsid w:val="00BA6FEF"/>
    <w:rsid w:val="00BB1074"/>
    <w:rsid w:val="00BC2F94"/>
    <w:rsid w:val="00BD17B1"/>
    <w:rsid w:val="00BE2604"/>
    <w:rsid w:val="00BE72CB"/>
    <w:rsid w:val="00C0524B"/>
    <w:rsid w:val="00C25BBC"/>
    <w:rsid w:val="00CA0300"/>
    <w:rsid w:val="00CB32D9"/>
    <w:rsid w:val="00CF0023"/>
    <w:rsid w:val="00D22B94"/>
    <w:rsid w:val="00D435E4"/>
    <w:rsid w:val="00D7322D"/>
    <w:rsid w:val="00D976E4"/>
    <w:rsid w:val="00DD2A65"/>
    <w:rsid w:val="00DE2E54"/>
    <w:rsid w:val="00E06BAD"/>
    <w:rsid w:val="00E3410D"/>
    <w:rsid w:val="00E62D18"/>
    <w:rsid w:val="00E85E03"/>
    <w:rsid w:val="00F31B13"/>
    <w:rsid w:val="00F41CE1"/>
    <w:rsid w:val="00F91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8E4C"/>
  <w15:chartTrackingRefBased/>
  <w15:docId w15:val="{38A255C8-0AB9-4595-9A0A-E05C77FC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F90"/>
    <w:pPr>
      <w:shd w:val="clear" w:color="auto" w:fill="FFFFFF"/>
      <w:spacing w:after="0"/>
    </w:pPr>
    <w:rPr>
      <w:rFonts w:eastAsia="Times New Roman" w:cstheme="minorHAnsi"/>
      <w:color w:val="4A4A4A"/>
      <w:sz w:val="21"/>
      <w:szCs w:val="21"/>
      <w:lang w:eastAsia="en-GB"/>
    </w:rPr>
  </w:style>
  <w:style w:type="paragraph" w:styleId="Heading2">
    <w:name w:val="heading 2"/>
    <w:basedOn w:val="Normal"/>
    <w:next w:val="Normal"/>
    <w:link w:val="Heading2Char"/>
    <w:uiPriority w:val="9"/>
    <w:unhideWhenUsed/>
    <w:qFormat/>
    <w:rsid w:val="009C300C"/>
    <w:pPr>
      <w:keepNext/>
      <w:keepLines/>
      <w:spacing w:before="40"/>
      <w:jc w:val="both"/>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00C"/>
    <w:rPr>
      <w:rFonts w:asciiTheme="majorHAnsi" w:eastAsiaTheme="majorEastAsia" w:hAnsiTheme="majorHAnsi" w:cstheme="majorBidi"/>
      <w:color w:val="2F5496" w:themeColor="accent1" w:themeShade="BF"/>
      <w:sz w:val="26"/>
      <w:szCs w:val="26"/>
    </w:rPr>
  </w:style>
  <w:style w:type="paragraph" w:customStyle="1" w:styleId="MGTHeader">
    <w:name w:val="M.G+T.Header"/>
    <w:basedOn w:val="Normal"/>
    <w:link w:val="MGTHeaderChar"/>
    <w:qFormat/>
    <w:rsid w:val="005E1F5E"/>
    <w:pPr>
      <w:shd w:val="clear" w:color="auto" w:fill="F5F5F5"/>
      <w:spacing w:line="276" w:lineRule="auto"/>
      <w:jc w:val="both"/>
      <w:outlineLvl w:val="4"/>
    </w:pPr>
    <w:rPr>
      <w:rFonts w:cs="Times New Roman"/>
      <w:color w:val="333333"/>
      <w:lang w:val="en-GB"/>
    </w:rPr>
  </w:style>
  <w:style w:type="paragraph" w:customStyle="1" w:styleId="MIndHeader">
    <w:name w:val="M.Ind.Header"/>
    <w:basedOn w:val="Normal"/>
    <w:link w:val="MIndHeaderChar"/>
    <w:qFormat/>
    <w:rsid w:val="005E1F5E"/>
    <w:pPr>
      <w:shd w:val="clear" w:color="auto" w:fill="F5F5F5"/>
      <w:spacing w:line="276" w:lineRule="auto"/>
      <w:jc w:val="both"/>
      <w:outlineLvl w:val="1"/>
    </w:pPr>
    <w:rPr>
      <w:rFonts w:cs="Times New Roman"/>
      <w:color w:val="1C75BC"/>
      <w:lang w:val="en-GB"/>
    </w:rPr>
  </w:style>
  <w:style w:type="character" w:customStyle="1" w:styleId="MGTHeaderChar">
    <w:name w:val="M.G+T.Header Char"/>
    <w:basedOn w:val="DefaultParagraphFont"/>
    <w:link w:val="MGTHeader"/>
    <w:rsid w:val="005E1F5E"/>
    <w:rPr>
      <w:rFonts w:eastAsia="Times New Roman" w:cs="Times New Roman"/>
      <w:color w:val="333333"/>
      <w:sz w:val="21"/>
      <w:szCs w:val="21"/>
      <w:shd w:val="clear" w:color="auto" w:fill="F5F5F5"/>
      <w:lang w:val="en-GB" w:eastAsia="en-GB"/>
    </w:rPr>
  </w:style>
  <w:style w:type="character" w:customStyle="1" w:styleId="MIndHeaderChar">
    <w:name w:val="M.Ind.Header Char"/>
    <w:basedOn w:val="DefaultParagraphFont"/>
    <w:link w:val="MIndHeader"/>
    <w:rsid w:val="005E1F5E"/>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20532C"/>
    <w:pPr>
      <w:tabs>
        <w:tab w:val="center" w:pos="4513"/>
        <w:tab w:val="right" w:pos="9026"/>
      </w:tabs>
      <w:spacing w:line="240" w:lineRule="auto"/>
      <w:jc w:val="both"/>
    </w:pPr>
    <w:rPr>
      <w:rFonts w:eastAsiaTheme="minorEastAsia"/>
      <w:lang w:val="en-GB" w:eastAsia="zh-CN"/>
    </w:rPr>
  </w:style>
  <w:style w:type="character" w:customStyle="1" w:styleId="HeaderChar">
    <w:name w:val="Header Char"/>
    <w:basedOn w:val="DefaultParagraphFont"/>
    <w:link w:val="Header"/>
    <w:uiPriority w:val="99"/>
    <w:rsid w:val="0020532C"/>
    <w:rPr>
      <w:rFonts w:eastAsiaTheme="minorEastAsia"/>
      <w:lang w:val="en-GB" w:eastAsia="zh-CN"/>
    </w:rPr>
  </w:style>
  <w:style w:type="paragraph" w:customStyle="1" w:styleId="MHeader">
    <w:name w:val="M.Header"/>
    <w:basedOn w:val="Normal"/>
    <w:link w:val="MHeaderChar"/>
    <w:qFormat/>
    <w:rsid w:val="0020532C"/>
    <w:pPr>
      <w:pBdr>
        <w:bottom w:val="single" w:sz="12" w:space="4" w:color="DDDDDD"/>
      </w:pBdr>
      <w:spacing w:line="276" w:lineRule="auto"/>
      <w:jc w:val="both"/>
      <w:outlineLvl w:val="2"/>
    </w:pPr>
    <w:rPr>
      <w:rFonts w:cs="Times New Roman"/>
      <w:color w:val="1C75BC"/>
      <w:sz w:val="36"/>
      <w:szCs w:val="36"/>
      <w:lang w:val="en-GB"/>
    </w:rPr>
  </w:style>
  <w:style w:type="character" w:customStyle="1" w:styleId="MHeaderChar">
    <w:name w:val="M.Header Char"/>
    <w:basedOn w:val="DefaultParagraphFont"/>
    <w:link w:val="MHeader"/>
    <w:rsid w:val="0020532C"/>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E62D18"/>
    <w:pPr>
      <w:spacing w:line="276" w:lineRule="auto"/>
    </w:pPr>
    <w:rPr>
      <w:rFonts w:cs="Times New Roman"/>
      <w:b/>
      <w:bCs/>
      <w:lang w:val="en-GB"/>
    </w:rPr>
  </w:style>
  <w:style w:type="character" w:customStyle="1" w:styleId="MSubHeaderChar">
    <w:name w:val="M.Sub.Header Char"/>
    <w:basedOn w:val="DefaultParagraphFont"/>
    <w:link w:val="MSubHeader"/>
    <w:rsid w:val="00E62D18"/>
    <w:rPr>
      <w:rFonts w:eastAsia="Times New Roman" w:cs="Times New Roman"/>
      <w:b/>
      <w:bCs/>
      <w:color w:val="4A4A4A"/>
      <w:sz w:val="21"/>
      <w:szCs w:val="21"/>
      <w:shd w:val="clear" w:color="auto" w:fill="FFFFFF"/>
      <w:lang w:val="en-GB" w:eastAsia="en-GB"/>
    </w:rPr>
  </w:style>
  <w:style w:type="paragraph" w:styleId="ListParagraph">
    <w:name w:val="List Paragraph"/>
    <w:basedOn w:val="Normal"/>
    <w:uiPriority w:val="34"/>
    <w:qFormat/>
    <w:rsid w:val="0020532C"/>
    <w:pPr>
      <w:spacing w:after="200" w:line="276" w:lineRule="auto"/>
      <w:ind w:left="720"/>
      <w:contextualSpacing/>
      <w:jc w:val="both"/>
    </w:pPr>
    <w:rPr>
      <w:rFonts w:eastAsiaTheme="minorEastAsia"/>
      <w:lang w:val="en-GB" w:eastAsia="zh-CN"/>
    </w:rPr>
  </w:style>
  <w:style w:type="character" w:styleId="Hyperlink">
    <w:name w:val="Hyperlink"/>
    <w:basedOn w:val="DefaultParagraphFont"/>
    <w:uiPriority w:val="99"/>
    <w:unhideWhenUsed/>
    <w:rsid w:val="0020532C"/>
    <w:rPr>
      <w:color w:val="0563C1" w:themeColor="hyperlink"/>
      <w:u w:val="single"/>
    </w:rPr>
  </w:style>
  <w:style w:type="character" w:styleId="UnresolvedMention">
    <w:name w:val="Unresolved Mention"/>
    <w:basedOn w:val="DefaultParagraphFont"/>
    <w:uiPriority w:val="99"/>
    <w:semiHidden/>
    <w:unhideWhenUsed/>
    <w:rsid w:val="00CA0300"/>
    <w:rPr>
      <w:color w:val="605E5C"/>
      <w:shd w:val="clear" w:color="auto" w:fill="E1DFDD"/>
    </w:rPr>
  </w:style>
  <w:style w:type="character" w:styleId="Emphasis">
    <w:name w:val="Emphasis"/>
    <w:basedOn w:val="DefaultParagraphFont"/>
    <w:uiPriority w:val="20"/>
    <w:qFormat/>
    <w:rsid w:val="004D11AE"/>
    <w:rPr>
      <w:i/>
      <w:iCs/>
    </w:rPr>
  </w:style>
  <w:style w:type="character" w:styleId="SubtleEmphasis">
    <w:name w:val="Subtle Emphasis"/>
    <w:basedOn w:val="DefaultParagraphFont"/>
    <w:uiPriority w:val="19"/>
    <w:qFormat/>
    <w:rsid w:val="009B768A"/>
    <w:rPr>
      <w:i/>
      <w:iCs/>
      <w:color w:val="404040" w:themeColor="text1" w:themeTint="BF"/>
    </w:rPr>
  </w:style>
  <w:style w:type="character" w:styleId="IntenseEmphasis">
    <w:name w:val="Intense Emphasis"/>
    <w:basedOn w:val="DefaultParagraphFont"/>
    <w:uiPriority w:val="21"/>
    <w:qFormat/>
    <w:rsid w:val="00F41CE1"/>
    <w:rPr>
      <w:i/>
      <w:iCs/>
      <w:color w:val="4472C4" w:themeColor="accent1"/>
    </w:rPr>
  </w:style>
  <w:style w:type="paragraph" w:styleId="Subtitle">
    <w:name w:val="Subtitle"/>
    <w:basedOn w:val="Normal"/>
    <w:next w:val="Normal"/>
    <w:link w:val="SubtitleChar"/>
    <w:uiPriority w:val="11"/>
    <w:qFormat/>
    <w:rsid w:val="00F41CE1"/>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41CE1"/>
    <w:rPr>
      <w:rFonts w:eastAsiaTheme="minorEastAsia"/>
      <w:color w:val="5A5A5A" w:themeColor="text1" w:themeTint="A5"/>
      <w:spacing w:val="15"/>
      <w:shd w:val="clear" w:color="auto" w:fill="FFFFFF"/>
      <w:lang w:eastAsia="en-GB"/>
    </w:rPr>
  </w:style>
  <w:style w:type="paragraph" w:customStyle="1" w:styleId="MText">
    <w:name w:val="M.Text"/>
    <w:basedOn w:val="Normal"/>
    <w:link w:val="MTextChar"/>
    <w:qFormat/>
    <w:rsid w:val="00416A79"/>
    <w:pPr>
      <w:spacing w:line="276" w:lineRule="auto"/>
    </w:pPr>
    <w:rPr>
      <w:rFonts w:cs="Times New Roman"/>
      <w:lang w:val="en-GB"/>
    </w:rPr>
  </w:style>
  <w:style w:type="character" w:customStyle="1" w:styleId="MTextChar">
    <w:name w:val="M.Text Char"/>
    <w:basedOn w:val="DefaultParagraphFont"/>
    <w:link w:val="MText"/>
    <w:rsid w:val="00416A79"/>
    <w:rPr>
      <w:rFonts w:eastAsia="Times New Roman" w:cs="Times New Roman"/>
      <w:color w:val="4A4A4A"/>
      <w:sz w:val="21"/>
      <w:szCs w:val="21"/>
      <w:shd w:val="clear" w:color="auto" w:fill="FFFFFF"/>
      <w:lang w:val="en-GB" w:eastAsia="en-GB"/>
    </w:rPr>
  </w:style>
  <w:style w:type="table" w:styleId="TableGrid">
    <w:name w:val="Table Grid"/>
    <w:basedOn w:val="TableNormal"/>
    <w:uiPriority w:val="59"/>
    <w:rsid w:val="000473AF"/>
    <w:pPr>
      <w:spacing w:after="0" w:line="240" w:lineRule="auto"/>
    </w:pPr>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81303"/>
    <w:rPr>
      <w:color w:val="808080"/>
    </w:rPr>
  </w:style>
  <w:style w:type="paragraph" w:customStyle="1" w:styleId="Default">
    <w:name w:val="Default"/>
    <w:rsid w:val="00F915C8"/>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3C5C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tranet.who.int/e-spar/" TargetMode="External"/><Relationship Id="rId13" Type="http://schemas.openxmlformats.org/officeDocument/2006/relationships/hyperlink" Target="https://www.who.int/data/gho/data/themes/theme-details/GHO/international-health-regulations-(2005)-monitoring-framework-spar" TargetMode="External"/><Relationship Id="rId18" Type="http://schemas.openxmlformats.org/officeDocument/2006/relationships/hyperlink" Target="https://apps.who.int/gb/archive/pdf_files/A61/A61_7-en.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apps.who.int/iris/bitstream/10665/43883/1/9789241580410_eng.pdf" TargetMode="External"/><Relationship Id="rId12" Type="http://schemas.openxmlformats.org/officeDocument/2006/relationships/hyperlink" Target="http://apps.who.int/gho/data/node.sdg.3-d" TargetMode="External"/><Relationship Id="rId17" Type="http://schemas.openxmlformats.org/officeDocument/2006/relationships/hyperlink" Target="http://apps.who.int/gb/ebwha/pdf_files/WHA71/A71(15)-en.pdf" TargetMode="External"/><Relationship Id="rId2" Type="http://schemas.openxmlformats.org/officeDocument/2006/relationships/styles" Target="styles.xml"/><Relationship Id="rId16" Type="http://schemas.openxmlformats.org/officeDocument/2006/relationships/hyperlink" Target="http://apps.who.int/iris/bitstream/10665/43883/1/9789241580410_eng.pdf%20" TargetMode="External"/><Relationship Id="rId20" Type="http://schemas.openxmlformats.org/officeDocument/2006/relationships/hyperlink" Target="https://www.who.int/ihr/publications/WHO-WHE-CPI-2018.17/en/" TargetMode="External"/><Relationship Id="rId1" Type="http://schemas.openxmlformats.org/officeDocument/2006/relationships/numbering" Target="numbering.xml"/><Relationship Id="rId6" Type="http://schemas.openxmlformats.org/officeDocument/2006/relationships/hyperlink" Target="https://extranet.who.int/e-spar/" TargetMode="External"/><Relationship Id="rId11" Type="http://schemas.openxmlformats.org/officeDocument/2006/relationships/hyperlink" Target="https://extranet.who.int/sph/" TargetMode="External"/><Relationship Id="rId5" Type="http://schemas.openxmlformats.org/officeDocument/2006/relationships/image" Target="media/image1.wmf"/><Relationship Id="rId15" Type="http://schemas.openxmlformats.org/officeDocument/2006/relationships/hyperlink" Target="https://extranet.who.int/e-spar/" TargetMode="External"/><Relationship Id="rId23" Type="http://schemas.openxmlformats.org/officeDocument/2006/relationships/theme" Target="theme/theme1.xml"/><Relationship Id="rId10" Type="http://schemas.openxmlformats.org/officeDocument/2006/relationships/hyperlink" Target="https://extranet.who.int/e-spar/" TargetMode="External"/><Relationship Id="rId19" Type="http://schemas.openxmlformats.org/officeDocument/2006/relationships/hyperlink" Target="https://www.who.int/ihr/publications/WHO-WHE-CPI-2018.16/en/" TargetMode="External"/><Relationship Id="rId4" Type="http://schemas.openxmlformats.org/officeDocument/2006/relationships/webSettings" Target="webSettings.xml"/><Relationship Id="rId9" Type="http://schemas.openxmlformats.org/officeDocument/2006/relationships/hyperlink" Target="https://extranet.who.int/e-spar/" TargetMode="External"/><Relationship Id="rId14" Type="http://schemas.openxmlformats.org/officeDocument/2006/relationships/hyperlink" Target="https://www.who.int/data/gho/data/themes/topics/GHO/all-capacities"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1A0F1249F01484F92738983D01AD691"/>
        <w:category>
          <w:name w:val="General"/>
          <w:gallery w:val="placeholder"/>
        </w:category>
        <w:types>
          <w:type w:val="bbPlcHdr"/>
        </w:types>
        <w:behaviors>
          <w:behavior w:val="content"/>
        </w:behaviors>
        <w:guid w:val="{DD13CA96-706E-4731-8BF2-26E6C4175B30}"/>
      </w:docPartPr>
      <w:docPartBody>
        <w:p w:rsidR="00EF48BC" w:rsidRDefault="00733180" w:rsidP="00733180">
          <w:pPr>
            <w:pStyle w:val="81A0F1249F01484F92738983D01AD691"/>
          </w:pPr>
          <w:r w:rsidRPr="00E263EC">
            <w:rPr>
              <w:rStyle w:val="PlaceholderText"/>
            </w:rPr>
            <w:t>Choose an item.</w:t>
          </w:r>
        </w:p>
      </w:docPartBody>
    </w:docPart>
    <w:docPart>
      <w:docPartPr>
        <w:name w:val="41CB01236AC6412C93726BBE912C9F80"/>
        <w:category>
          <w:name w:val="General"/>
          <w:gallery w:val="placeholder"/>
        </w:category>
        <w:types>
          <w:type w:val="bbPlcHdr"/>
        </w:types>
        <w:behaviors>
          <w:behavior w:val="content"/>
        </w:behaviors>
        <w:guid w:val="{12B1ACEC-C66D-4578-A10B-D53E7AFE0746}"/>
      </w:docPartPr>
      <w:docPartBody>
        <w:p w:rsidR="00EF48BC" w:rsidRDefault="00733180" w:rsidP="00733180">
          <w:pPr>
            <w:pStyle w:val="41CB01236AC6412C93726BBE912C9F80"/>
          </w:pPr>
          <w:r w:rsidRPr="00D2076D">
            <w:rPr>
              <w:rStyle w:val="PlaceholderText"/>
            </w:rPr>
            <w:t>Choose an item.</w:t>
          </w:r>
        </w:p>
      </w:docPartBody>
    </w:docPart>
    <w:docPart>
      <w:docPartPr>
        <w:name w:val="D060B7E9EA1C49ABBC6F8A337EAB275B"/>
        <w:category>
          <w:name w:val="General"/>
          <w:gallery w:val="placeholder"/>
        </w:category>
        <w:types>
          <w:type w:val="bbPlcHdr"/>
        </w:types>
        <w:behaviors>
          <w:behavior w:val="content"/>
        </w:behaviors>
        <w:guid w:val="{40685A66-B5BD-4247-A679-137B5E129C8F}"/>
      </w:docPartPr>
      <w:docPartBody>
        <w:p w:rsidR="00EF48BC" w:rsidRDefault="00733180" w:rsidP="00733180">
          <w:pPr>
            <w:pStyle w:val="D060B7E9EA1C49ABBC6F8A337EAB275B"/>
          </w:pPr>
          <w:r w:rsidRPr="00D2076D">
            <w:rPr>
              <w:rStyle w:val="PlaceholderText"/>
            </w:rPr>
            <w:t>Choose an item.</w:t>
          </w:r>
        </w:p>
      </w:docPartBody>
    </w:docPart>
    <w:docPart>
      <w:docPartPr>
        <w:name w:val="C843F5DDBF1141029E2BEE6E1C64B1D7"/>
        <w:category>
          <w:name w:val="General"/>
          <w:gallery w:val="placeholder"/>
        </w:category>
        <w:types>
          <w:type w:val="bbPlcHdr"/>
        </w:types>
        <w:behaviors>
          <w:behavior w:val="content"/>
        </w:behaviors>
        <w:guid w:val="{8520DB34-BB5B-48DC-A1C9-8ADCE912A3D4}"/>
      </w:docPartPr>
      <w:docPartBody>
        <w:p w:rsidR="00EF48BC" w:rsidRDefault="00733180" w:rsidP="00733180">
          <w:pPr>
            <w:pStyle w:val="C843F5DDBF1141029E2BEE6E1C64B1D7"/>
          </w:pPr>
          <w:r w:rsidRPr="00245F0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Regular">
    <w:altName w:val="Arial"/>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180"/>
    <w:rsid w:val="00733180"/>
    <w:rsid w:val="00EF4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180"/>
    <w:rPr>
      <w:color w:val="808080"/>
    </w:rPr>
  </w:style>
  <w:style w:type="paragraph" w:customStyle="1" w:styleId="81A0F1249F01484F92738983D01AD691">
    <w:name w:val="81A0F1249F01484F92738983D01AD691"/>
    <w:rsid w:val="00733180"/>
  </w:style>
  <w:style w:type="paragraph" w:customStyle="1" w:styleId="41CB01236AC6412C93726BBE912C9F80">
    <w:name w:val="41CB01236AC6412C93726BBE912C9F80"/>
    <w:rsid w:val="00733180"/>
  </w:style>
  <w:style w:type="paragraph" w:customStyle="1" w:styleId="D060B7E9EA1C49ABBC6F8A337EAB275B">
    <w:name w:val="D060B7E9EA1C49ABBC6F8A337EAB275B"/>
    <w:rsid w:val="00733180"/>
  </w:style>
  <w:style w:type="paragraph" w:customStyle="1" w:styleId="C843F5DDBF1141029E2BEE6E1C64B1D7">
    <w:name w:val="C843F5DDBF1141029E2BEE6E1C64B1D7"/>
    <w:rsid w:val="007331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925</TotalTime>
  <Pages>9</Pages>
  <Words>2248</Words>
  <Characters>12814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Park</dc:creator>
  <cp:keywords/>
  <dc:description/>
  <cp:lastModifiedBy>Jennifer Park</cp:lastModifiedBy>
  <cp:revision>19</cp:revision>
  <dcterms:created xsi:type="dcterms:W3CDTF">2020-10-26T22:30:00Z</dcterms:created>
  <dcterms:modified xsi:type="dcterms:W3CDTF">2020-11-17T19:38:00Z</dcterms:modified>
</cp:coreProperties>
</file>