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2BC3550" w:rsidR="006D23F0" w:rsidRDefault="006D23F0" w:rsidP="006D23F0">
      <w:r>
        <w:t>1</w:t>
      </w:r>
      <w:r w:rsidR="00FE4FD2">
        <w:t>6</w:t>
      </w:r>
      <w:r>
        <w:t xml:space="preserve"> April 2020</w:t>
      </w:r>
    </w:p>
    <w:p w14:paraId="42E078A2" w14:textId="77777777" w:rsidR="004C0570" w:rsidRPr="004C0570" w:rsidRDefault="004C0570" w:rsidP="004C0570">
      <w:pPr>
        <w:pStyle w:val="MHeader"/>
        <w:outlineLvl w:val="0"/>
      </w:pPr>
      <w:bookmarkStart w:id="0" w:name="_Toc37932741"/>
      <w:r w:rsidRPr="004C0570">
        <w:t>Metadata Attachment</w:t>
      </w:r>
      <w:bookmarkEnd w:id="0"/>
    </w:p>
    <w:p w14:paraId="3880B22A" w14:textId="77777777" w:rsidR="004C0570" w:rsidRPr="004C0570" w:rsidRDefault="004C0570" w:rsidP="004C0570">
      <w:pPr>
        <w:spacing w:after="0"/>
        <w:rPr>
          <w:sz w:val="26"/>
          <w:szCs w:val="26"/>
        </w:rPr>
      </w:pPr>
      <w:r w:rsidRPr="004C0570">
        <w:rPr>
          <w:sz w:val="26"/>
          <w:szCs w:val="26"/>
        </w:rPr>
        <w:t>Reporting type</w:t>
      </w:r>
    </w:p>
    <w:sdt>
      <w:sdtPr>
        <w:alias w:val="Reporting Type"/>
        <w:tag w:val="Reporting Type"/>
        <w:id w:val="-136573180"/>
        <w:placeholder>
          <w:docPart w:val="3F9DB7EC011840B78B8B29BA265DE978"/>
        </w:placeholder>
        <w:dropDownList>
          <w:listItem w:displayText="Global" w:value="G"/>
          <w:listItem w:displayText="National" w:value="N"/>
        </w:dropDownList>
      </w:sdtPr>
      <w:sdtEndPr/>
      <w:sdtContent>
        <w:p w14:paraId="3C3FBF36" w14:textId="5F187849" w:rsidR="004C0570" w:rsidRPr="004C0570" w:rsidRDefault="004C0570" w:rsidP="004C0570">
          <w:r>
            <w:t>Global</w:t>
          </w:r>
        </w:p>
      </w:sdtContent>
    </w:sdt>
    <w:p w14:paraId="74975F2B" w14:textId="77777777" w:rsidR="004C0570" w:rsidRPr="004C0570" w:rsidRDefault="004C0570" w:rsidP="004C0570">
      <w:pPr>
        <w:spacing w:after="0"/>
        <w:rPr>
          <w:sz w:val="26"/>
          <w:szCs w:val="26"/>
        </w:rPr>
      </w:pPr>
      <w:r w:rsidRPr="004C0570">
        <w:rPr>
          <w:sz w:val="26"/>
          <w:szCs w:val="26"/>
        </w:rPr>
        <w:t>SDG series</w:t>
      </w:r>
    </w:p>
    <w:sdt>
      <w:sdtPr>
        <w:alias w:val="SDG Series"/>
        <w:tag w:val="ddSeries"/>
        <w:id w:val="590363093"/>
        <w:placeholder>
          <w:docPart w:val="E886E7E352554935B7063A5DF4E6525D"/>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E2AEBAE" w14:textId="4223C012" w:rsidR="004C0570" w:rsidRPr="004C0570" w:rsidRDefault="004C0570" w:rsidP="004C0570">
          <w:r>
            <w:t>4.1.1  Proportion of children and young people achieving a minimum proficiency level in reading and mathematics</w:t>
          </w:r>
        </w:p>
      </w:sdtContent>
    </w:sdt>
    <w:p w14:paraId="7FA0642C" w14:textId="77777777" w:rsidR="004C0570" w:rsidRPr="004C0570" w:rsidRDefault="004C0570" w:rsidP="004C0570">
      <w:pPr>
        <w:spacing w:after="0"/>
        <w:rPr>
          <w:sz w:val="26"/>
          <w:szCs w:val="26"/>
        </w:rPr>
      </w:pPr>
      <w:r w:rsidRPr="004C0570">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72FF6D4" w14:textId="510A7A88" w:rsidR="004C0570" w:rsidRDefault="004C0570" w:rsidP="004C0570">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C2345FF" w:rsidR="00A36E8B" w:rsidRPr="003B00B3" w:rsidRDefault="003B00B3" w:rsidP="00C325E3">
            <w:pPr>
              <w:pStyle w:val="MGTHeader"/>
            </w:pPr>
            <w:r>
              <w:t>Goal 4: Ensure inclusive and equitable quality education and promote lifelong learning opportunities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781A7D77" w:rsidR="00A36E8B" w:rsidRPr="00C325E3" w:rsidRDefault="00C325E3" w:rsidP="003700A1">
            <w:pPr>
              <w:pStyle w:val="MGTHeader"/>
            </w:pPr>
            <w:r>
              <w:t xml:space="preserve">Target 4.1: By 2030, ensure that all girls and boys complete free, equitable and quality primary and secondary education leading to relevant and effective learning outcomes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6E2F73F" w:rsidR="00A36E8B" w:rsidRPr="00C325E3" w:rsidRDefault="00C325E3" w:rsidP="00F67599">
            <w:pPr>
              <w:pStyle w:val="MIndHeader"/>
            </w:pPr>
            <w:r w:rsidRPr="00C325E3">
              <w:t>Indicator 4.1.1: Proportion of children and young people: (a) in grades 2/3; (b) at the end of primary; and (c) at the end of lower secondary achieving at least a minimum proficiency level in (</w:t>
            </w:r>
            <w:proofErr w:type="spellStart"/>
            <w:r w:rsidRPr="00C325E3">
              <w:t>i</w:t>
            </w:r>
            <w:proofErr w:type="spellEnd"/>
            <w:r w:rsidRPr="00C325E3">
              <w:t>) reading and (ii) mathematics, by sex</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1CC3C11" w:rsidR="00A36E8B" w:rsidRPr="00C325E3" w:rsidRDefault="00C325E3" w:rsidP="00C325E3">
            <w:pPr>
              <w:pStyle w:val="Header"/>
              <w:rPr>
                <w:color w:val="404040" w:themeColor="text1" w:themeTint="BF"/>
                <w:sz w:val="18"/>
                <w:szCs w:val="18"/>
              </w:rPr>
            </w:pPr>
            <w:bookmarkStart w:id="5" w:name="_Hlk516233504"/>
            <w:bookmarkStart w:id="6" w:name="_Hlk516233503"/>
            <w:bookmarkStart w:id="7" w:name="_Hlk516233502"/>
            <w:bookmarkStart w:id="8" w:name="_Hlk506197005"/>
            <w:bookmarkStart w:id="9" w:name="_Hlk506197004"/>
            <w:bookmarkStart w:id="10" w:name="_Hlk506197003"/>
            <w:r>
              <w:rPr>
                <w:color w:val="404040" w:themeColor="text1" w:themeTint="BF"/>
                <w:sz w:val="18"/>
                <w:szCs w:val="18"/>
              </w:rPr>
              <w:t xml:space="preserve">Last updated: </w:t>
            </w:r>
            <w:bookmarkEnd w:id="5"/>
            <w:bookmarkEnd w:id="6"/>
            <w:bookmarkEnd w:id="7"/>
            <w:bookmarkEnd w:id="8"/>
            <w:bookmarkEnd w:id="9"/>
            <w:bookmarkEnd w:id="10"/>
            <w:r w:rsidR="008634EE">
              <w:rPr>
                <w:color w:val="404040" w:themeColor="text1" w:themeTint="BF"/>
                <w:sz w:val="18"/>
                <w:szCs w:val="18"/>
              </w:rPr>
              <w:t xml:space="preserve">November </w:t>
            </w:r>
            <w:r>
              <w:rPr>
                <w:color w:val="404040" w:themeColor="text1" w:themeTint="BF"/>
                <w:sz w:val="18"/>
                <w:szCs w:val="18"/>
              </w:rPr>
              <w:t>20</w:t>
            </w:r>
            <w:r w:rsidR="008634EE">
              <w:rPr>
                <w:color w:val="404040" w:themeColor="text1" w:themeTint="BF"/>
                <w:sz w:val="18"/>
                <w:szCs w:val="18"/>
              </w:rPr>
              <w:t>20</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440F0AC7" w14:textId="77777777" w:rsidR="00F45F1F" w:rsidRDefault="00F45F1F" w:rsidP="00F67599">
            <w:pPr>
              <w:pStyle w:val="MHeader"/>
            </w:pPr>
            <w:r>
              <w:t>Related indicators</w:t>
            </w:r>
          </w:p>
          <w:p w14:paraId="623BAD4B" w14:textId="00A48F18" w:rsidR="00F45F1F" w:rsidRPr="00F45F1F" w:rsidRDefault="00F45F1F" w:rsidP="00F67599">
            <w:pPr>
              <w:pStyle w:val="MText"/>
            </w:pPr>
            <w:r>
              <w:t>The parity indices for this indicator are reported in SDG indicator 4.5.1.</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DDC1ECA" w14:textId="77777777" w:rsidR="00C325E3" w:rsidRDefault="00C325E3" w:rsidP="00C325E3">
            <w:pPr>
              <w:pStyle w:val="MHeader"/>
            </w:pPr>
            <w:r>
              <w:t>Institutional information</w:t>
            </w:r>
          </w:p>
          <w:p w14:paraId="531472C1" w14:textId="77777777" w:rsidR="00C325E3" w:rsidRDefault="00C325E3" w:rsidP="00C325E3">
            <w:pPr>
              <w:pStyle w:val="MSubHeader"/>
            </w:pPr>
            <w:r>
              <w:t>Organization(s):</w:t>
            </w:r>
          </w:p>
          <w:p w14:paraId="3E0416B7" w14:textId="72A8FB4D" w:rsidR="00A36E8B" w:rsidRPr="00C325E3" w:rsidRDefault="00C325E3" w:rsidP="00F67599">
            <w:pPr>
              <w:pStyle w:val="MText"/>
              <w:rPr>
                <w:b/>
                <w:bCs/>
              </w:rPr>
            </w:pPr>
            <w:r>
              <w:t>UNESCO Institute of Statistics (UIS)</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1" w:name="_Toc36655609"/>
            <w:bookmarkStart w:id="12" w:name="_Toc36812572"/>
            <w:bookmarkStart w:id="13" w:name="_Toc36812685"/>
            <w:bookmarkStart w:id="14" w:name="_Toc36813072"/>
            <w:r w:rsidRPr="000149A9">
              <w:t>1. Data reporter</w:t>
            </w:r>
            <w:bookmarkEnd w:id="11"/>
            <w:bookmarkEnd w:id="12"/>
            <w:bookmarkEnd w:id="13"/>
            <w:bookmarkEnd w:id="14"/>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5385" w:type="pct"/>
        <w:tblLayout w:type="fixed"/>
        <w:tblLook w:val="04A0" w:firstRow="1" w:lastRow="0" w:firstColumn="1" w:lastColumn="0" w:noHBand="0" w:noVBand="1"/>
      </w:tblPr>
      <w:tblGrid>
        <w:gridCol w:w="2069"/>
        <w:gridCol w:w="8012"/>
      </w:tblGrid>
      <w:tr w:rsidR="00D17114" w:rsidRPr="004D68B6" w14:paraId="2D318850" w14:textId="77777777" w:rsidTr="00E16D61">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5" w:name="_Toc36655610"/>
            <w:bookmarkStart w:id="16" w:name="_Toc36812573"/>
            <w:bookmarkStart w:id="17" w:name="_Toc36812686"/>
            <w:bookmarkStart w:id="18" w:name="_Toc36813073"/>
            <w:r w:rsidRPr="000149A9">
              <w:t>2. Definition, concepts, and classifications</w:t>
            </w:r>
            <w:bookmarkEnd w:id="15"/>
            <w:bookmarkEnd w:id="16"/>
            <w:bookmarkEnd w:id="17"/>
            <w:bookmarkEnd w:id="18"/>
          </w:p>
        </w:tc>
      </w:tr>
      <w:tr w:rsidR="003B3C76" w:rsidRPr="004D68B6" w14:paraId="112700EA" w14:textId="77777777" w:rsidTr="00E16D61">
        <w:trPr>
          <w:trHeight w:val="300"/>
        </w:trPr>
        <w:tc>
          <w:tcPr>
            <w:tcW w:w="1026"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974"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E16D61">
        <w:tc>
          <w:tcPr>
            <w:tcW w:w="1026"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974" w:type="pct"/>
            <w:tcBorders>
              <w:top w:val="single" w:sz="4" w:space="0" w:color="auto"/>
              <w:left w:val="nil"/>
              <w:bottom w:val="single" w:sz="4" w:space="0" w:color="auto"/>
              <w:right w:val="single" w:sz="4" w:space="0" w:color="auto"/>
            </w:tcBorders>
            <w:shd w:val="clear" w:color="auto" w:fill="auto"/>
          </w:tcPr>
          <w:p w14:paraId="5DED0FB5" w14:textId="77777777" w:rsidR="00067546" w:rsidRDefault="00067546" w:rsidP="00067546">
            <w:pPr>
              <w:pStyle w:val="MHeader"/>
            </w:pPr>
            <w:r>
              <w:t>Concepts and definitions</w:t>
            </w:r>
          </w:p>
          <w:p w14:paraId="5D9EC032" w14:textId="77777777" w:rsidR="00067546" w:rsidRDefault="00067546" w:rsidP="00067546">
            <w:pPr>
              <w:pStyle w:val="MSubHeader"/>
            </w:pPr>
            <w:r>
              <w:t>Definition:</w:t>
            </w:r>
          </w:p>
          <w:p w14:paraId="5EDAF640" w14:textId="77777777" w:rsidR="00FF67F5" w:rsidRPr="002E4396" w:rsidRDefault="00FF67F5" w:rsidP="00E16D61">
            <w:pPr>
              <w:pStyle w:val="MText"/>
              <w:rPr>
                <w:color w:val="auto"/>
                <w:sz w:val="22"/>
              </w:rPr>
            </w:pPr>
            <w:r w:rsidRPr="00344B83">
              <w:t>Percentage</w:t>
            </w:r>
            <w:r w:rsidRPr="002E4396">
              <w:rPr>
                <w:color w:val="auto"/>
                <w:sz w:val="22"/>
              </w:rPr>
              <w:t xml:space="preserve"> of children and young people achieving at least a minimum proficiency level in (</w:t>
            </w:r>
            <w:proofErr w:type="spellStart"/>
            <w:r w:rsidRPr="002E4396">
              <w:rPr>
                <w:color w:val="auto"/>
                <w:sz w:val="22"/>
              </w:rPr>
              <w:t>i</w:t>
            </w:r>
            <w:proofErr w:type="spellEnd"/>
            <w:r w:rsidRPr="002E4396">
              <w:rPr>
                <w:color w:val="auto"/>
                <w:sz w:val="22"/>
              </w:rPr>
              <w:t>) reading and (ii) mathematics</w:t>
            </w:r>
            <w:r w:rsidRPr="00344B83">
              <w:t xml:space="preserve"> during primary education (Grade 2 or 3), at the end of primary education, and at the end of lower secondary education. The minimum proficiency level will be measured relative to new common reading and mathematics scales currently in development</w:t>
            </w:r>
            <w:r w:rsidRPr="002E4396">
              <w:rPr>
                <w:color w:val="auto"/>
                <w:sz w:val="22"/>
              </w:rPr>
              <w:t>.</w:t>
            </w:r>
          </w:p>
          <w:p w14:paraId="628C1BAC" w14:textId="77777777" w:rsidR="00067546" w:rsidRDefault="00067546" w:rsidP="00067546">
            <w:pPr>
              <w:shd w:val="clear" w:color="auto" w:fill="FFFFFF"/>
              <w:spacing w:after="0"/>
              <w:rPr>
                <w:rFonts w:eastAsia="Times New Roman" w:cs="Times New Roman"/>
                <w:color w:val="4A4A4A"/>
                <w:sz w:val="21"/>
                <w:szCs w:val="21"/>
                <w:lang w:eastAsia="en-GB"/>
              </w:rPr>
            </w:pPr>
          </w:p>
          <w:p w14:paraId="340E928A" w14:textId="77777777" w:rsidR="00067546" w:rsidRDefault="00067546" w:rsidP="004E4C58">
            <w:pPr>
              <w:pStyle w:val="MSubHeader"/>
            </w:pPr>
            <w:r>
              <w:t>Concepts:</w:t>
            </w:r>
          </w:p>
          <w:p w14:paraId="0479DC07" w14:textId="622D5B44" w:rsidR="00290745" w:rsidRPr="002E4396" w:rsidRDefault="00067546" w:rsidP="00290745">
            <w:pPr>
              <w:pStyle w:val="MText"/>
              <w:rPr>
                <w:color w:val="auto"/>
                <w:sz w:val="22"/>
              </w:rPr>
            </w:pPr>
            <w:r>
              <w:rPr>
                <w:i/>
                <w:iCs/>
              </w:rPr>
              <w:t>Minimum proficiency level</w:t>
            </w:r>
            <w:r>
              <w:t xml:space="preserve"> </w:t>
            </w:r>
            <w:r w:rsidR="00290745" w:rsidRPr="00344B83">
              <w:rPr>
                <w:i/>
                <w:iCs/>
                <w:color w:val="auto"/>
                <w:sz w:val="22"/>
                <w:szCs w:val="22"/>
              </w:rPr>
              <w:t>(MPL)</w:t>
            </w:r>
            <w:r w:rsidR="00290745" w:rsidRPr="00344B83">
              <w:rPr>
                <w:color w:val="auto"/>
                <w:sz w:val="22"/>
                <w:szCs w:val="22"/>
              </w:rPr>
              <w:t xml:space="preserve"> </w:t>
            </w:r>
            <w:r>
              <w:t xml:space="preserve">is the benchmark of basic knowledge in a domain (mathematics, reading, etc.) measured through learning assessments. </w:t>
            </w:r>
            <w:r w:rsidR="00290745" w:rsidRPr="00915903">
              <w:rPr>
                <w:color w:val="auto"/>
                <w:sz w:val="22"/>
                <w:szCs w:val="22"/>
              </w:rPr>
              <w:t xml:space="preserve">In September 2018, an agreement was reached on a verbal definition of the global minimum proficiency level of reference for each of the areas and domains of Indicator 4.1.1 as described in the </w:t>
            </w:r>
            <w:hyperlink r:id="rId8" w:history="1">
              <w:r w:rsidR="00290745" w:rsidRPr="00D13436">
                <w:rPr>
                  <w:rStyle w:val="Hyperlink"/>
                  <w:color w:val="0070C0"/>
                  <w:sz w:val="22"/>
                  <w:szCs w:val="22"/>
                </w:rPr>
                <w:t>Minimum Proficiency Levels (MPLs): Outcomes of the consensus building meeting</w:t>
              </w:r>
            </w:hyperlink>
            <w:r w:rsidR="00290745" w:rsidRPr="00915903">
              <w:rPr>
                <w:color w:val="auto"/>
                <w:sz w:val="22"/>
                <w:szCs w:val="22"/>
              </w:rPr>
              <w:t>.</w:t>
            </w:r>
          </w:p>
          <w:p w14:paraId="008DA4A8" w14:textId="77777777" w:rsidR="00067546" w:rsidRDefault="00067546" w:rsidP="00067546">
            <w:pPr>
              <w:pStyle w:val="MText"/>
            </w:pPr>
          </w:p>
          <w:p w14:paraId="54F27F85" w14:textId="77777777" w:rsidR="00067546" w:rsidRDefault="00067546" w:rsidP="00067546">
            <w:pPr>
              <w:pStyle w:val="MText"/>
              <w:rPr>
                <w:i/>
                <w:iCs/>
              </w:rPr>
            </w:pPr>
            <w:r>
              <w:rPr>
                <w:i/>
                <w:iCs/>
              </w:rPr>
              <w:t>Minimum proficiency levels defined by each learning assessment</w:t>
            </w:r>
          </w:p>
          <w:p w14:paraId="17D5D6C9" w14:textId="77777777" w:rsidR="00826A99" w:rsidRPr="00915903" w:rsidRDefault="00826A99" w:rsidP="00826A99">
            <w:r w:rsidRPr="00915903">
              <w:t>To ensure comparability across learning assessments, a verbal definition of MPL for each domain and levels between cross-national assessments (CNAs) was established by conducting an analysis of the performance level descriptors (PLDs)</w:t>
            </w:r>
            <w:r w:rsidRPr="00915903">
              <w:rPr>
                <w:rStyle w:val="FootnoteReference"/>
              </w:rPr>
              <w:footnoteReference w:id="1"/>
            </w:r>
            <w:r w:rsidRPr="00915903">
              <w:t xml:space="preserve"> of cross-national, regional, and community-led tests in reading and mathematics. The analysis was led and completed by the UIS and a consensus among experts on the proposed methodology was deemed adequate and pragmatic.</w:t>
            </w:r>
          </w:p>
          <w:p w14:paraId="019D9512" w14:textId="77777777" w:rsidR="00826A99" w:rsidRPr="00915903" w:rsidRDefault="00826A99" w:rsidP="00826A99">
            <w:pPr>
              <w:tabs>
                <w:tab w:val="left" w:pos="1560"/>
              </w:tabs>
            </w:pPr>
            <w:r w:rsidRPr="00915903">
              <w:t xml:space="preserve">The global MPL definitions for the domains of reading and mathematics are presented </w:t>
            </w:r>
            <w:r>
              <w:t>in Table 1</w:t>
            </w:r>
            <w:r w:rsidRPr="00915903">
              <w:t>.</w:t>
            </w:r>
          </w:p>
          <w:p w14:paraId="6F9EEC3B" w14:textId="1590A045" w:rsidR="00067546" w:rsidRPr="007D1A37" w:rsidRDefault="00067546" w:rsidP="007D1A37">
            <w:pPr>
              <w:pStyle w:val="MSubHeader"/>
              <w:jc w:val="center"/>
            </w:pPr>
            <w:r w:rsidRPr="007D1A37">
              <w:t>Table 1. Minimum proficiency levels defined by each learning assessment</w:t>
            </w:r>
          </w:p>
          <w:tbl>
            <w:tblPr>
              <w:tblStyle w:val="TableGrid1"/>
              <w:tblW w:w="7514" w:type="dxa"/>
              <w:jc w:val="center"/>
              <w:tblInd w:w="0" w:type="dxa"/>
              <w:tblLayout w:type="fixed"/>
              <w:tblCellMar>
                <w:top w:w="59" w:type="dxa"/>
                <w:left w:w="108" w:type="dxa"/>
                <w:right w:w="56" w:type="dxa"/>
              </w:tblCellMar>
              <w:tblLook w:val="04A0" w:firstRow="1" w:lastRow="0" w:firstColumn="1" w:lastColumn="0" w:noHBand="0" w:noVBand="1"/>
            </w:tblPr>
            <w:tblGrid>
              <w:gridCol w:w="1838"/>
              <w:gridCol w:w="5676"/>
            </w:tblGrid>
            <w:tr w:rsidR="00061C91" w:rsidRPr="00D13436" w14:paraId="38623CEA" w14:textId="77777777" w:rsidTr="00294169">
              <w:trPr>
                <w:trHeight w:val="500"/>
                <w:tblHeader/>
                <w:jc w:val="center"/>
              </w:trPr>
              <w:tc>
                <w:tcPr>
                  <w:tcW w:w="75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0EAF26" w14:textId="77777777" w:rsidR="00061C91" w:rsidRPr="00D13436" w:rsidRDefault="00061C91" w:rsidP="00061C91">
                  <w:pPr>
                    <w:spacing w:line="259" w:lineRule="auto"/>
                    <w:ind w:right="52"/>
                    <w:jc w:val="center"/>
                    <w:rPr>
                      <w:rFonts w:cstheme="minorHAnsi"/>
                      <w:b/>
                      <w:lang w:val="en-GB"/>
                    </w:rPr>
                  </w:pPr>
                  <w:r>
                    <w:rPr>
                      <w:rFonts w:cstheme="minorHAnsi"/>
                      <w:b/>
                      <w:lang w:val="en-GB"/>
                    </w:rPr>
                    <w:lastRenderedPageBreak/>
                    <w:t>Reading</w:t>
                  </w:r>
                </w:p>
              </w:tc>
            </w:tr>
            <w:tr w:rsidR="00061C91" w:rsidRPr="00D13436" w14:paraId="38BCB8A2"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BC7BD71" w14:textId="77777777" w:rsidR="00061C91" w:rsidRPr="00D13436" w:rsidRDefault="00061C91" w:rsidP="00061C91">
                  <w:pPr>
                    <w:spacing w:line="259" w:lineRule="auto"/>
                    <w:jc w:val="center"/>
                    <w:rPr>
                      <w:rFonts w:cstheme="minorHAnsi"/>
                      <w:lang w:val="en-GB"/>
                    </w:rPr>
                  </w:pPr>
                  <w:r w:rsidRPr="00D13436">
                    <w:rPr>
                      <w:rFonts w:cstheme="minorHAnsi"/>
                      <w:b/>
                      <w:lang w:val="en-GB"/>
                    </w:rPr>
                    <w:t>Educational Level</w:t>
                  </w:r>
                </w:p>
              </w:tc>
              <w:tc>
                <w:tcPr>
                  <w:tcW w:w="56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B6920" w14:textId="77777777" w:rsidR="00061C91" w:rsidRPr="00D13436" w:rsidRDefault="00061C91" w:rsidP="00061C91">
                  <w:pPr>
                    <w:spacing w:line="259" w:lineRule="auto"/>
                    <w:ind w:right="52"/>
                    <w:jc w:val="center"/>
                    <w:rPr>
                      <w:rFonts w:cstheme="minorHAnsi"/>
                      <w:lang w:val="en-GB"/>
                    </w:rPr>
                  </w:pPr>
                  <w:r w:rsidRPr="00D13436">
                    <w:rPr>
                      <w:rFonts w:cstheme="minorHAnsi"/>
                      <w:b/>
                      <w:lang w:val="en-GB"/>
                    </w:rPr>
                    <w:t>Descriptor</w:t>
                  </w:r>
                </w:p>
              </w:tc>
            </w:tr>
            <w:tr w:rsidR="00061C91" w:rsidRPr="00D13436" w14:paraId="532C97AA"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tcPr>
                <w:p w14:paraId="3B03E7AF" w14:textId="77777777" w:rsidR="00061C91" w:rsidRPr="00D13436" w:rsidRDefault="00061C91" w:rsidP="00061C91">
                  <w:pPr>
                    <w:spacing w:line="259" w:lineRule="auto"/>
                    <w:jc w:val="center"/>
                    <w:rPr>
                      <w:rFonts w:cstheme="minorHAnsi"/>
                      <w:b/>
                      <w:lang w:val="en-GB"/>
                    </w:rPr>
                  </w:pPr>
                  <w:r w:rsidRPr="002E4396">
                    <w:rPr>
                      <w:b/>
                      <w:bCs/>
                    </w:rPr>
                    <w:t>Grade 2</w:t>
                  </w:r>
                </w:p>
              </w:tc>
              <w:tc>
                <w:tcPr>
                  <w:tcW w:w="5676" w:type="dxa"/>
                  <w:tcBorders>
                    <w:top w:val="single" w:sz="4" w:space="0" w:color="000000"/>
                    <w:left w:val="single" w:sz="4" w:space="0" w:color="000000"/>
                    <w:bottom w:val="single" w:sz="4" w:space="0" w:color="000000"/>
                    <w:right w:val="single" w:sz="4" w:space="0" w:color="000000"/>
                  </w:tcBorders>
                </w:tcPr>
                <w:p w14:paraId="1FDBED55" w14:textId="77777777" w:rsidR="00061C91" w:rsidRPr="00D13436" w:rsidRDefault="00061C91" w:rsidP="00061C91">
                  <w:pPr>
                    <w:spacing w:line="259" w:lineRule="auto"/>
                    <w:ind w:right="52"/>
                    <w:rPr>
                      <w:rFonts w:cstheme="minorHAnsi"/>
                      <w:b/>
                      <w:lang w:val="en-GB"/>
                    </w:rPr>
                  </w:pPr>
                  <w:r w:rsidRPr="00D13436">
                    <w:rPr>
                      <w:rFonts w:cstheme="minorHAnsi"/>
                      <w:lang w:val="en-GB"/>
                    </w:rPr>
                    <w:t>They read and comprehend most of written words, particularly familiar ones, and extract explicit information from sentences.</w:t>
                  </w:r>
                </w:p>
              </w:tc>
            </w:tr>
            <w:tr w:rsidR="00061C91" w:rsidRPr="00D13436" w14:paraId="314BD91B"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tcPr>
                <w:p w14:paraId="70C34107" w14:textId="77777777" w:rsidR="00061C91" w:rsidRPr="00D13436" w:rsidRDefault="00061C91" w:rsidP="00061C91">
                  <w:pPr>
                    <w:spacing w:line="259" w:lineRule="auto"/>
                    <w:jc w:val="center"/>
                    <w:rPr>
                      <w:rFonts w:cstheme="minorHAnsi"/>
                      <w:b/>
                      <w:lang w:val="en-GB"/>
                    </w:rPr>
                  </w:pPr>
                  <w:r w:rsidRPr="002E4396">
                    <w:rPr>
                      <w:b/>
                      <w:bCs/>
                    </w:rPr>
                    <w:t>Grade 3</w:t>
                  </w:r>
                </w:p>
              </w:tc>
              <w:tc>
                <w:tcPr>
                  <w:tcW w:w="5676" w:type="dxa"/>
                  <w:tcBorders>
                    <w:top w:val="single" w:sz="4" w:space="0" w:color="000000"/>
                    <w:left w:val="single" w:sz="4" w:space="0" w:color="000000"/>
                    <w:bottom w:val="single" w:sz="4" w:space="0" w:color="000000"/>
                    <w:right w:val="single" w:sz="4" w:space="0" w:color="000000"/>
                  </w:tcBorders>
                </w:tcPr>
                <w:p w14:paraId="0DA29571" w14:textId="77777777" w:rsidR="00061C91" w:rsidRPr="00D13436" w:rsidRDefault="00061C91" w:rsidP="00061C91">
                  <w:pPr>
                    <w:spacing w:line="259" w:lineRule="auto"/>
                    <w:ind w:right="52"/>
                    <w:rPr>
                      <w:rFonts w:cstheme="minorHAnsi"/>
                      <w:b/>
                      <w:lang w:val="en-GB"/>
                    </w:rPr>
                  </w:pPr>
                  <w:r w:rsidRPr="00D13436">
                    <w:rPr>
                      <w:rFonts w:cstheme="minorHAnsi"/>
                      <w:lang w:val="en-GB"/>
                    </w:rPr>
                    <w:t>Students read aloud written words accurately and fluently. They understand the overall meaning of sentences and short texts. Students identify the texts’ topic</w:t>
                  </w:r>
                </w:p>
              </w:tc>
            </w:tr>
            <w:tr w:rsidR="00061C91" w:rsidRPr="00D13436" w14:paraId="2F88BFA3"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tcPr>
                <w:p w14:paraId="45D4BE78" w14:textId="77777777" w:rsidR="00061C91" w:rsidRPr="00D13436" w:rsidRDefault="00061C91" w:rsidP="00061C91">
                  <w:pPr>
                    <w:spacing w:line="259" w:lineRule="auto"/>
                    <w:jc w:val="center"/>
                    <w:rPr>
                      <w:rFonts w:cstheme="minorHAnsi"/>
                      <w:b/>
                      <w:lang w:val="en-GB"/>
                    </w:rPr>
                  </w:pPr>
                  <w:r w:rsidRPr="00D13436">
                    <w:rPr>
                      <w:rFonts w:cstheme="minorHAnsi"/>
                      <w:b/>
                      <w:lang w:val="en-GB"/>
                    </w:rPr>
                    <w:t>Grades 4 &amp; 6</w:t>
                  </w:r>
                </w:p>
              </w:tc>
              <w:tc>
                <w:tcPr>
                  <w:tcW w:w="5676" w:type="dxa"/>
                  <w:tcBorders>
                    <w:top w:val="single" w:sz="4" w:space="0" w:color="000000"/>
                    <w:left w:val="single" w:sz="4" w:space="0" w:color="000000"/>
                    <w:bottom w:val="single" w:sz="4" w:space="0" w:color="000000"/>
                    <w:right w:val="single" w:sz="4" w:space="0" w:color="000000"/>
                  </w:tcBorders>
                </w:tcPr>
                <w:p w14:paraId="0D9BDD62" w14:textId="77777777" w:rsidR="00061C91" w:rsidRPr="002E4396" w:rsidRDefault="00061C91" w:rsidP="00061C91">
                  <w:pPr>
                    <w:spacing w:line="259" w:lineRule="auto"/>
                    <w:ind w:right="52"/>
                    <w:rPr>
                      <w:rFonts w:cstheme="minorHAnsi"/>
                      <w:b/>
                      <w:lang w:val="en-GB"/>
                    </w:rPr>
                  </w:pPr>
                  <w:r w:rsidRPr="00D13436">
                    <w:rPr>
                      <w:rFonts w:cstheme="minorHAnsi"/>
                      <w:lang w:val="en-GB"/>
                    </w:rPr>
                    <w:t xml:space="preserve">Students interpret and give some explanations about the main and secondary ideas in different types of texts. They establish connections between main ideas on a text and their personal experiences as well as general knowledge. </w:t>
                  </w:r>
                  <w:r w:rsidRPr="00D13436">
                    <w:rPr>
                      <w:rFonts w:cstheme="minorHAnsi"/>
                      <w:b/>
                      <w:lang w:val="en-GB"/>
                    </w:rPr>
                    <w:t xml:space="preserve"> </w:t>
                  </w:r>
                </w:p>
              </w:tc>
            </w:tr>
            <w:tr w:rsidR="00061C91" w:rsidRPr="00D13436" w14:paraId="2B91FCEA"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2C2C8B2F" w14:textId="77777777" w:rsidR="00061C91" w:rsidRPr="00D13436" w:rsidRDefault="00061C91" w:rsidP="00061C91">
                  <w:pPr>
                    <w:jc w:val="center"/>
                    <w:rPr>
                      <w:rFonts w:cstheme="minorHAnsi"/>
                      <w:b/>
                      <w:lang w:val="en-GB"/>
                    </w:rPr>
                  </w:pPr>
                  <w:r w:rsidRPr="00D13436">
                    <w:rPr>
                      <w:rFonts w:cstheme="minorHAnsi"/>
                      <w:b/>
                      <w:lang w:val="en-GB"/>
                    </w:rPr>
                    <w:t>Grades 8 &amp; 9</w:t>
                  </w:r>
                </w:p>
              </w:tc>
              <w:tc>
                <w:tcPr>
                  <w:tcW w:w="5676" w:type="dxa"/>
                  <w:tcBorders>
                    <w:top w:val="single" w:sz="4" w:space="0" w:color="000000"/>
                    <w:left w:val="single" w:sz="4" w:space="0" w:color="000000"/>
                    <w:bottom w:val="single" w:sz="4" w:space="0" w:color="000000"/>
                    <w:right w:val="single" w:sz="4" w:space="0" w:color="000000"/>
                  </w:tcBorders>
                  <w:vAlign w:val="center"/>
                </w:tcPr>
                <w:p w14:paraId="43E4620A" w14:textId="77777777" w:rsidR="00061C91" w:rsidRPr="00D13436" w:rsidRDefault="00061C91" w:rsidP="00061C91">
                  <w:pPr>
                    <w:ind w:right="52"/>
                    <w:rPr>
                      <w:rFonts w:cstheme="minorHAnsi"/>
                      <w:lang w:val="en-GB"/>
                    </w:rPr>
                  </w:pPr>
                  <w:r w:rsidRPr="00D13436">
                    <w:rPr>
                      <w:rFonts w:cstheme="minorHAnsi"/>
                      <w:lang w:val="en-GB"/>
                    </w:rPr>
                    <w:t>Students establish connections between main ideas on different text types and the author’s intentions. They reflect and draw conclusions based on the text.</w:t>
                  </w:r>
                </w:p>
              </w:tc>
            </w:tr>
          </w:tbl>
          <w:p w14:paraId="6861267E" w14:textId="4089C22A" w:rsidR="00061C91" w:rsidRDefault="00061C91" w:rsidP="003A7BF9"/>
          <w:p w14:paraId="7FEA9D4C" w14:textId="77777777" w:rsidR="003A7BF9" w:rsidRDefault="003A7BF9" w:rsidP="00061C91"/>
          <w:tbl>
            <w:tblPr>
              <w:tblStyle w:val="TableGrid1"/>
              <w:tblW w:w="7514" w:type="dxa"/>
              <w:jc w:val="center"/>
              <w:tblInd w:w="0" w:type="dxa"/>
              <w:tblLayout w:type="fixed"/>
              <w:tblCellMar>
                <w:top w:w="59" w:type="dxa"/>
                <w:left w:w="108" w:type="dxa"/>
                <w:right w:w="56" w:type="dxa"/>
              </w:tblCellMar>
              <w:tblLook w:val="04A0" w:firstRow="1" w:lastRow="0" w:firstColumn="1" w:lastColumn="0" w:noHBand="0" w:noVBand="1"/>
            </w:tblPr>
            <w:tblGrid>
              <w:gridCol w:w="1838"/>
              <w:gridCol w:w="5676"/>
            </w:tblGrid>
            <w:tr w:rsidR="00061C91" w:rsidRPr="00D13436" w14:paraId="03B71450" w14:textId="77777777" w:rsidTr="00294169">
              <w:trPr>
                <w:trHeight w:val="500"/>
                <w:tblHeader/>
                <w:jc w:val="center"/>
              </w:trPr>
              <w:tc>
                <w:tcPr>
                  <w:tcW w:w="75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8C68A5E" w14:textId="77777777" w:rsidR="00061C91" w:rsidRPr="00D13436" w:rsidRDefault="00061C91" w:rsidP="00061C91">
                  <w:pPr>
                    <w:spacing w:line="259" w:lineRule="auto"/>
                    <w:ind w:right="52"/>
                    <w:jc w:val="center"/>
                    <w:rPr>
                      <w:rFonts w:cstheme="minorHAnsi"/>
                      <w:b/>
                      <w:lang w:val="en-GB"/>
                    </w:rPr>
                  </w:pPr>
                  <w:r w:rsidRPr="00D13436">
                    <w:rPr>
                      <w:rFonts w:cstheme="minorHAnsi"/>
                      <w:b/>
                      <w:lang w:val="en-GB"/>
                    </w:rPr>
                    <w:t>Mathematics</w:t>
                  </w:r>
                </w:p>
              </w:tc>
            </w:tr>
            <w:tr w:rsidR="00061C91" w:rsidRPr="00D13436" w14:paraId="0492F3D5"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1930493" w14:textId="77777777" w:rsidR="00061C91" w:rsidRPr="00D13436" w:rsidRDefault="00061C91" w:rsidP="00061C91">
                  <w:pPr>
                    <w:spacing w:line="259" w:lineRule="auto"/>
                    <w:jc w:val="center"/>
                    <w:rPr>
                      <w:rFonts w:cstheme="minorHAnsi"/>
                      <w:lang w:val="en-GB"/>
                    </w:rPr>
                  </w:pPr>
                  <w:r w:rsidRPr="00D13436">
                    <w:rPr>
                      <w:rFonts w:cstheme="minorHAnsi"/>
                      <w:b/>
                      <w:lang w:val="en-GB"/>
                    </w:rPr>
                    <w:t>Educational Level</w:t>
                  </w:r>
                </w:p>
              </w:tc>
              <w:tc>
                <w:tcPr>
                  <w:tcW w:w="56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234822" w14:textId="77777777" w:rsidR="00061C91" w:rsidRPr="00D13436" w:rsidRDefault="00061C91" w:rsidP="00061C91">
                  <w:pPr>
                    <w:spacing w:line="259" w:lineRule="auto"/>
                    <w:ind w:right="52"/>
                    <w:jc w:val="center"/>
                    <w:rPr>
                      <w:rFonts w:cstheme="minorHAnsi"/>
                      <w:lang w:val="en-GB"/>
                    </w:rPr>
                  </w:pPr>
                  <w:r w:rsidRPr="00D13436">
                    <w:rPr>
                      <w:rFonts w:cstheme="minorHAnsi"/>
                      <w:b/>
                      <w:lang w:val="en-GB"/>
                    </w:rPr>
                    <w:t>Descriptor</w:t>
                  </w:r>
                </w:p>
              </w:tc>
            </w:tr>
            <w:tr w:rsidR="00061C91" w:rsidRPr="00D13436" w14:paraId="23459EBE"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14A0DDB1" w14:textId="77777777" w:rsidR="00061C91" w:rsidRPr="00D13436" w:rsidRDefault="00061C91" w:rsidP="00061C91">
                  <w:pPr>
                    <w:spacing w:line="259" w:lineRule="auto"/>
                    <w:jc w:val="center"/>
                    <w:rPr>
                      <w:rFonts w:cstheme="minorHAnsi"/>
                      <w:b/>
                      <w:lang w:val="en-GB"/>
                    </w:rPr>
                  </w:pPr>
                  <w:r w:rsidRPr="00D13436">
                    <w:rPr>
                      <w:rFonts w:cstheme="minorHAnsi"/>
                      <w:b/>
                      <w:lang w:val="en-GB"/>
                    </w:rPr>
                    <w:t>Grades 2-3</w:t>
                  </w:r>
                </w:p>
              </w:tc>
              <w:tc>
                <w:tcPr>
                  <w:tcW w:w="5676" w:type="dxa"/>
                  <w:tcBorders>
                    <w:top w:val="single" w:sz="4" w:space="0" w:color="000000"/>
                    <w:left w:val="single" w:sz="4" w:space="0" w:color="000000"/>
                    <w:bottom w:val="single" w:sz="4" w:space="0" w:color="000000"/>
                    <w:right w:val="single" w:sz="4" w:space="0" w:color="000000"/>
                  </w:tcBorders>
                  <w:vAlign w:val="center"/>
                </w:tcPr>
                <w:p w14:paraId="7A658253" w14:textId="77777777" w:rsidR="00061C91" w:rsidRPr="00D13436" w:rsidRDefault="00061C91" w:rsidP="00061C91">
                  <w:pPr>
                    <w:spacing w:line="259" w:lineRule="auto"/>
                    <w:ind w:right="52"/>
                    <w:rPr>
                      <w:rFonts w:cstheme="minorHAnsi"/>
                      <w:b/>
                      <w:lang w:val="en-GB"/>
                    </w:rPr>
                  </w:pPr>
                  <w:r w:rsidRPr="00D13436">
                    <w:rPr>
                      <w:rFonts w:cstheme="minorHAnsi"/>
                      <w:lang w:val="en-GB"/>
                    </w:rPr>
                    <w:t>Students demonstrate skills in number sense and computation, shape recognition and spatial orientation.</w:t>
                  </w:r>
                </w:p>
              </w:tc>
            </w:tr>
            <w:tr w:rsidR="00061C91" w:rsidRPr="00D13436" w14:paraId="216D17F3"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40E7AAC7" w14:textId="77777777" w:rsidR="00061C91" w:rsidRPr="00D13436" w:rsidRDefault="00061C91" w:rsidP="00061C91">
                  <w:pPr>
                    <w:spacing w:line="259" w:lineRule="auto"/>
                    <w:jc w:val="center"/>
                    <w:rPr>
                      <w:rFonts w:cstheme="minorHAnsi"/>
                      <w:b/>
                      <w:lang w:val="en-GB"/>
                    </w:rPr>
                  </w:pPr>
                  <w:r w:rsidRPr="00D13436">
                    <w:rPr>
                      <w:rFonts w:cstheme="minorHAnsi"/>
                      <w:b/>
                      <w:lang w:val="en-GB"/>
                    </w:rPr>
                    <w:t>Grades 4-6</w:t>
                  </w:r>
                </w:p>
              </w:tc>
              <w:tc>
                <w:tcPr>
                  <w:tcW w:w="5676" w:type="dxa"/>
                  <w:tcBorders>
                    <w:top w:val="single" w:sz="4" w:space="0" w:color="000000"/>
                    <w:left w:val="single" w:sz="4" w:space="0" w:color="000000"/>
                    <w:bottom w:val="single" w:sz="4" w:space="0" w:color="000000"/>
                    <w:right w:val="single" w:sz="4" w:space="0" w:color="000000"/>
                  </w:tcBorders>
                  <w:vAlign w:val="center"/>
                </w:tcPr>
                <w:p w14:paraId="128F6046" w14:textId="77777777" w:rsidR="00061C91" w:rsidRPr="00D13436" w:rsidRDefault="00061C91" w:rsidP="00061C91">
                  <w:pPr>
                    <w:spacing w:line="259" w:lineRule="auto"/>
                    <w:ind w:right="52"/>
                    <w:rPr>
                      <w:rFonts w:cstheme="minorHAnsi"/>
                      <w:b/>
                      <w:lang w:val="en-GB"/>
                    </w:rPr>
                  </w:pPr>
                  <w:r w:rsidRPr="00D13436">
                    <w:rPr>
                      <w:rFonts w:cstheme="minorHAnsi"/>
                      <w:lang w:val="en-GB"/>
                    </w:rPr>
                    <w:t xml:space="preserve">Students demonstrate skills in number sense and computation, basic measurement, reading, interpreting, and constructing graphs, spatial orientation, and number patterns. </w:t>
                  </w:r>
                </w:p>
              </w:tc>
            </w:tr>
            <w:tr w:rsidR="00061C91" w:rsidRPr="00D13436" w14:paraId="37C14344" w14:textId="77777777" w:rsidTr="00294169">
              <w:trPr>
                <w:trHeight w:val="500"/>
                <w:tblHeader/>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713C99CB" w14:textId="77777777" w:rsidR="00061C91" w:rsidRPr="00D13436" w:rsidRDefault="00061C91" w:rsidP="00061C91">
                  <w:pPr>
                    <w:spacing w:line="259" w:lineRule="auto"/>
                    <w:jc w:val="center"/>
                    <w:rPr>
                      <w:rFonts w:cstheme="minorHAnsi"/>
                      <w:b/>
                      <w:lang w:val="en-GB"/>
                    </w:rPr>
                  </w:pPr>
                  <w:r w:rsidRPr="00D13436">
                    <w:rPr>
                      <w:rFonts w:cstheme="minorHAnsi"/>
                      <w:b/>
                      <w:lang w:val="en-GB"/>
                    </w:rPr>
                    <w:t>Grades 8 &amp; 9</w:t>
                  </w:r>
                </w:p>
              </w:tc>
              <w:tc>
                <w:tcPr>
                  <w:tcW w:w="5676" w:type="dxa"/>
                  <w:tcBorders>
                    <w:top w:val="single" w:sz="4" w:space="0" w:color="000000"/>
                    <w:left w:val="single" w:sz="4" w:space="0" w:color="000000"/>
                    <w:bottom w:val="single" w:sz="4" w:space="0" w:color="000000"/>
                    <w:right w:val="single" w:sz="4" w:space="0" w:color="000000"/>
                  </w:tcBorders>
                  <w:vAlign w:val="center"/>
                </w:tcPr>
                <w:p w14:paraId="3CE4FCC1" w14:textId="77777777" w:rsidR="00061C91" w:rsidRPr="00D13436" w:rsidRDefault="00061C91" w:rsidP="00061C91">
                  <w:pPr>
                    <w:spacing w:line="259" w:lineRule="auto"/>
                    <w:ind w:right="52"/>
                    <w:rPr>
                      <w:rFonts w:cstheme="minorHAnsi"/>
                      <w:lang w:val="en-GB"/>
                    </w:rPr>
                  </w:pPr>
                  <w:r w:rsidRPr="00D13436">
                    <w:rPr>
                      <w:rFonts w:cstheme="minorHAnsi"/>
                      <w:lang w:val="en-GB"/>
                    </w:rPr>
                    <w:t xml:space="preserve">Students demonstrate skills in computation, application problems, matching tables and graphs, and making use of algebraic representations.  </w:t>
                  </w:r>
                </w:p>
              </w:tc>
            </w:tr>
          </w:tbl>
          <w:p w14:paraId="7DA6E8AF" w14:textId="5AFAE04F" w:rsidR="003A7BF9" w:rsidRPr="00067546" w:rsidRDefault="003A7BF9" w:rsidP="00067546">
            <w:pPr>
              <w:shd w:val="clear" w:color="auto" w:fill="FFFFFF"/>
              <w:spacing w:after="0"/>
              <w:rPr>
                <w:rFonts w:eastAsia="Times New Roman" w:cs="Times New Roman"/>
                <w:color w:val="4A4A4A"/>
                <w:sz w:val="21"/>
                <w:szCs w:val="21"/>
                <w:lang w:eastAsia="en-GB"/>
              </w:rPr>
            </w:pPr>
          </w:p>
        </w:tc>
      </w:tr>
      <w:tr w:rsidR="003B3C76" w:rsidRPr="004D68B6" w14:paraId="5C8A7B79" w14:textId="77777777" w:rsidTr="00E16D61">
        <w:tc>
          <w:tcPr>
            <w:tcW w:w="1026"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974"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E16D61">
        <w:tc>
          <w:tcPr>
            <w:tcW w:w="1026"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974"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231" w:type="pct"/>
        <w:tblLayout w:type="fixed"/>
        <w:tblLook w:val="04A0" w:firstRow="1" w:lastRow="0" w:firstColumn="1" w:lastColumn="0" w:noHBand="0" w:noVBand="1"/>
      </w:tblPr>
      <w:tblGrid>
        <w:gridCol w:w="1711"/>
        <w:gridCol w:w="6209"/>
      </w:tblGrid>
      <w:tr w:rsidR="004C665C" w:rsidRPr="004D68B6" w14:paraId="4A91C077" w14:textId="77777777" w:rsidTr="00E16D61">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9" w:name="_Toc36636923"/>
            <w:bookmarkStart w:id="20" w:name="_Toc36655611"/>
            <w:bookmarkStart w:id="21" w:name="_Toc36812574"/>
            <w:bookmarkStart w:id="22" w:name="_Toc36812687"/>
            <w:bookmarkStart w:id="23" w:name="_Toc36813074"/>
            <w:r w:rsidRPr="000149A9">
              <w:t>3</w:t>
            </w:r>
            <w:r w:rsidR="004C665C" w:rsidRPr="000149A9">
              <w:t>. Data source type and data collection method</w:t>
            </w:r>
            <w:bookmarkEnd w:id="19"/>
            <w:bookmarkEnd w:id="20"/>
            <w:bookmarkEnd w:id="21"/>
            <w:bookmarkEnd w:id="22"/>
            <w:bookmarkEnd w:id="23"/>
          </w:p>
        </w:tc>
      </w:tr>
      <w:tr w:rsidR="00AB65AE" w:rsidRPr="004D68B6" w14:paraId="2B586A7A" w14:textId="77777777" w:rsidTr="00E16D61">
        <w:trPr>
          <w:trHeight w:val="300"/>
        </w:trPr>
        <w:tc>
          <w:tcPr>
            <w:tcW w:w="1080"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920"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E16D61">
        <w:trPr>
          <w:trHeight w:val="215"/>
        </w:trPr>
        <w:tc>
          <w:tcPr>
            <w:tcW w:w="1080"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920" w:type="pct"/>
            <w:tcBorders>
              <w:top w:val="single" w:sz="4" w:space="0" w:color="auto"/>
              <w:left w:val="nil"/>
              <w:bottom w:val="single" w:sz="4" w:space="0" w:color="auto"/>
              <w:right w:val="single" w:sz="4" w:space="0" w:color="auto"/>
            </w:tcBorders>
            <w:shd w:val="clear" w:color="auto" w:fill="auto"/>
          </w:tcPr>
          <w:p w14:paraId="2FDBE6CD" w14:textId="763431A1" w:rsidR="00593AB3" w:rsidRDefault="00593AB3" w:rsidP="004E4C58">
            <w:pPr>
              <w:pStyle w:val="MHeader"/>
            </w:pPr>
            <w:r>
              <w:t xml:space="preserve">Data </w:t>
            </w:r>
            <w:r w:rsidR="009D6C93">
              <w:t>s</w:t>
            </w:r>
            <w:r>
              <w:t>ources</w:t>
            </w:r>
          </w:p>
          <w:p w14:paraId="7351654F" w14:textId="77777777" w:rsidR="00593AB3" w:rsidRDefault="00593AB3" w:rsidP="004E4C58">
            <w:pPr>
              <w:pStyle w:val="MSubHeader"/>
            </w:pPr>
            <w:r>
              <w:lastRenderedPageBreak/>
              <w:t>Description:</w:t>
            </w:r>
          </w:p>
          <w:p w14:paraId="14A86DD4" w14:textId="77777777" w:rsidR="00593AB3" w:rsidRDefault="00593AB3" w:rsidP="005F6521">
            <w:pPr>
              <w:pStyle w:val="MText"/>
            </w:pPr>
            <w:r>
              <w:t>Type of data sources: In school and population-based learning assessments.</w:t>
            </w:r>
          </w:p>
          <w:p w14:paraId="1C8A27AC" w14:textId="77777777" w:rsidR="00593AB3" w:rsidRDefault="00593AB3" w:rsidP="00593AB3">
            <w:pPr>
              <w:shd w:val="clear" w:color="auto" w:fill="FFFFFF"/>
              <w:spacing w:after="0"/>
              <w:rPr>
                <w:rFonts w:eastAsia="Times New Roman" w:cs="Times New Roman"/>
                <w:color w:val="4A4A4A"/>
                <w:sz w:val="21"/>
                <w:szCs w:val="21"/>
                <w:lang w:eastAsia="en-GB"/>
              </w:rPr>
            </w:pPr>
          </w:p>
          <w:p w14:paraId="7B20BA29" w14:textId="65285943" w:rsidR="00593AB3" w:rsidRDefault="00593AB3" w:rsidP="00593AB3">
            <w:pPr>
              <w:pStyle w:val="MSubHeader"/>
              <w:jc w:val="center"/>
            </w:pPr>
            <w:r>
              <w:t>Table 2. How interim reporting is structured?</w:t>
            </w:r>
          </w:p>
          <w:tbl>
            <w:tblPr>
              <w:tblW w:w="6245" w:type="dxa"/>
              <w:jc w:val="center"/>
              <w:tblLayout w:type="fixed"/>
              <w:tblLook w:val="04A0" w:firstRow="1" w:lastRow="0" w:firstColumn="1" w:lastColumn="0" w:noHBand="0" w:noVBand="1"/>
            </w:tblPr>
            <w:tblGrid>
              <w:gridCol w:w="961"/>
              <w:gridCol w:w="1085"/>
              <w:gridCol w:w="638"/>
              <w:gridCol w:w="1147"/>
              <w:gridCol w:w="2414"/>
            </w:tblGrid>
            <w:tr w:rsidR="00294169" w:rsidRPr="00915903" w14:paraId="6D1C5D98" w14:textId="77777777" w:rsidTr="007D1A37">
              <w:trPr>
                <w:trHeight w:val="300"/>
                <w:tblHeader/>
                <w:jc w:val="center"/>
              </w:trPr>
              <w:tc>
                <w:tcPr>
                  <w:tcW w:w="769"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0BF146C1" w14:textId="77777777" w:rsidR="00294169" w:rsidRPr="002E4396" w:rsidRDefault="00294169" w:rsidP="00294169">
                  <w:pPr>
                    <w:spacing w:after="0" w:line="240" w:lineRule="auto"/>
                    <w:rPr>
                      <w:color w:val="000000"/>
                    </w:rPr>
                  </w:pPr>
                  <w:r w:rsidRPr="002E4396">
                    <w:rPr>
                      <w:color w:val="000000"/>
                    </w:rPr>
                    <w:t> </w:t>
                  </w:r>
                </w:p>
              </w:tc>
              <w:tc>
                <w:tcPr>
                  <w:tcW w:w="1380" w:type="pct"/>
                  <w:gridSpan w:val="2"/>
                  <w:tcBorders>
                    <w:top w:val="single" w:sz="4" w:space="0" w:color="auto"/>
                    <w:left w:val="nil"/>
                    <w:bottom w:val="single" w:sz="4" w:space="0" w:color="auto"/>
                    <w:right w:val="single" w:sz="4" w:space="0" w:color="auto"/>
                  </w:tcBorders>
                  <w:shd w:val="clear" w:color="000000" w:fill="BFBFBF"/>
                  <w:vAlign w:val="center"/>
                  <w:hideMark/>
                </w:tcPr>
                <w:p w14:paraId="42340400" w14:textId="77777777" w:rsidR="00294169" w:rsidRPr="002E4396" w:rsidRDefault="00294169" w:rsidP="00294169">
                  <w:pPr>
                    <w:spacing w:after="0" w:line="240" w:lineRule="auto"/>
                    <w:jc w:val="center"/>
                    <w:rPr>
                      <w:b/>
                      <w:color w:val="000000"/>
                    </w:rPr>
                  </w:pPr>
                  <w:r w:rsidRPr="002E4396">
                    <w:rPr>
                      <w:b/>
                      <w:color w:val="000000"/>
                    </w:rPr>
                    <w:t>In-school based</w:t>
                  </w:r>
                </w:p>
              </w:tc>
              <w:tc>
                <w:tcPr>
                  <w:tcW w:w="918"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08A3C14" w14:textId="77777777" w:rsidR="00294169" w:rsidRPr="002E4396" w:rsidRDefault="00294169" w:rsidP="00294169">
                  <w:pPr>
                    <w:spacing w:after="0" w:line="240" w:lineRule="auto"/>
                    <w:jc w:val="center"/>
                    <w:rPr>
                      <w:b/>
                      <w:color w:val="000000"/>
                    </w:rPr>
                  </w:pPr>
                  <w:r w:rsidRPr="002E4396">
                    <w:rPr>
                      <w:b/>
                      <w:color w:val="000000"/>
                    </w:rPr>
                    <w:t>Household Based Surveys</w:t>
                  </w:r>
                </w:p>
              </w:tc>
              <w:tc>
                <w:tcPr>
                  <w:tcW w:w="1933"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322FC16E" w14:textId="77777777" w:rsidR="00294169" w:rsidRPr="002E4396" w:rsidRDefault="00294169" w:rsidP="00294169">
                  <w:pPr>
                    <w:spacing w:after="0" w:line="240" w:lineRule="auto"/>
                    <w:jc w:val="center"/>
                    <w:rPr>
                      <w:b/>
                      <w:color w:val="000000"/>
                    </w:rPr>
                  </w:pPr>
                  <w:r w:rsidRPr="002E4396">
                    <w:rPr>
                      <w:b/>
                      <w:color w:val="000000"/>
                    </w:rPr>
                    <w:t>Grade</w:t>
                  </w:r>
                </w:p>
              </w:tc>
            </w:tr>
            <w:tr w:rsidR="00294169" w:rsidRPr="00915903" w14:paraId="6B5E8A20" w14:textId="77777777" w:rsidTr="007D1A37">
              <w:trPr>
                <w:trHeight w:val="300"/>
                <w:jc w:val="center"/>
              </w:trPr>
              <w:tc>
                <w:tcPr>
                  <w:tcW w:w="769" w:type="pct"/>
                  <w:vMerge/>
                  <w:tcBorders>
                    <w:top w:val="single" w:sz="4" w:space="0" w:color="auto"/>
                    <w:left w:val="single" w:sz="4" w:space="0" w:color="auto"/>
                    <w:bottom w:val="single" w:sz="4" w:space="0" w:color="auto"/>
                    <w:right w:val="single" w:sz="4" w:space="0" w:color="auto"/>
                  </w:tcBorders>
                  <w:vAlign w:val="center"/>
                  <w:hideMark/>
                </w:tcPr>
                <w:p w14:paraId="743F78BE" w14:textId="77777777" w:rsidR="00294169" w:rsidRPr="002E4396" w:rsidRDefault="00294169" w:rsidP="00294169">
                  <w:pPr>
                    <w:spacing w:after="0" w:line="240" w:lineRule="auto"/>
                    <w:rPr>
                      <w:color w:val="000000"/>
                    </w:rPr>
                  </w:pPr>
                </w:p>
              </w:tc>
              <w:tc>
                <w:tcPr>
                  <w:tcW w:w="869" w:type="pct"/>
                  <w:tcBorders>
                    <w:top w:val="nil"/>
                    <w:left w:val="nil"/>
                    <w:bottom w:val="single" w:sz="4" w:space="0" w:color="auto"/>
                    <w:right w:val="single" w:sz="4" w:space="0" w:color="auto"/>
                  </w:tcBorders>
                  <w:shd w:val="clear" w:color="000000" w:fill="BFBFBF"/>
                  <w:vAlign w:val="center"/>
                  <w:hideMark/>
                </w:tcPr>
                <w:p w14:paraId="4207F9D9" w14:textId="77777777" w:rsidR="00294169" w:rsidRPr="002E4396" w:rsidRDefault="00294169" w:rsidP="00294169">
                  <w:pPr>
                    <w:spacing w:after="0" w:line="240" w:lineRule="auto"/>
                    <w:rPr>
                      <w:b/>
                      <w:color w:val="000000"/>
                    </w:rPr>
                  </w:pPr>
                  <w:r w:rsidRPr="002E4396">
                    <w:rPr>
                      <w:b/>
                      <w:color w:val="000000"/>
                    </w:rPr>
                    <w:t>Cross-national</w:t>
                  </w:r>
                </w:p>
              </w:tc>
              <w:tc>
                <w:tcPr>
                  <w:tcW w:w="511" w:type="pct"/>
                  <w:tcBorders>
                    <w:top w:val="nil"/>
                    <w:left w:val="nil"/>
                    <w:bottom w:val="single" w:sz="4" w:space="0" w:color="auto"/>
                    <w:right w:val="single" w:sz="4" w:space="0" w:color="auto"/>
                  </w:tcBorders>
                  <w:shd w:val="clear" w:color="000000" w:fill="BFBFBF"/>
                  <w:vAlign w:val="center"/>
                  <w:hideMark/>
                </w:tcPr>
                <w:p w14:paraId="4708D82B" w14:textId="77777777" w:rsidR="00294169" w:rsidRPr="002E4396" w:rsidRDefault="00294169" w:rsidP="00294169">
                  <w:pPr>
                    <w:spacing w:after="0" w:line="240" w:lineRule="auto"/>
                    <w:rPr>
                      <w:b/>
                      <w:color w:val="000000"/>
                    </w:rPr>
                  </w:pPr>
                  <w:r w:rsidRPr="002E4396">
                    <w:rPr>
                      <w:b/>
                      <w:color w:val="000000"/>
                    </w:rPr>
                    <w:t xml:space="preserve">National </w:t>
                  </w:r>
                </w:p>
              </w:tc>
              <w:tc>
                <w:tcPr>
                  <w:tcW w:w="918" w:type="pct"/>
                  <w:vMerge/>
                  <w:tcBorders>
                    <w:top w:val="single" w:sz="4" w:space="0" w:color="auto"/>
                    <w:left w:val="single" w:sz="4" w:space="0" w:color="auto"/>
                    <w:bottom w:val="single" w:sz="4" w:space="0" w:color="auto"/>
                    <w:right w:val="single" w:sz="4" w:space="0" w:color="auto"/>
                  </w:tcBorders>
                  <w:vAlign w:val="center"/>
                  <w:hideMark/>
                </w:tcPr>
                <w:p w14:paraId="3959B766" w14:textId="77777777" w:rsidR="00294169" w:rsidRPr="002E4396" w:rsidRDefault="00294169" w:rsidP="00294169">
                  <w:pPr>
                    <w:spacing w:after="0" w:line="240" w:lineRule="auto"/>
                    <w:rPr>
                      <w:b/>
                      <w:color w:val="000000"/>
                    </w:rPr>
                  </w:pPr>
                </w:p>
              </w:tc>
              <w:tc>
                <w:tcPr>
                  <w:tcW w:w="1933" w:type="pct"/>
                  <w:vMerge/>
                  <w:tcBorders>
                    <w:top w:val="single" w:sz="4" w:space="0" w:color="auto"/>
                    <w:left w:val="single" w:sz="4" w:space="0" w:color="auto"/>
                    <w:bottom w:val="single" w:sz="4" w:space="0" w:color="auto"/>
                    <w:right w:val="single" w:sz="4" w:space="0" w:color="auto"/>
                  </w:tcBorders>
                  <w:vAlign w:val="center"/>
                  <w:hideMark/>
                </w:tcPr>
                <w:p w14:paraId="41DD8C5C" w14:textId="77777777" w:rsidR="00294169" w:rsidRPr="002E4396" w:rsidRDefault="00294169" w:rsidP="00294169">
                  <w:pPr>
                    <w:spacing w:after="0" w:line="240" w:lineRule="auto"/>
                    <w:rPr>
                      <w:b/>
                      <w:color w:val="000000"/>
                    </w:rPr>
                  </w:pPr>
                </w:p>
              </w:tc>
            </w:tr>
            <w:tr w:rsidR="00294169" w:rsidRPr="00915903" w14:paraId="7ABD7FA8" w14:textId="77777777" w:rsidTr="007D1A37">
              <w:trPr>
                <w:trHeight w:val="300"/>
                <w:jc w:val="center"/>
              </w:trPr>
              <w:tc>
                <w:tcPr>
                  <w:tcW w:w="769" w:type="pct"/>
                  <w:vMerge w:val="restart"/>
                  <w:tcBorders>
                    <w:top w:val="nil"/>
                    <w:left w:val="single" w:sz="4" w:space="0" w:color="auto"/>
                    <w:bottom w:val="single" w:sz="4" w:space="0" w:color="auto"/>
                    <w:right w:val="single" w:sz="4" w:space="0" w:color="auto"/>
                  </w:tcBorders>
                  <w:shd w:val="clear" w:color="auto" w:fill="auto"/>
                  <w:vAlign w:val="center"/>
                  <w:hideMark/>
                </w:tcPr>
                <w:p w14:paraId="24E5CC43" w14:textId="77777777" w:rsidR="00294169" w:rsidRDefault="00294169" w:rsidP="00294169">
                  <w:pPr>
                    <w:spacing w:after="0" w:line="240" w:lineRule="auto"/>
                    <w:rPr>
                      <w:rFonts w:eastAsia="Times New Roman" w:cstheme="minorHAnsi"/>
                      <w:b/>
                      <w:bCs/>
                      <w:color w:val="000000"/>
                      <w:szCs w:val="21"/>
                    </w:rPr>
                  </w:pPr>
                  <w:r w:rsidRPr="002E4396">
                    <w:rPr>
                      <w:b/>
                      <w:color w:val="000000"/>
                    </w:rPr>
                    <w:t>Grade</w:t>
                  </w:r>
                  <w:r>
                    <w:rPr>
                      <w:rFonts w:eastAsia="Times New Roman" w:cstheme="minorHAnsi"/>
                      <w:b/>
                      <w:bCs/>
                      <w:color w:val="000000"/>
                      <w:szCs w:val="21"/>
                    </w:rPr>
                    <w:t xml:space="preserve"> 2 </w:t>
                  </w:r>
                </w:p>
                <w:p w14:paraId="1ED9E9B4" w14:textId="77777777" w:rsidR="00294169" w:rsidRPr="002E4396" w:rsidRDefault="00294169" w:rsidP="00294169">
                  <w:pPr>
                    <w:spacing w:after="0" w:line="240" w:lineRule="auto"/>
                    <w:rPr>
                      <w:b/>
                      <w:color w:val="000000"/>
                    </w:rPr>
                  </w:pPr>
                  <w:r>
                    <w:rPr>
                      <w:rFonts w:eastAsia="Times New Roman" w:cstheme="minorHAnsi"/>
                      <w:b/>
                      <w:bCs/>
                      <w:color w:val="000000"/>
                      <w:szCs w:val="21"/>
                    </w:rPr>
                    <w:t>or 3</w:t>
                  </w:r>
                </w:p>
              </w:tc>
              <w:tc>
                <w:tcPr>
                  <w:tcW w:w="869" w:type="pct"/>
                  <w:tcBorders>
                    <w:top w:val="nil"/>
                    <w:left w:val="nil"/>
                    <w:bottom w:val="single" w:sz="4" w:space="0" w:color="auto"/>
                    <w:right w:val="single" w:sz="4" w:space="0" w:color="auto"/>
                  </w:tcBorders>
                  <w:shd w:val="clear" w:color="auto" w:fill="auto"/>
                  <w:vAlign w:val="center"/>
                  <w:hideMark/>
                </w:tcPr>
                <w:p w14:paraId="28E75D2F" w14:textId="77777777" w:rsidR="00294169" w:rsidRPr="002E4396" w:rsidRDefault="00294169" w:rsidP="00294169">
                  <w:pPr>
                    <w:spacing w:after="0" w:line="240" w:lineRule="auto"/>
                    <w:rPr>
                      <w:color w:val="000000"/>
                    </w:rPr>
                  </w:pPr>
                  <w:r w:rsidRPr="002E4396">
                    <w:rPr>
                      <w:color w:val="000000"/>
                      <w:lang w:val="en-GB"/>
                    </w:rPr>
                    <w:t>LLECE</w:t>
                  </w:r>
                </w:p>
              </w:tc>
              <w:tc>
                <w:tcPr>
                  <w:tcW w:w="511" w:type="pct"/>
                  <w:vMerge w:val="restart"/>
                  <w:tcBorders>
                    <w:top w:val="nil"/>
                    <w:left w:val="single" w:sz="4" w:space="0" w:color="auto"/>
                    <w:bottom w:val="single" w:sz="4" w:space="0" w:color="auto"/>
                    <w:right w:val="single" w:sz="4" w:space="0" w:color="auto"/>
                  </w:tcBorders>
                  <w:shd w:val="clear" w:color="auto" w:fill="auto"/>
                  <w:vAlign w:val="center"/>
                  <w:hideMark/>
                </w:tcPr>
                <w:p w14:paraId="4EEE8FCB" w14:textId="77777777" w:rsidR="00294169" w:rsidRPr="002E4396" w:rsidRDefault="00294169" w:rsidP="00294169">
                  <w:pPr>
                    <w:spacing w:after="0" w:line="240" w:lineRule="auto"/>
                    <w:rPr>
                      <w:color w:val="000000"/>
                    </w:rPr>
                  </w:pPr>
                  <w:r w:rsidRPr="002E4396">
                    <w:rPr>
                      <w:color w:val="000000"/>
                    </w:rPr>
                    <w:t>Yes</w:t>
                  </w:r>
                </w:p>
              </w:tc>
              <w:tc>
                <w:tcPr>
                  <w:tcW w:w="918" w:type="pct"/>
                  <w:tcBorders>
                    <w:top w:val="nil"/>
                    <w:left w:val="nil"/>
                    <w:bottom w:val="single" w:sz="4" w:space="0" w:color="auto"/>
                    <w:right w:val="single" w:sz="4" w:space="0" w:color="auto"/>
                  </w:tcBorders>
                  <w:shd w:val="clear" w:color="auto" w:fill="auto"/>
                  <w:vAlign w:val="center"/>
                  <w:hideMark/>
                </w:tcPr>
                <w:p w14:paraId="310F2FAB" w14:textId="77777777" w:rsidR="00294169" w:rsidRPr="002E4396" w:rsidRDefault="00294169" w:rsidP="00294169">
                  <w:pPr>
                    <w:spacing w:after="0" w:line="240" w:lineRule="auto"/>
                    <w:rPr>
                      <w:color w:val="000000"/>
                    </w:rPr>
                  </w:pPr>
                  <w:r w:rsidRPr="002E4396">
                    <w:rPr>
                      <w:color w:val="000000"/>
                    </w:rPr>
                    <w:t>MICS6</w:t>
                  </w:r>
                </w:p>
              </w:tc>
              <w:tc>
                <w:tcPr>
                  <w:tcW w:w="1933" w:type="pct"/>
                  <w:vMerge w:val="restart"/>
                  <w:tcBorders>
                    <w:top w:val="nil"/>
                    <w:left w:val="single" w:sz="4" w:space="0" w:color="auto"/>
                    <w:bottom w:val="single" w:sz="4" w:space="0" w:color="auto"/>
                    <w:right w:val="single" w:sz="4" w:space="0" w:color="auto"/>
                  </w:tcBorders>
                  <w:shd w:val="clear" w:color="auto" w:fill="auto"/>
                  <w:vAlign w:val="center"/>
                  <w:hideMark/>
                </w:tcPr>
                <w:p w14:paraId="2EA4938E" w14:textId="77777777" w:rsidR="00294169" w:rsidRPr="002E4396" w:rsidRDefault="00294169" w:rsidP="00294169">
                  <w:pPr>
                    <w:spacing w:after="0" w:line="240" w:lineRule="auto"/>
                    <w:rPr>
                      <w:color w:val="000000"/>
                    </w:rPr>
                  </w:pPr>
                  <w:r w:rsidRPr="002E4396">
                    <w:rPr>
                      <w:color w:val="000000"/>
                    </w:rPr>
                    <w:t>2/3 plus one year when primary lasts more than 4 years according to ISCED level of the country</w:t>
                  </w:r>
                </w:p>
              </w:tc>
            </w:tr>
            <w:tr w:rsidR="00294169" w:rsidRPr="00915903" w14:paraId="29F3F057"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hideMark/>
                </w:tcPr>
                <w:p w14:paraId="52D73E66" w14:textId="77777777" w:rsidR="00294169" w:rsidRPr="002E4396" w:rsidRDefault="00294169" w:rsidP="00294169">
                  <w:pPr>
                    <w:spacing w:after="0" w:line="240" w:lineRule="auto"/>
                    <w:rPr>
                      <w:b/>
                      <w:color w:val="000000"/>
                    </w:rPr>
                  </w:pPr>
                </w:p>
              </w:tc>
              <w:tc>
                <w:tcPr>
                  <w:tcW w:w="869" w:type="pct"/>
                  <w:tcBorders>
                    <w:top w:val="nil"/>
                    <w:left w:val="nil"/>
                    <w:bottom w:val="single" w:sz="4" w:space="0" w:color="auto"/>
                    <w:right w:val="single" w:sz="4" w:space="0" w:color="auto"/>
                  </w:tcBorders>
                  <w:shd w:val="clear" w:color="auto" w:fill="auto"/>
                  <w:vAlign w:val="center"/>
                  <w:hideMark/>
                </w:tcPr>
                <w:p w14:paraId="2681BE53" w14:textId="77777777" w:rsidR="00294169" w:rsidRPr="002E4396" w:rsidRDefault="00294169" w:rsidP="00294169">
                  <w:pPr>
                    <w:spacing w:after="0" w:line="240" w:lineRule="auto"/>
                    <w:rPr>
                      <w:color w:val="000000"/>
                    </w:rPr>
                  </w:pPr>
                  <w:r w:rsidRPr="002E4396">
                    <w:rPr>
                      <w:color w:val="000000"/>
                      <w:lang w:val="en-GB"/>
                    </w:rPr>
                    <w:t>PASEC</w:t>
                  </w:r>
                </w:p>
              </w:tc>
              <w:tc>
                <w:tcPr>
                  <w:tcW w:w="511" w:type="pct"/>
                  <w:vMerge/>
                  <w:tcBorders>
                    <w:top w:val="nil"/>
                    <w:left w:val="single" w:sz="4" w:space="0" w:color="auto"/>
                    <w:bottom w:val="single" w:sz="4" w:space="0" w:color="auto"/>
                    <w:right w:val="single" w:sz="4" w:space="0" w:color="auto"/>
                  </w:tcBorders>
                  <w:vAlign w:val="center"/>
                  <w:hideMark/>
                </w:tcPr>
                <w:p w14:paraId="5A6F45E0" w14:textId="77777777" w:rsidR="00294169" w:rsidRPr="002E4396" w:rsidRDefault="00294169" w:rsidP="00294169">
                  <w:pPr>
                    <w:spacing w:after="0" w:line="240" w:lineRule="auto"/>
                    <w:rPr>
                      <w:color w:val="000000"/>
                    </w:rPr>
                  </w:pPr>
                </w:p>
              </w:tc>
              <w:tc>
                <w:tcPr>
                  <w:tcW w:w="918" w:type="pct"/>
                  <w:tcBorders>
                    <w:top w:val="nil"/>
                    <w:left w:val="nil"/>
                    <w:bottom w:val="single" w:sz="4" w:space="0" w:color="auto"/>
                    <w:right w:val="single" w:sz="4" w:space="0" w:color="auto"/>
                  </w:tcBorders>
                  <w:shd w:val="clear" w:color="auto" w:fill="auto"/>
                  <w:vAlign w:val="center"/>
                  <w:hideMark/>
                </w:tcPr>
                <w:p w14:paraId="79D88667" w14:textId="77777777" w:rsidR="00294169" w:rsidRPr="002E4396" w:rsidRDefault="00294169" w:rsidP="00294169">
                  <w:pPr>
                    <w:spacing w:after="0" w:line="240" w:lineRule="auto"/>
                    <w:rPr>
                      <w:color w:val="000000"/>
                    </w:rPr>
                  </w:pPr>
                  <w:r w:rsidRPr="00915903">
                    <w:rPr>
                      <w:rFonts w:eastAsia="Times New Roman" w:cstheme="minorHAnsi"/>
                      <w:color w:val="000000"/>
                      <w:szCs w:val="21"/>
                    </w:rPr>
                    <w:t>EGRA</w:t>
                  </w:r>
                </w:p>
              </w:tc>
              <w:tc>
                <w:tcPr>
                  <w:tcW w:w="1933" w:type="pct"/>
                  <w:vMerge/>
                  <w:tcBorders>
                    <w:top w:val="nil"/>
                    <w:left w:val="single" w:sz="4" w:space="0" w:color="auto"/>
                    <w:bottom w:val="single" w:sz="4" w:space="0" w:color="auto"/>
                    <w:right w:val="single" w:sz="4" w:space="0" w:color="auto"/>
                  </w:tcBorders>
                  <w:vAlign w:val="center"/>
                  <w:hideMark/>
                </w:tcPr>
                <w:p w14:paraId="02A90A11" w14:textId="77777777" w:rsidR="00294169" w:rsidRPr="002E4396" w:rsidRDefault="00294169" w:rsidP="00294169">
                  <w:pPr>
                    <w:spacing w:after="0" w:line="240" w:lineRule="auto"/>
                    <w:rPr>
                      <w:color w:val="000000"/>
                    </w:rPr>
                  </w:pPr>
                </w:p>
              </w:tc>
            </w:tr>
            <w:tr w:rsidR="00294169" w:rsidRPr="00915903" w14:paraId="6A84261C"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hideMark/>
                </w:tcPr>
                <w:p w14:paraId="0E57FBFF" w14:textId="77777777" w:rsidR="00294169" w:rsidRPr="00915903" w:rsidRDefault="00294169" w:rsidP="00294169">
                  <w:pPr>
                    <w:spacing w:after="0" w:line="240" w:lineRule="auto"/>
                    <w:rPr>
                      <w:rFonts w:eastAsia="Times New Roman" w:cstheme="minorHAnsi"/>
                      <w:b/>
                      <w:bCs/>
                      <w:color w:val="000000"/>
                      <w:szCs w:val="21"/>
                    </w:rPr>
                  </w:pPr>
                </w:p>
              </w:tc>
              <w:tc>
                <w:tcPr>
                  <w:tcW w:w="869" w:type="pct"/>
                  <w:tcBorders>
                    <w:top w:val="nil"/>
                    <w:left w:val="nil"/>
                    <w:bottom w:val="single" w:sz="4" w:space="0" w:color="auto"/>
                    <w:right w:val="single" w:sz="4" w:space="0" w:color="auto"/>
                  </w:tcBorders>
                  <w:shd w:val="clear" w:color="auto" w:fill="auto"/>
                  <w:vAlign w:val="center"/>
                  <w:hideMark/>
                </w:tcPr>
                <w:p w14:paraId="606B2D91"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 xml:space="preserve">TIMSS </w:t>
                  </w:r>
                </w:p>
              </w:tc>
              <w:tc>
                <w:tcPr>
                  <w:tcW w:w="511" w:type="pct"/>
                  <w:vMerge/>
                  <w:tcBorders>
                    <w:top w:val="nil"/>
                    <w:left w:val="single" w:sz="4" w:space="0" w:color="auto"/>
                    <w:bottom w:val="single" w:sz="4" w:space="0" w:color="auto"/>
                    <w:right w:val="single" w:sz="4" w:space="0" w:color="auto"/>
                  </w:tcBorders>
                  <w:vAlign w:val="center"/>
                  <w:hideMark/>
                </w:tcPr>
                <w:p w14:paraId="0ABFFBE8" w14:textId="77777777" w:rsidR="00294169" w:rsidRPr="00915903" w:rsidRDefault="00294169" w:rsidP="00294169">
                  <w:pPr>
                    <w:spacing w:after="0" w:line="240" w:lineRule="auto"/>
                    <w:rPr>
                      <w:rFonts w:eastAsia="Times New Roman" w:cstheme="minorHAnsi"/>
                      <w:color w:val="000000"/>
                      <w:szCs w:val="21"/>
                    </w:rPr>
                  </w:pPr>
                </w:p>
              </w:tc>
              <w:tc>
                <w:tcPr>
                  <w:tcW w:w="918" w:type="pct"/>
                  <w:tcBorders>
                    <w:top w:val="nil"/>
                    <w:left w:val="nil"/>
                    <w:bottom w:val="single" w:sz="4" w:space="0" w:color="auto"/>
                    <w:right w:val="single" w:sz="4" w:space="0" w:color="auto"/>
                  </w:tcBorders>
                  <w:shd w:val="clear" w:color="auto" w:fill="auto"/>
                  <w:vAlign w:val="center"/>
                  <w:hideMark/>
                </w:tcPr>
                <w:p w14:paraId="022F99CC"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EGMA</w:t>
                  </w:r>
                </w:p>
              </w:tc>
              <w:tc>
                <w:tcPr>
                  <w:tcW w:w="1933" w:type="pct"/>
                  <w:vMerge/>
                  <w:tcBorders>
                    <w:top w:val="nil"/>
                    <w:left w:val="single" w:sz="4" w:space="0" w:color="auto"/>
                    <w:bottom w:val="single" w:sz="4" w:space="0" w:color="auto"/>
                    <w:right w:val="single" w:sz="4" w:space="0" w:color="auto"/>
                  </w:tcBorders>
                  <w:vAlign w:val="center"/>
                  <w:hideMark/>
                </w:tcPr>
                <w:p w14:paraId="772BE885" w14:textId="77777777" w:rsidR="00294169" w:rsidRPr="00915903" w:rsidRDefault="00294169" w:rsidP="00294169">
                  <w:pPr>
                    <w:spacing w:after="0" w:line="240" w:lineRule="auto"/>
                    <w:rPr>
                      <w:rFonts w:eastAsia="Times New Roman" w:cstheme="minorHAnsi"/>
                      <w:color w:val="000000"/>
                      <w:szCs w:val="21"/>
                    </w:rPr>
                  </w:pPr>
                </w:p>
              </w:tc>
            </w:tr>
            <w:tr w:rsidR="00294169" w:rsidRPr="00915903" w14:paraId="1E698898" w14:textId="77777777" w:rsidTr="007D1A37">
              <w:trPr>
                <w:trHeight w:val="70"/>
                <w:jc w:val="center"/>
              </w:trPr>
              <w:tc>
                <w:tcPr>
                  <w:tcW w:w="769" w:type="pct"/>
                  <w:vMerge/>
                  <w:tcBorders>
                    <w:top w:val="nil"/>
                    <w:left w:val="single" w:sz="4" w:space="0" w:color="auto"/>
                    <w:bottom w:val="single" w:sz="4" w:space="0" w:color="auto"/>
                    <w:right w:val="single" w:sz="4" w:space="0" w:color="auto"/>
                  </w:tcBorders>
                  <w:vAlign w:val="center"/>
                  <w:hideMark/>
                </w:tcPr>
                <w:p w14:paraId="6AB6F163" w14:textId="77777777" w:rsidR="00294169" w:rsidRPr="002E4396" w:rsidRDefault="00294169" w:rsidP="00294169">
                  <w:pPr>
                    <w:spacing w:after="0" w:line="240" w:lineRule="auto"/>
                    <w:rPr>
                      <w:b/>
                      <w:color w:val="000000"/>
                    </w:rPr>
                  </w:pP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7574E6A" w14:textId="77777777" w:rsidR="00294169" w:rsidRPr="002E4396" w:rsidRDefault="00294169" w:rsidP="00294169">
                  <w:pPr>
                    <w:spacing w:after="0" w:line="240" w:lineRule="auto"/>
                    <w:rPr>
                      <w:color w:val="000000"/>
                    </w:rPr>
                  </w:pPr>
                  <w:r w:rsidRPr="00915903">
                    <w:rPr>
                      <w:rFonts w:eastAsia="Times New Roman" w:cstheme="minorHAnsi"/>
                      <w:color w:val="000000"/>
                      <w:szCs w:val="21"/>
                    </w:rPr>
                    <w:t>PIRLS</w:t>
                  </w:r>
                  <w:r w:rsidRPr="002E4396">
                    <w:rPr>
                      <w:color w:val="000000"/>
                      <w:lang w:val="en-GB"/>
                    </w:rPr>
                    <w:t xml:space="preserve"> </w:t>
                  </w:r>
                </w:p>
              </w:tc>
              <w:tc>
                <w:tcPr>
                  <w:tcW w:w="511" w:type="pct"/>
                  <w:vMerge/>
                  <w:tcBorders>
                    <w:top w:val="single" w:sz="4" w:space="0" w:color="auto"/>
                    <w:left w:val="single" w:sz="4" w:space="0" w:color="auto"/>
                    <w:bottom w:val="single" w:sz="4" w:space="0" w:color="auto"/>
                    <w:right w:val="single" w:sz="4" w:space="0" w:color="auto"/>
                  </w:tcBorders>
                  <w:vAlign w:val="center"/>
                  <w:hideMark/>
                </w:tcPr>
                <w:p w14:paraId="3B67FE1E" w14:textId="77777777" w:rsidR="00294169" w:rsidRPr="002E4396" w:rsidRDefault="00294169" w:rsidP="00294169">
                  <w:pPr>
                    <w:spacing w:after="0" w:line="240" w:lineRule="auto"/>
                    <w:rPr>
                      <w:color w:val="000000"/>
                    </w:rPr>
                  </w:pPr>
                </w:p>
              </w:tc>
              <w:tc>
                <w:tcPr>
                  <w:tcW w:w="918" w:type="pct"/>
                  <w:tcBorders>
                    <w:top w:val="single" w:sz="4" w:space="0" w:color="auto"/>
                    <w:left w:val="nil"/>
                    <w:bottom w:val="single" w:sz="4" w:space="0" w:color="auto"/>
                    <w:right w:val="single" w:sz="4" w:space="0" w:color="auto"/>
                  </w:tcBorders>
                  <w:shd w:val="clear" w:color="auto" w:fill="auto"/>
                  <w:hideMark/>
                </w:tcPr>
                <w:p w14:paraId="1F8C94ED" w14:textId="77777777" w:rsidR="00294169" w:rsidRPr="002E4396" w:rsidRDefault="00294169" w:rsidP="00294169">
                  <w:pPr>
                    <w:spacing w:after="0" w:line="240" w:lineRule="auto"/>
                    <w:rPr>
                      <w:color w:val="000000"/>
                    </w:rPr>
                  </w:pPr>
                  <w:r w:rsidRPr="002E4396">
                    <w:rPr>
                      <w:color w:val="000000"/>
                    </w:rPr>
                    <w:t>PAL network</w:t>
                  </w:r>
                  <w:r w:rsidRPr="00915903">
                    <w:rPr>
                      <w:rFonts w:eastAsia="Times New Roman" w:cstheme="minorHAnsi"/>
                      <w:color w:val="000000"/>
                      <w:szCs w:val="21"/>
                    </w:rPr>
                    <w:t> </w:t>
                  </w:r>
                </w:p>
              </w:tc>
              <w:tc>
                <w:tcPr>
                  <w:tcW w:w="1933" w:type="pct"/>
                  <w:vMerge/>
                  <w:tcBorders>
                    <w:top w:val="nil"/>
                    <w:left w:val="single" w:sz="4" w:space="0" w:color="auto"/>
                    <w:bottom w:val="single" w:sz="4" w:space="0" w:color="auto"/>
                    <w:right w:val="single" w:sz="4" w:space="0" w:color="auto"/>
                  </w:tcBorders>
                  <w:vAlign w:val="center"/>
                  <w:hideMark/>
                </w:tcPr>
                <w:p w14:paraId="6F39FB45" w14:textId="77777777" w:rsidR="00294169" w:rsidRPr="002E4396" w:rsidRDefault="00294169" w:rsidP="00294169">
                  <w:pPr>
                    <w:spacing w:after="0" w:line="240" w:lineRule="auto"/>
                    <w:rPr>
                      <w:color w:val="000000"/>
                    </w:rPr>
                  </w:pPr>
                </w:p>
              </w:tc>
            </w:tr>
            <w:tr w:rsidR="00294169" w:rsidRPr="00915903" w14:paraId="05A8697B" w14:textId="77777777" w:rsidTr="007D1A37">
              <w:trPr>
                <w:trHeight w:val="300"/>
                <w:jc w:val="center"/>
              </w:trPr>
              <w:tc>
                <w:tcPr>
                  <w:tcW w:w="769" w:type="pct"/>
                  <w:vMerge w:val="restart"/>
                  <w:tcBorders>
                    <w:top w:val="nil"/>
                    <w:left w:val="single" w:sz="4" w:space="0" w:color="auto"/>
                    <w:bottom w:val="single" w:sz="4" w:space="0" w:color="auto"/>
                    <w:right w:val="single" w:sz="4" w:space="0" w:color="auto"/>
                  </w:tcBorders>
                  <w:shd w:val="clear" w:color="auto" w:fill="auto"/>
                  <w:vAlign w:val="center"/>
                  <w:hideMark/>
                </w:tcPr>
                <w:p w14:paraId="51A9F2E1" w14:textId="77777777" w:rsidR="00294169" w:rsidRPr="00915903" w:rsidRDefault="00294169" w:rsidP="00294169">
                  <w:pPr>
                    <w:spacing w:after="0" w:line="240" w:lineRule="auto"/>
                    <w:rPr>
                      <w:rFonts w:eastAsia="Times New Roman" w:cstheme="minorHAnsi"/>
                      <w:b/>
                      <w:bCs/>
                      <w:color w:val="000000"/>
                      <w:szCs w:val="21"/>
                    </w:rPr>
                  </w:pPr>
                  <w:r w:rsidRPr="00915903">
                    <w:rPr>
                      <w:rFonts w:eastAsia="Times New Roman" w:cstheme="minorHAnsi"/>
                      <w:b/>
                      <w:bCs/>
                      <w:color w:val="000000"/>
                      <w:szCs w:val="21"/>
                    </w:rPr>
                    <w:t>End of primary</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FD77C66"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LLECE</w:t>
                  </w:r>
                </w:p>
              </w:tc>
              <w:tc>
                <w:tcPr>
                  <w:tcW w:w="5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CC4D05"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Yes</w:t>
                  </w:r>
                </w:p>
              </w:tc>
              <w:tc>
                <w:tcPr>
                  <w:tcW w:w="918" w:type="pct"/>
                  <w:vMerge w:val="restart"/>
                  <w:tcBorders>
                    <w:top w:val="single" w:sz="4" w:space="0" w:color="auto"/>
                    <w:left w:val="nil"/>
                    <w:right w:val="single" w:sz="4" w:space="0" w:color="auto"/>
                  </w:tcBorders>
                  <w:shd w:val="clear" w:color="auto" w:fill="auto"/>
                  <w:vAlign w:val="center"/>
                </w:tcPr>
                <w:p w14:paraId="20B364F4"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PAL network</w:t>
                  </w:r>
                </w:p>
              </w:tc>
              <w:tc>
                <w:tcPr>
                  <w:tcW w:w="1933" w:type="pct"/>
                  <w:vMerge w:val="restart"/>
                  <w:tcBorders>
                    <w:top w:val="nil"/>
                    <w:left w:val="single" w:sz="4" w:space="0" w:color="auto"/>
                    <w:bottom w:val="single" w:sz="4" w:space="0" w:color="auto"/>
                    <w:right w:val="single" w:sz="4" w:space="0" w:color="auto"/>
                  </w:tcBorders>
                  <w:shd w:val="clear" w:color="auto" w:fill="auto"/>
                  <w:vAlign w:val="center"/>
                  <w:hideMark/>
                </w:tcPr>
                <w:p w14:paraId="1D349798" w14:textId="77777777" w:rsidR="00294169" w:rsidRPr="00915903" w:rsidRDefault="00294169" w:rsidP="00294169">
                  <w:pPr>
                    <w:spacing w:after="0" w:line="240" w:lineRule="auto"/>
                    <w:rPr>
                      <w:rFonts w:eastAsia="Times New Roman" w:cstheme="minorHAnsi"/>
                      <w:color w:val="000000"/>
                      <w:szCs w:val="21"/>
                    </w:rPr>
                  </w:pPr>
                  <w:proofErr w:type="gramStart"/>
                  <w:r w:rsidRPr="00915903">
                    <w:rPr>
                      <w:rFonts w:eastAsia="Times New Roman" w:cstheme="minorHAnsi"/>
                      <w:color w:val="000000"/>
                      <w:szCs w:val="21"/>
                    </w:rPr>
                    <w:t>plus</w:t>
                  </w:r>
                  <w:proofErr w:type="gramEnd"/>
                  <w:r w:rsidRPr="00915903">
                    <w:rPr>
                      <w:rFonts w:eastAsia="Times New Roman" w:cstheme="minorHAnsi"/>
                      <w:color w:val="000000"/>
                      <w:szCs w:val="21"/>
                    </w:rPr>
                    <w:t xml:space="preserve"> or minus one year of last year of primary according to ISCED level of the country</w:t>
                  </w:r>
                </w:p>
              </w:tc>
            </w:tr>
            <w:tr w:rsidR="00294169" w:rsidRPr="00915903" w14:paraId="49C42F68"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hideMark/>
                </w:tcPr>
                <w:p w14:paraId="28E33D32" w14:textId="77777777" w:rsidR="00294169" w:rsidRPr="00915903" w:rsidRDefault="00294169" w:rsidP="00294169">
                  <w:pPr>
                    <w:spacing w:after="0" w:line="240" w:lineRule="auto"/>
                    <w:rPr>
                      <w:rFonts w:eastAsia="Times New Roman" w:cstheme="minorHAnsi"/>
                      <w:b/>
                      <w:bCs/>
                      <w:color w:val="000000"/>
                      <w:szCs w:val="21"/>
                    </w:rPr>
                  </w:pPr>
                </w:p>
              </w:tc>
              <w:tc>
                <w:tcPr>
                  <w:tcW w:w="869" w:type="pct"/>
                  <w:tcBorders>
                    <w:top w:val="nil"/>
                    <w:left w:val="nil"/>
                    <w:bottom w:val="single" w:sz="4" w:space="0" w:color="auto"/>
                    <w:right w:val="single" w:sz="4" w:space="0" w:color="auto"/>
                  </w:tcBorders>
                  <w:shd w:val="clear" w:color="auto" w:fill="auto"/>
                  <w:vAlign w:val="center"/>
                  <w:hideMark/>
                </w:tcPr>
                <w:p w14:paraId="30AF72C5"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PASEC</w:t>
                  </w:r>
                </w:p>
              </w:tc>
              <w:tc>
                <w:tcPr>
                  <w:tcW w:w="511" w:type="pct"/>
                  <w:vMerge/>
                  <w:tcBorders>
                    <w:top w:val="nil"/>
                    <w:left w:val="single" w:sz="4" w:space="0" w:color="auto"/>
                    <w:bottom w:val="single" w:sz="4" w:space="0" w:color="auto"/>
                    <w:right w:val="single" w:sz="4" w:space="0" w:color="auto"/>
                  </w:tcBorders>
                  <w:vAlign w:val="center"/>
                  <w:hideMark/>
                </w:tcPr>
                <w:p w14:paraId="55D2AD9B" w14:textId="77777777" w:rsidR="00294169" w:rsidRPr="00915903" w:rsidRDefault="00294169" w:rsidP="00294169">
                  <w:pPr>
                    <w:spacing w:after="0" w:line="240" w:lineRule="auto"/>
                    <w:rPr>
                      <w:rFonts w:eastAsia="Times New Roman" w:cstheme="minorHAnsi"/>
                      <w:color w:val="000000"/>
                      <w:szCs w:val="21"/>
                    </w:rPr>
                  </w:pPr>
                </w:p>
              </w:tc>
              <w:tc>
                <w:tcPr>
                  <w:tcW w:w="918" w:type="pct"/>
                  <w:vMerge/>
                  <w:tcBorders>
                    <w:left w:val="nil"/>
                    <w:right w:val="single" w:sz="4" w:space="0" w:color="auto"/>
                  </w:tcBorders>
                  <w:shd w:val="clear" w:color="auto" w:fill="auto"/>
                  <w:vAlign w:val="center"/>
                </w:tcPr>
                <w:p w14:paraId="0E5AFC70" w14:textId="77777777" w:rsidR="00294169" w:rsidRPr="00915903" w:rsidRDefault="00294169" w:rsidP="00294169">
                  <w:pPr>
                    <w:spacing w:after="0" w:line="240" w:lineRule="auto"/>
                    <w:rPr>
                      <w:rFonts w:eastAsia="Times New Roman" w:cstheme="minorHAnsi"/>
                      <w:color w:val="000000"/>
                      <w:szCs w:val="21"/>
                    </w:rPr>
                  </w:pPr>
                </w:p>
              </w:tc>
              <w:tc>
                <w:tcPr>
                  <w:tcW w:w="1933" w:type="pct"/>
                  <w:vMerge/>
                  <w:tcBorders>
                    <w:top w:val="nil"/>
                    <w:left w:val="single" w:sz="4" w:space="0" w:color="auto"/>
                    <w:bottom w:val="single" w:sz="4" w:space="0" w:color="auto"/>
                    <w:right w:val="single" w:sz="4" w:space="0" w:color="auto"/>
                  </w:tcBorders>
                  <w:vAlign w:val="center"/>
                  <w:hideMark/>
                </w:tcPr>
                <w:p w14:paraId="53930218" w14:textId="77777777" w:rsidR="00294169" w:rsidRPr="00915903" w:rsidRDefault="00294169" w:rsidP="00294169">
                  <w:pPr>
                    <w:spacing w:after="0" w:line="240" w:lineRule="auto"/>
                    <w:rPr>
                      <w:rFonts w:eastAsia="Times New Roman" w:cstheme="minorHAnsi"/>
                      <w:color w:val="000000"/>
                      <w:szCs w:val="21"/>
                    </w:rPr>
                  </w:pPr>
                </w:p>
              </w:tc>
            </w:tr>
            <w:tr w:rsidR="00294169" w:rsidRPr="00915903" w14:paraId="001ECBBC"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hideMark/>
                </w:tcPr>
                <w:p w14:paraId="065B76B6" w14:textId="77777777" w:rsidR="00294169" w:rsidRPr="00915903" w:rsidRDefault="00294169" w:rsidP="00294169">
                  <w:pPr>
                    <w:spacing w:after="0" w:line="240" w:lineRule="auto"/>
                    <w:rPr>
                      <w:rFonts w:eastAsia="Times New Roman" w:cstheme="minorHAnsi"/>
                      <w:b/>
                      <w:bCs/>
                      <w:color w:val="000000"/>
                      <w:szCs w:val="21"/>
                    </w:rPr>
                  </w:pPr>
                </w:p>
              </w:tc>
              <w:tc>
                <w:tcPr>
                  <w:tcW w:w="869" w:type="pct"/>
                  <w:tcBorders>
                    <w:top w:val="nil"/>
                    <w:left w:val="nil"/>
                    <w:bottom w:val="single" w:sz="4" w:space="0" w:color="auto"/>
                    <w:right w:val="single" w:sz="4" w:space="0" w:color="auto"/>
                  </w:tcBorders>
                  <w:shd w:val="clear" w:color="auto" w:fill="auto"/>
                  <w:vAlign w:val="center"/>
                  <w:hideMark/>
                </w:tcPr>
                <w:p w14:paraId="7DE5D3FE"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 xml:space="preserve">TIMSS </w:t>
                  </w:r>
                </w:p>
              </w:tc>
              <w:tc>
                <w:tcPr>
                  <w:tcW w:w="511" w:type="pct"/>
                  <w:vMerge/>
                  <w:tcBorders>
                    <w:top w:val="nil"/>
                    <w:left w:val="single" w:sz="4" w:space="0" w:color="auto"/>
                    <w:bottom w:val="single" w:sz="4" w:space="0" w:color="auto"/>
                    <w:right w:val="single" w:sz="4" w:space="0" w:color="auto"/>
                  </w:tcBorders>
                  <w:vAlign w:val="center"/>
                  <w:hideMark/>
                </w:tcPr>
                <w:p w14:paraId="7502BA18" w14:textId="77777777" w:rsidR="00294169" w:rsidRPr="00915903" w:rsidRDefault="00294169" w:rsidP="00294169">
                  <w:pPr>
                    <w:spacing w:after="0" w:line="240" w:lineRule="auto"/>
                    <w:rPr>
                      <w:rFonts w:eastAsia="Times New Roman" w:cstheme="minorHAnsi"/>
                      <w:color w:val="000000"/>
                      <w:szCs w:val="21"/>
                    </w:rPr>
                  </w:pPr>
                </w:p>
              </w:tc>
              <w:tc>
                <w:tcPr>
                  <w:tcW w:w="918" w:type="pct"/>
                  <w:vMerge/>
                  <w:tcBorders>
                    <w:left w:val="nil"/>
                    <w:right w:val="single" w:sz="4" w:space="0" w:color="auto"/>
                  </w:tcBorders>
                  <w:shd w:val="clear" w:color="auto" w:fill="auto"/>
                  <w:vAlign w:val="center"/>
                </w:tcPr>
                <w:p w14:paraId="04AA309F" w14:textId="77777777" w:rsidR="00294169" w:rsidRPr="00915903" w:rsidRDefault="00294169" w:rsidP="00294169">
                  <w:pPr>
                    <w:spacing w:after="0" w:line="240" w:lineRule="auto"/>
                    <w:rPr>
                      <w:rFonts w:eastAsia="Times New Roman" w:cstheme="minorHAnsi"/>
                      <w:color w:val="000000"/>
                      <w:szCs w:val="21"/>
                    </w:rPr>
                  </w:pPr>
                </w:p>
              </w:tc>
              <w:tc>
                <w:tcPr>
                  <w:tcW w:w="1933" w:type="pct"/>
                  <w:vMerge/>
                  <w:tcBorders>
                    <w:top w:val="nil"/>
                    <w:left w:val="single" w:sz="4" w:space="0" w:color="auto"/>
                    <w:bottom w:val="single" w:sz="4" w:space="0" w:color="auto"/>
                    <w:right w:val="single" w:sz="4" w:space="0" w:color="auto"/>
                  </w:tcBorders>
                  <w:vAlign w:val="center"/>
                  <w:hideMark/>
                </w:tcPr>
                <w:p w14:paraId="1017E7A8" w14:textId="77777777" w:rsidR="00294169" w:rsidRPr="00915903" w:rsidRDefault="00294169" w:rsidP="00294169">
                  <w:pPr>
                    <w:spacing w:after="0" w:line="240" w:lineRule="auto"/>
                    <w:rPr>
                      <w:rFonts w:eastAsia="Times New Roman" w:cstheme="minorHAnsi"/>
                      <w:color w:val="000000"/>
                      <w:szCs w:val="21"/>
                    </w:rPr>
                  </w:pPr>
                </w:p>
              </w:tc>
            </w:tr>
            <w:tr w:rsidR="00294169" w:rsidRPr="00915903" w14:paraId="7132EF55"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hideMark/>
                </w:tcPr>
                <w:p w14:paraId="387AAB83" w14:textId="77777777" w:rsidR="00294169" w:rsidRPr="002E4396" w:rsidRDefault="00294169" w:rsidP="00294169">
                  <w:pPr>
                    <w:spacing w:after="0" w:line="240" w:lineRule="auto"/>
                    <w:rPr>
                      <w:b/>
                      <w:color w:val="000000"/>
                    </w:rPr>
                  </w:pPr>
                </w:p>
              </w:tc>
              <w:tc>
                <w:tcPr>
                  <w:tcW w:w="869" w:type="pct"/>
                  <w:tcBorders>
                    <w:top w:val="nil"/>
                    <w:left w:val="nil"/>
                    <w:bottom w:val="single" w:sz="4" w:space="0" w:color="auto"/>
                    <w:right w:val="single" w:sz="4" w:space="0" w:color="auto"/>
                  </w:tcBorders>
                  <w:shd w:val="clear" w:color="auto" w:fill="auto"/>
                  <w:vAlign w:val="center"/>
                  <w:hideMark/>
                </w:tcPr>
                <w:p w14:paraId="55128D9E" w14:textId="77777777" w:rsidR="00294169" w:rsidRPr="002E4396" w:rsidRDefault="00294169" w:rsidP="00294169">
                  <w:pPr>
                    <w:spacing w:after="0" w:line="240" w:lineRule="auto"/>
                    <w:rPr>
                      <w:color w:val="000000"/>
                    </w:rPr>
                  </w:pPr>
                  <w:r w:rsidRPr="002E4396">
                    <w:rPr>
                      <w:color w:val="000000"/>
                      <w:lang w:val="en-GB"/>
                    </w:rPr>
                    <w:t xml:space="preserve">PIRLS </w:t>
                  </w:r>
                </w:p>
              </w:tc>
              <w:tc>
                <w:tcPr>
                  <w:tcW w:w="511" w:type="pct"/>
                  <w:vMerge/>
                  <w:tcBorders>
                    <w:top w:val="nil"/>
                    <w:left w:val="single" w:sz="4" w:space="0" w:color="auto"/>
                    <w:bottom w:val="single" w:sz="4" w:space="0" w:color="auto"/>
                    <w:right w:val="single" w:sz="4" w:space="0" w:color="auto"/>
                  </w:tcBorders>
                  <w:vAlign w:val="center"/>
                  <w:hideMark/>
                </w:tcPr>
                <w:p w14:paraId="43CFC422" w14:textId="77777777" w:rsidR="00294169" w:rsidRPr="002E4396" w:rsidRDefault="00294169" w:rsidP="00294169">
                  <w:pPr>
                    <w:spacing w:after="0" w:line="240" w:lineRule="auto"/>
                    <w:rPr>
                      <w:color w:val="000000"/>
                    </w:rPr>
                  </w:pPr>
                </w:p>
              </w:tc>
              <w:tc>
                <w:tcPr>
                  <w:tcW w:w="918" w:type="pct"/>
                  <w:vMerge/>
                  <w:tcBorders>
                    <w:left w:val="nil"/>
                    <w:right w:val="single" w:sz="4" w:space="0" w:color="auto"/>
                  </w:tcBorders>
                  <w:shd w:val="clear" w:color="auto" w:fill="auto"/>
                  <w:hideMark/>
                </w:tcPr>
                <w:p w14:paraId="14A42F1C" w14:textId="77777777" w:rsidR="00294169" w:rsidRPr="002E4396" w:rsidRDefault="00294169" w:rsidP="00294169">
                  <w:pPr>
                    <w:spacing w:after="0" w:line="240" w:lineRule="auto"/>
                    <w:rPr>
                      <w:color w:val="000000"/>
                    </w:rPr>
                  </w:pPr>
                </w:p>
              </w:tc>
              <w:tc>
                <w:tcPr>
                  <w:tcW w:w="1933" w:type="pct"/>
                  <w:vMerge/>
                  <w:tcBorders>
                    <w:top w:val="nil"/>
                    <w:left w:val="single" w:sz="4" w:space="0" w:color="auto"/>
                    <w:bottom w:val="single" w:sz="4" w:space="0" w:color="auto"/>
                    <w:right w:val="single" w:sz="4" w:space="0" w:color="auto"/>
                  </w:tcBorders>
                  <w:vAlign w:val="center"/>
                  <w:hideMark/>
                </w:tcPr>
                <w:p w14:paraId="79B00814" w14:textId="77777777" w:rsidR="00294169" w:rsidRPr="002E4396" w:rsidRDefault="00294169" w:rsidP="00294169">
                  <w:pPr>
                    <w:spacing w:after="0" w:line="240" w:lineRule="auto"/>
                    <w:rPr>
                      <w:color w:val="000000"/>
                    </w:rPr>
                  </w:pPr>
                </w:p>
              </w:tc>
            </w:tr>
            <w:tr w:rsidR="00294169" w:rsidRPr="00915903" w14:paraId="7958CA8C"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tcPr>
                <w:p w14:paraId="4A148AB0" w14:textId="77777777" w:rsidR="00294169" w:rsidRPr="002E4396" w:rsidRDefault="00294169" w:rsidP="00294169">
                  <w:pPr>
                    <w:spacing w:after="0" w:line="240" w:lineRule="auto"/>
                    <w:rPr>
                      <w:b/>
                      <w:color w:val="000000"/>
                    </w:rPr>
                  </w:pPr>
                </w:p>
              </w:tc>
              <w:tc>
                <w:tcPr>
                  <w:tcW w:w="869" w:type="pct"/>
                  <w:tcBorders>
                    <w:top w:val="nil"/>
                    <w:left w:val="nil"/>
                    <w:bottom w:val="single" w:sz="4" w:space="0" w:color="auto"/>
                    <w:right w:val="single" w:sz="4" w:space="0" w:color="auto"/>
                  </w:tcBorders>
                  <w:shd w:val="clear" w:color="auto" w:fill="auto"/>
                  <w:vAlign w:val="center"/>
                </w:tcPr>
                <w:p w14:paraId="111950B1" w14:textId="77777777" w:rsidR="00294169" w:rsidRPr="002E4396" w:rsidRDefault="00294169" w:rsidP="00294169">
                  <w:pPr>
                    <w:spacing w:after="0" w:line="240" w:lineRule="auto"/>
                    <w:rPr>
                      <w:color w:val="000000"/>
                    </w:rPr>
                  </w:pPr>
                  <w:r w:rsidRPr="00915903">
                    <w:rPr>
                      <w:rFonts w:eastAsia="Times New Roman" w:cstheme="minorHAnsi"/>
                      <w:color w:val="000000"/>
                      <w:szCs w:val="21"/>
                    </w:rPr>
                    <w:t>PILNA</w:t>
                  </w:r>
                </w:p>
              </w:tc>
              <w:tc>
                <w:tcPr>
                  <w:tcW w:w="511" w:type="pct"/>
                  <w:vMerge/>
                  <w:tcBorders>
                    <w:top w:val="nil"/>
                    <w:left w:val="single" w:sz="4" w:space="0" w:color="auto"/>
                    <w:bottom w:val="single" w:sz="4" w:space="0" w:color="auto"/>
                    <w:right w:val="single" w:sz="4" w:space="0" w:color="auto"/>
                  </w:tcBorders>
                  <w:vAlign w:val="center"/>
                </w:tcPr>
                <w:p w14:paraId="1339461C" w14:textId="77777777" w:rsidR="00294169" w:rsidRPr="002E4396" w:rsidRDefault="00294169" w:rsidP="00294169">
                  <w:pPr>
                    <w:spacing w:after="0" w:line="240" w:lineRule="auto"/>
                    <w:rPr>
                      <w:color w:val="000000"/>
                    </w:rPr>
                  </w:pPr>
                </w:p>
              </w:tc>
              <w:tc>
                <w:tcPr>
                  <w:tcW w:w="918" w:type="pct"/>
                  <w:vMerge/>
                  <w:tcBorders>
                    <w:left w:val="nil"/>
                    <w:right w:val="single" w:sz="4" w:space="0" w:color="auto"/>
                  </w:tcBorders>
                  <w:shd w:val="clear" w:color="auto" w:fill="auto"/>
                </w:tcPr>
                <w:p w14:paraId="17434F4E" w14:textId="77777777" w:rsidR="00294169" w:rsidRPr="002E4396" w:rsidRDefault="00294169" w:rsidP="00294169">
                  <w:pPr>
                    <w:spacing w:after="0" w:line="240" w:lineRule="auto"/>
                    <w:rPr>
                      <w:color w:val="000000"/>
                    </w:rPr>
                  </w:pPr>
                </w:p>
              </w:tc>
              <w:tc>
                <w:tcPr>
                  <w:tcW w:w="1933" w:type="pct"/>
                  <w:vMerge/>
                  <w:tcBorders>
                    <w:top w:val="nil"/>
                    <w:left w:val="single" w:sz="4" w:space="0" w:color="auto"/>
                    <w:bottom w:val="single" w:sz="4" w:space="0" w:color="auto"/>
                    <w:right w:val="single" w:sz="4" w:space="0" w:color="auto"/>
                  </w:tcBorders>
                  <w:vAlign w:val="center"/>
                </w:tcPr>
                <w:p w14:paraId="0C46207B" w14:textId="77777777" w:rsidR="00294169" w:rsidRPr="002E4396" w:rsidRDefault="00294169" w:rsidP="00294169">
                  <w:pPr>
                    <w:spacing w:after="0" w:line="240" w:lineRule="auto"/>
                    <w:rPr>
                      <w:color w:val="000000"/>
                    </w:rPr>
                  </w:pPr>
                </w:p>
              </w:tc>
            </w:tr>
            <w:tr w:rsidR="00294169" w:rsidRPr="00915903" w14:paraId="14E4EE29"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tcPr>
                <w:p w14:paraId="5E5F6215" w14:textId="77777777" w:rsidR="00294169" w:rsidRPr="00915903" w:rsidRDefault="00294169" w:rsidP="00294169">
                  <w:pPr>
                    <w:spacing w:after="0" w:line="240" w:lineRule="auto"/>
                    <w:rPr>
                      <w:rFonts w:eastAsia="Times New Roman" w:cstheme="minorHAnsi"/>
                      <w:b/>
                      <w:bCs/>
                      <w:color w:val="000000"/>
                      <w:szCs w:val="21"/>
                    </w:rPr>
                  </w:pPr>
                </w:p>
              </w:tc>
              <w:tc>
                <w:tcPr>
                  <w:tcW w:w="869" w:type="pct"/>
                  <w:tcBorders>
                    <w:top w:val="nil"/>
                    <w:left w:val="nil"/>
                    <w:bottom w:val="single" w:sz="4" w:space="0" w:color="auto"/>
                    <w:right w:val="single" w:sz="4" w:space="0" w:color="auto"/>
                  </w:tcBorders>
                  <w:shd w:val="clear" w:color="auto" w:fill="auto"/>
                  <w:vAlign w:val="center"/>
                </w:tcPr>
                <w:p w14:paraId="0C4297F9"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SEAMEO</w:t>
                  </w:r>
                </w:p>
              </w:tc>
              <w:tc>
                <w:tcPr>
                  <w:tcW w:w="511" w:type="pct"/>
                  <w:vMerge/>
                  <w:tcBorders>
                    <w:top w:val="nil"/>
                    <w:left w:val="single" w:sz="4" w:space="0" w:color="auto"/>
                    <w:bottom w:val="single" w:sz="4" w:space="0" w:color="auto"/>
                    <w:right w:val="single" w:sz="4" w:space="0" w:color="auto"/>
                  </w:tcBorders>
                  <w:vAlign w:val="center"/>
                </w:tcPr>
                <w:p w14:paraId="71CCE4D9" w14:textId="77777777" w:rsidR="00294169" w:rsidRPr="00915903" w:rsidRDefault="00294169" w:rsidP="00294169">
                  <w:pPr>
                    <w:spacing w:after="0" w:line="240" w:lineRule="auto"/>
                    <w:rPr>
                      <w:rFonts w:eastAsia="Times New Roman" w:cstheme="minorHAnsi"/>
                      <w:color w:val="000000"/>
                      <w:szCs w:val="21"/>
                    </w:rPr>
                  </w:pPr>
                </w:p>
              </w:tc>
              <w:tc>
                <w:tcPr>
                  <w:tcW w:w="918" w:type="pct"/>
                  <w:vMerge/>
                  <w:tcBorders>
                    <w:left w:val="nil"/>
                    <w:right w:val="single" w:sz="4" w:space="0" w:color="auto"/>
                  </w:tcBorders>
                  <w:shd w:val="clear" w:color="auto" w:fill="auto"/>
                </w:tcPr>
                <w:p w14:paraId="5C745E47" w14:textId="77777777" w:rsidR="00294169" w:rsidRPr="00915903" w:rsidRDefault="00294169" w:rsidP="00294169">
                  <w:pPr>
                    <w:spacing w:after="0" w:line="240" w:lineRule="auto"/>
                    <w:rPr>
                      <w:rFonts w:eastAsia="Times New Roman" w:cstheme="minorHAnsi"/>
                      <w:color w:val="000000"/>
                      <w:szCs w:val="21"/>
                    </w:rPr>
                  </w:pPr>
                </w:p>
              </w:tc>
              <w:tc>
                <w:tcPr>
                  <w:tcW w:w="1933" w:type="pct"/>
                  <w:vMerge/>
                  <w:tcBorders>
                    <w:top w:val="nil"/>
                    <w:left w:val="single" w:sz="4" w:space="0" w:color="auto"/>
                    <w:bottom w:val="single" w:sz="4" w:space="0" w:color="auto"/>
                    <w:right w:val="single" w:sz="4" w:space="0" w:color="auto"/>
                  </w:tcBorders>
                  <w:vAlign w:val="center"/>
                </w:tcPr>
                <w:p w14:paraId="7751B6F6" w14:textId="77777777" w:rsidR="00294169" w:rsidRPr="00915903" w:rsidRDefault="00294169" w:rsidP="00294169">
                  <w:pPr>
                    <w:spacing w:after="0" w:line="240" w:lineRule="auto"/>
                    <w:rPr>
                      <w:rFonts w:eastAsia="Times New Roman" w:cstheme="minorHAnsi"/>
                      <w:color w:val="000000"/>
                      <w:szCs w:val="21"/>
                    </w:rPr>
                  </w:pPr>
                </w:p>
              </w:tc>
            </w:tr>
            <w:tr w:rsidR="00294169" w:rsidRPr="00915903" w14:paraId="3DEDDDDB" w14:textId="77777777" w:rsidTr="007D1A37">
              <w:trPr>
                <w:trHeight w:val="125"/>
                <w:jc w:val="center"/>
              </w:trPr>
              <w:tc>
                <w:tcPr>
                  <w:tcW w:w="769" w:type="pct"/>
                  <w:vMerge/>
                  <w:tcBorders>
                    <w:top w:val="nil"/>
                    <w:left w:val="single" w:sz="4" w:space="0" w:color="auto"/>
                    <w:bottom w:val="single" w:sz="4" w:space="0" w:color="auto"/>
                    <w:right w:val="single" w:sz="4" w:space="0" w:color="auto"/>
                  </w:tcBorders>
                  <w:vAlign w:val="center"/>
                </w:tcPr>
                <w:p w14:paraId="2D9158DD" w14:textId="77777777" w:rsidR="00294169" w:rsidRPr="00915903" w:rsidRDefault="00294169" w:rsidP="00294169">
                  <w:pPr>
                    <w:spacing w:after="0" w:line="240" w:lineRule="auto"/>
                    <w:rPr>
                      <w:rFonts w:eastAsia="Times New Roman" w:cstheme="minorHAnsi"/>
                      <w:b/>
                      <w:bCs/>
                      <w:color w:val="000000"/>
                      <w:szCs w:val="21"/>
                    </w:rPr>
                  </w:pPr>
                </w:p>
              </w:tc>
              <w:tc>
                <w:tcPr>
                  <w:tcW w:w="869" w:type="pct"/>
                  <w:tcBorders>
                    <w:top w:val="nil"/>
                    <w:left w:val="nil"/>
                    <w:bottom w:val="single" w:sz="4" w:space="0" w:color="auto"/>
                    <w:right w:val="single" w:sz="4" w:space="0" w:color="auto"/>
                  </w:tcBorders>
                  <w:shd w:val="clear" w:color="auto" w:fill="auto"/>
                  <w:vAlign w:val="center"/>
                </w:tcPr>
                <w:p w14:paraId="3C0AD214"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SACMEQ</w:t>
                  </w:r>
                </w:p>
              </w:tc>
              <w:tc>
                <w:tcPr>
                  <w:tcW w:w="511" w:type="pct"/>
                  <w:vMerge/>
                  <w:tcBorders>
                    <w:top w:val="nil"/>
                    <w:left w:val="single" w:sz="4" w:space="0" w:color="auto"/>
                    <w:bottom w:val="single" w:sz="4" w:space="0" w:color="auto"/>
                    <w:right w:val="single" w:sz="4" w:space="0" w:color="auto"/>
                  </w:tcBorders>
                  <w:vAlign w:val="center"/>
                </w:tcPr>
                <w:p w14:paraId="062A2129" w14:textId="77777777" w:rsidR="00294169" w:rsidRPr="00915903" w:rsidRDefault="00294169" w:rsidP="00294169">
                  <w:pPr>
                    <w:spacing w:after="0" w:line="240" w:lineRule="auto"/>
                    <w:rPr>
                      <w:rFonts w:eastAsia="Times New Roman" w:cstheme="minorHAnsi"/>
                      <w:color w:val="000000"/>
                      <w:szCs w:val="21"/>
                    </w:rPr>
                  </w:pPr>
                </w:p>
              </w:tc>
              <w:tc>
                <w:tcPr>
                  <w:tcW w:w="918" w:type="pct"/>
                  <w:vMerge/>
                  <w:tcBorders>
                    <w:left w:val="nil"/>
                    <w:bottom w:val="single" w:sz="4" w:space="0" w:color="auto"/>
                    <w:right w:val="single" w:sz="4" w:space="0" w:color="auto"/>
                  </w:tcBorders>
                  <w:shd w:val="clear" w:color="auto" w:fill="auto"/>
                </w:tcPr>
                <w:p w14:paraId="1946D7D8" w14:textId="77777777" w:rsidR="00294169" w:rsidRPr="00915903" w:rsidRDefault="00294169" w:rsidP="00294169">
                  <w:pPr>
                    <w:spacing w:after="0" w:line="240" w:lineRule="auto"/>
                    <w:rPr>
                      <w:rFonts w:eastAsia="Times New Roman" w:cstheme="minorHAnsi"/>
                      <w:color w:val="000000"/>
                      <w:szCs w:val="21"/>
                    </w:rPr>
                  </w:pPr>
                </w:p>
              </w:tc>
              <w:tc>
                <w:tcPr>
                  <w:tcW w:w="1933" w:type="pct"/>
                  <w:vMerge/>
                  <w:tcBorders>
                    <w:top w:val="nil"/>
                    <w:left w:val="single" w:sz="4" w:space="0" w:color="auto"/>
                    <w:bottom w:val="single" w:sz="4" w:space="0" w:color="auto"/>
                    <w:right w:val="single" w:sz="4" w:space="0" w:color="auto"/>
                  </w:tcBorders>
                  <w:vAlign w:val="center"/>
                </w:tcPr>
                <w:p w14:paraId="4DD34AEA" w14:textId="77777777" w:rsidR="00294169" w:rsidRPr="00915903" w:rsidRDefault="00294169" w:rsidP="00294169">
                  <w:pPr>
                    <w:spacing w:after="0" w:line="240" w:lineRule="auto"/>
                    <w:rPr>
                      <w:rFonts w:eastAsia="Times New Roman" w:cstheme="minorHAnsi"/>
                      <w:color w:val="000000"/>
                      <w:szCs w:val="21"/>
                    </w:rPr>
                  </w:pPr>
                </w:p>
              </w:tc>
            </w:tr>
            <w:tr w:rsidR="00294169" w:rsidRPr="00915903" w14:paraId="6A9FBC7F" w14:textId="77777777" w:rsidTr="007D1A37">
              <w:trPr>
                <w:trHeight w:val="300"/>
                <w:jc w:val="center"/>
              </w:trPr>
              <w:tc>
                <w:tcPr>
                  <w:tcW w:w="769" w:type="pct"/>
                  <w:vMerge w:val="restart"/>
                  <w:tcBorders>
                    <w:top w:val="nil"/>
                    <w:left w:val="single" w:sz="4" w:space="0" w:color="auto"/>
                    <w:bottom w:val="single" w:sz="4" w:space="0" w:color="auto"/>
                    <w:right w:val="single" w:sz="4" w:space="0" w:color="auto"/>
                  </w:tcBorders>
                  <w:shd w:val="clear" w:color="auto" w:fill="auto"/>
                  <w:vAlign w:val="center"/>
                  <w:hideMark/>
                </w:tcPr>
                <w:p w14:paraId="6964F525" w14:textId="77777777" w:rsidR="00294169" w:rsidRPr="00915903" w:rsidRDefault="00294169" w:rsidP="00294169">
                  <w:pPr>
                    <w:spacing w:after="0" w:line="240" w:lineRule="auto"/>
                    <w:rPr>
                      <w:rFonts w:eastAsia="Times New Roman" w:cstheme="minorHAnsi"/>
                      <w:b/>
                      <w:bCs/>
                      <w:color w:val="000000"/>
                      <w:szCs w:val="21"/>
                    </w:rPr>
                  </w:pPr>
                  <w:r w:rsidRPr="00915903">
                    <w:rPr>
                      <w:rFonts w:eastAsia="Times New Roman" w:cstheme="minorHAnsi"/>
                      <w:b/>
                      <w:bCs/>
                      <w:color w:val="000000"/>
                      <w:szCs w:val="21"/>
                    </w:rPr>
                    <w:t>End of lower secondary</w:t>
                  </w:r>
                </w:p>
              </w:tc>
              <w:tc>
                <w:tcPr>
                  <w:tcW w:w="869" w:type="pct"/>
                  <w:tcBorders>
                    <w:top w:val="single" w:sz="4" w:space="0" w:color="auto"/>
                    <w:left w:val="nil"/>
                    <w:bottom w:val="single" w:sz="4" w:space="0" w:color="auto"/>
                    <w:right w:val="single" w:sz="4" w:space="0" w:color="auto"/>
                  </w:tcBorders>
                  <w:shd w:val="clear" w:color="auto" w:fill="auto"/>
                  <w:vAlign w:val="center"/>
                </w:tcPr>
                <w:p w14:paraId="611D7D6E"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PISA</w:t>
                  </w:r>
                </w:p>
              </w:tc>
              <w:tc>
                <w:tcPr>
                  <w:tcW w:w="5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61E1DE"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Yes</w:t>
                  </w:r>
                </w:p>
              </w:tc>
              <w:tc>
                <w:tcPr>
                  <w:tcW w:w="918" w:type="pct"/>
                  <w:vMerge w:val="restart"/>
                  <w:tcBorders>
                    <w:top w:val="single" w:sz="4" w:space="0" w:color="auto"/>
                    <w:left w:val="nil"/>
                    <w:right w:val="single" w:sz="4" w:space="0" w:color="auto"/>
                  </w:tcBorders>
                  <w:shd w:val="clear" w:color="auto" w:fill="auto"/>
                  <w:vAlign w:val="center"/>
                </w:tcPr>
                <w:p w14:paraId="1D22D39F" w14:textId="77777777" w:rsidR="00294169" w:rsidRPr="00915903" w:rsidRDefault="007B5EEA" w:rsidP="00294169">
                  <w:pPr>
                    <w:spacing w:after="0" w:line="240" w:lineRule="auto"/>
                    <w:rPr>
                      <w:rFonts w:eastAsia="Times New Roman" w:cstheme="minorHAnsi"/>
                      <w:color w:val="000000"/>
                      <w:szCs w:val="21"/>
                    </w:rPr>
                  </w:pPr>
                  <w:hyperlink r:id="rId9" w:history="1">
                    <w:r w:rsidR="00294169" w:rsidRPr="00915903">
                      <w:rPr>
                        <w:rStyle w:val="Hyperlink"/>
                        <w:rFonts w:cstheme="minorHAnsi"/>
                      </w:rPr>
                      <w:t>Young Lives</w:t>
                    </w:r>
                  </w:hyperlink>
                </w:p>
              </w:tc>
              <w:tc>
                <w:tcPr>
                  <w:tcW w:w="1933" w:type="pct"/>
                  <w:vMerge w:val="restart"/>
                  <w:tcBorders>
                    <w:top w:val="nil"/>
                    <w:left w:val="single" w:sz="4" w:space="0" w:color="auto"/>
                    <w:bottom w:val="single" w:sz="4" w:space="0" w:color="auto"/>
                    <w:right w:val="single" w:sz="4" w:space="0" w:color="auto"/>
                  </w:tcBorders>
                  <w:shd w:val="clear" w:color="auto" w:fill="auto"/>
                  <w:vAlign w:val="center"/>
                  <w:hideMark/>
                </w:tcPr>
                <w:p w14:paraId="5C1D49A9" w14:textId="77777777" w:rsidR="00294169" w:rsidRPr="00915903" w:rsidRDefault="00294169" w:rsidP="00294169">
                  <w:pPr>
                    <w:spacing w:after="0" w:line="240" w:lineRule="auto"/>
                    <w:rPr>
                      <w:rFonts w:eastAsia="Times New Roman" w:cstheme="minorHAnsi"/>
                      <w:color w:val="000000"/>
                      <w:szCs w:val="21"/>
                    </w:rPr>
                  </w:pPr>
                  <w:proofErr w:type="gramStart"/>
                  <w:r w:rsidRPr="00915903">
                    <w:rPr>
                      <w:rFonts w:eastAsia="Times New Roman" w:cstheme="minorHAnsi"/>
                      <w:color w:val="000000"/>
                      <w:szCs w:val="21"/>
                    </w:rPr>
                    <w:t>plus</w:t>
                  </w:r>
                  <w:proofErr w:type="gramEnd"/>
                  <w:r w:rsidRPr="00915903">
                    <w:rPr>
                      <w:rFonts w:eastAsia="Times New Roman" w:cstheme="minorHAnsi"/>
                      <w:color w:val="000000"/>
                      <w:szCs w:val="21"/>
                    </w:rPr>
                    <w:t xml:space="preserve"> two or minus one of last year of lower secondary according to ISCED level of the country</w:t>
                  </w:r>
                </w:p>
              </w:tc>
            </w:tr>
            <w:tr w:rsidR="00294169" w:rsidRPr="00915903" w14:paraId="1D830558" w14:textId="77777777" w:rsidTr="007D1A37">
              <w:trPr>
                <w:trHeight w:val="300"/>
                <w:jc w:val="center"/>
              </w:trPr>
              <w:tc>
                <w:tcPr>
                  <w:tcW w:w="769" w:type="pct"/>
                  <w:vMerge/>
                  <w:tcBorders>
                    <w:top w:val="nil"/>
                    <w:left w:val="single" w:sz="4" w:space="0" w:color="auto"/>
                    <w:bottom w:val="single" w:sz="4" w:space="0" w:color="auto"/>
                    <w:right w:val="single" w:sz="4" w:space="0" w:color="auto"/>
                  </w:tcBorders>
                  <w:vAlign w:val="center"/>
                  <w:hideMark/>
                </w:tcPr>
                <w:p w14:paraId="0D0F47C1" w14:textId="77777777" w:rsidR="00294169" w:rsidRPr="00915903" w:rsidRDefault="00294169" w:rsidP="00294169">
                  <w:pPr>
                    <w:spacing w:after="0" w:line="240" w:lineRule="auto"/>
                    <w:rPr>
                      <w:rFonts w:eastAsia="Times New Roman" w:cstheme="minorHAnsi"/>
                      <w:b/>
                      <w:bCs/>
                      <w:color w:val="000000"/>
                      <w:szCs w:val="21"/>
                    </w:rPr>
                  </w:pPr>
                </w:p>
              </w:tc>
              <w:tc>
                <w:tcPr>
                  <w:tcW w:w="869" w:type="pct"/>
                  <w:tcBorders>
                    <w:top w:val="nil"/>
                    <w:left w:val="nil"/>
                    <w:bottom w:val="single" w:sz="4" w:space="0" w:color="auto"/>
                    <w:right w:val="single" w:sz="4" w:space="0" w:color="auto"/>
                  </w:tcBorders>
                  <w:shd w:val="clear" w:color="auto" w:fill="auto"/>
                  <w:vAlign w:val="center"/>
                </w:tcPr>
                <w:p w14:paraId="1E407502"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PISA-D</w:t>
                  </w:r>
                </w:p>
              </w:tc>
              <w:tc>
                <w:tcPr>
                  <w:tcW w:w="511" w:type="pct"/>
                  <w:vMerge/>
                  <w:tcBorders>
                    <w:top w:val="nil"/>
                    <w:left w:val="single" w:sz="4" w:space="0" w:color="auto"/>
                    <w:bottom w:val="single" w:sz="4" w:space="0" w:color="auto"/>
                    <w:right w:val="single" w:sz="4" w:space="0" w:color="auto"/>
                  </w:tcBorders>
                  <w:vAlign w:val="center"/>
                  <w:hideMark/>
                </w:tcPr>
                <w:p w14:paraId="29D5828D" w14:textId="77777777" w:rsidR="00294169" w:rsidRPr="00915903" w:rsidRDefault="00294169" w:rsidP="00294169">
                  <w:pPr>
                    <w:spacing w:after="0" w:line="240" w:lineRule="auto"/>
                    <w:rPr>
                      <w:rFonts w:eastAsia="Times New Roman" w:cstheme="minorHAnsi"/>
                      <w:color w:val="000000"/>
                      <w:szCs w:val="21"/>
                    </w:rPr>
                  </w:pPr>
                </w:p>
              </w:tc>
              <w:tc>
                <w:tcPr>
                  <w:tcW w:w="918" w:type="pct"/>
                  <w:vMerge/>
                  <w:tcBorders>
                    <w:left w:val="nil"/>
                    <w:right w:val="single" w:sz="4" w:space="0" w:color="auto"/>
                  </w:tcBorders>
                  <w:shd w:val="clear" w:color="auto" w:fill="auto"/>
                  <w:vAlign w:val="center"/>
                </w:tcPr>
                <w:p w14:paraId="7EFE373B" w14:textId="77777777" w:rsidR="00294169" w:rsidRPr="00915903" w:rsidRDefault="00294169" w:rsidP="00294169">
                  <w:pPr>
                    <w:spacing w:after="0" w:line="240" w:lineRule="auto"/>
                    <w:rPr>
                      <w:rFonts w:eastAsia="Times New Roman" w:cstheme="minorHAnsi"/>
                      <w:color w:val="000000"/>
                      <w:szCs w:val="21"/>
                    </w:rPr>
                  </w:pPr>
                </w:p>
              </w:tc>
              <w:tc>
                <w:tcPr>
                  <w:tcW w:w="1933" w:type="pct"/>
                  <w:vMerge/>
                  <w:tcBorders>
                    <w:top w:val="nil"/>
                    <w:left w:val="single" w:sz="4" w:space="0" w:color="auto"/>
                    <w:bottom w:val="single" w:sz="4" w:space="0" w:color="auto"/>
                    <w:right w:val="single" w:sz="4" w:space="0" w:color="auto"/>
                  </w:tcBorders>
                  <w:vAlign w:val="center"/>
                  <w:hideMark/>
                </w:tcPr>
                <w:p w14:paraId="7999D4BB" w14:textId="77777777" w:rsidR="00294169" w:rsidRPr="00915903" w:rsidRDefault="00294169" w:rsidP="00294169">
                  <w:pPr>
                    <w:spacing w:after="0" w:line="240" w:lineRule="auto"/>
                    <w:rPr>
                      <w:rFonts w:eastAsia="Times New Roman" w:cstheme="minorHAnsi"/>
                      <w:color w:val="000000"/>
                      <w:szCs w:val="21"/>
                    </w:rPr>
                  </w:pPr>
                </w:p>
              </w:tc>
            </w:tr>
            <w:tr w:rsidR="00294169" w:rsidRPr="00915903" w14:paraId="1F871894" w14:textId="77777777" w:rsidTr="007D1A37">
              <w:trPr>
                <w:trHeight w:val="365"/>
                <w:jc w:val="center"/>
              </w:trPr>
              <w:tc>
                <w:tcPr>
                  <w:tcW w:w="769" w:type="pct"/>
                  <w:vMerge/>
                  <w:tcBorders>
                    <w:top w:val="nil"/>
                    <w:left w:val="single" w:sz="4" w:space="0" w:color="auto"/>
                    <w:bottom w:val="single" w:sz="4" w:space="0" w:color="auto"/>
                    <w:right w:val="single" w:sz="4" w:space="0" w:color="auto"/>
                  </w:tcBorders>
                  <w:vAlign w:val="center"/>
                  <w:hideMark/>
                </w:tcPr>
                <w:p w14:paraId="4670BABD" w14:textId="77777777" w:rsidR="00294169" w:rsidRPr="00915903" w:rsidRDefault="00294169" w:rsidP="00294169">
                  <w:pPr>
                    <w:spacing w:after="0" w:line="240" w:lineRule="auto"/>
                    <w:rPr>
                      <w:rFonts w:eastAsia="Times New Roman" w:cstheme="minorHAnsi"/>
                      <w:b/>
                      <w:bCs/>
                      <w:color w:val="000000"/>
                      <w:szCs w:val="21"/>
                    </w:rPr>
                  </w:pPr>
                </w:p>
              </w:tc>
              <w:tc>
                <w:tcPr>
                  <w:tcW w:w="869" w:type="pct"/>
                  <w:tcBorders>
                    <w:top w:val="nil"/>
                    <w:left w:val="nil"/>
                    <w:bottom w:val="single" w:sz="4" w:space="0" w:color="auto"/>
                    <w:right w:val="single" w:sz="4" w:space="0" w:color="auto"/>
                  </w:tcBorders>
                  <w:shd w:val="clear" w:color="auto" w:fill="auto"/>
                  <w:vAlign w:val="center"/>
                  <w:hideMark/>
                </w:tcPr>
                <w:p w14:paraId="6DB8C038" w14:textId="77777777" w:rsidR="00294169" w:rsidRPr="00915903" w:rsidRDefault="00294169" w:rsidP="00294169">
                  <w:pPr>
                    <w:spacing w:after="0" w:line="240" w:lineRule="auto"/>
                    <w:rPr>
                      <w:rFonts w:eastAsia="Times New Roman" w:cstheme="minorHAnsi"/>
                      <w:color w:val="000000"/>
                      <w:szCs w:val="21"/>
                    </w:rPr>
                  </w:pPr>
                  <w:r w:rsidRPr="00915903">
                    <w:rPr>
                      <w:rFonts w:eastAsia="Times New Roman" w:cstheme="minorHAnsi"/>
                      <w:color w:val="000000"/>
                      <w:szCs w:val="21"/>
                    </w:rPr>
                    <w:t xml:space="preserve">TIMSS </w:t>
                  </w:r>
                </w:p>
              </w:tc>
              <w:tc>
                <w:tcPr>
                  <w:tcW w:w="511" w:type="pct"/>
                  <w:vMerge/>
                  <w:tcBorders>
                    <w:top w:val="nil"/>
                    <w:left w:val="single" w:sz="4" w:space="0" w:color="auto"/>
                    <w:bottom w:val="single" w:sz="4" w:space="0" w:color="auto"/>
                    <w:right w:val="single" w:sz="4" w:space="0" w:color="auto"/>
                  </w:tcBorders>
                  <w:vAlign w:val="center"/>
                  <w:hideMark/>
                </w:tcPr>
                <w:p w14:paraId="63B32332" w14:textId="77777777" w:rsidR="00294169" w:rsidRPr="00915903" w:rsidRDefault="00294169" w:rsidP="00294169">
                  <w:pPr>
                    <w:spacing w:after="0" w:line="240" w:lineRule="auto"/>
                    <w:rPr>
                      <w:rFonts w:eastAsia="Times New Roman" w:cstheme="minorHAnsi"/>
                      <w:color w:val="000000"/>
                      <w:szCs w:val="21"/>
                    </w:rPr>
                  </w:pPr>
                </w:p>
              </w:tc>
              <w:tc>
                <w:tcPr>
                  <w:tcW w:w="918" w:type="pct"/>
                  <w:vMerge/>
                  <w:tcBorders>
                    <w:left w:val="nil"/>
                    <w:bottom w:val="single" w:sz="4" w:space="0" w:color="auto"/>
                    <w:right w:val="single" w:sz="4" w:space="0" w:color="auto"/>
                  </w:tcBorders>
                  <w:shd w:val="clear" w:color="auto" w:fill="auto"/>
                  <w:vAlign w:val="center"/>
                </w:tcPr>
                <w:p w14:paraId="6A5A22EF" w14:textId="77777777" w:rsidR="00294169" w:rsidRPr="00915903" w:rsidRDefault="00294169" w:rsidP="00294169">
                  <w:pPr>
                    <w:spacing w:after="0" w:line="240" w:lineRule="auto"/>
                    <w:rPr>
                      <w:rFonts w:eastAsia="Times New Roman" w:cstheme="minorHAnsi"/>
                      <w:color w:val="000000"/>
                      <w:szCs w:val="21"/>
                    </w:rPr>
                  </w:pPr>
                </w:p>
              </w:tc>
              <w:tc>
                <w:tcPr>
                  <w:tcW w:w="1933" w:type="pct"/>
                  <w:vMerge/>
                  <w:tcBorders>
                    <w:top w:val="nil"/>
                    <w:left w:val="single" w:sz="4" w:space="0" w:color="auto"/>
                    <w:bottom w:val="single" w:sz="4" w:space="0" w:color="auto"/>
                    <w:right w:val="single" w:sz="4" w:space="0" w:color="auto"/>
                  </w:tcBorders>
                  <w:vAlign w:val="center"/>
                  <w:hideMark/>
                </w:tcPr>
                <w:p w14:paraId="1EFB08A3" w14:textId="77777777" w:rsidR="00294169" w:rsidRPr="00915903" w:rsidRDefault="00294169" w:rsidP="00294169">
                  <w:pPr>
                    <w:spacing w:after="0" w:line="240" w:lineRule="auto"/>
                    <w:rPr>
                      <w:rFonts w:eastAsia="Times New Roman" w:cstheme="minorHAnsi"/>
                      <w:color w:val="000000"/>
                      <w:szCs w:val="21"/>
                    </w:rPr>
                  </w:pPr>
                </w:p>
              </w:tc>
            </w:tr>
            <w:tr w:rsidR="00294169" w:rsidRPr="00915903" w14:paraId="23B01A0C" w14:textId="77777777" w:rsidTr="007D1A37">
              <w:trPr>
                <w:trHeight w:val="1020"/>
                <w:jc w:val="center"/>
              </w:trPr>
              <w:tc>
                <w:tcPr>
                  <w:tcW w:w="1638" w:type="pct"/>
                  <w:gridSpan w:val="2"/>
                  <w:tcBorders>
                    <w:top w:val="nil"/>
                    <w:left w:val="single" w:sz="4" w:space="0" w:color="auto"/>
                    <w:bottom w:val="single" w:sz="4" w:space="0" w:color="auto"/>
                    <w:right w:val="single" w:sz="4" w:space="0" w:color="auto"/>
                  </w:tcBorders>
                  <w:shd w:val="clear" w:color="auto" w:fill="auto"/>
                  <w:vAlign w:val="center"/>
                  <w:hideMark/>
                </w:tcPr>
                <w:p w14:paraId="1CC6A48F" w14:textId="77777777" w:rsidR="00294169" w:rsidRPr="002E4396" w:rsidRDefault="00294169" w:rsidP="00294169">
                  <w:pPr>
                    <w:spacing w:after="0" w:line="240" w:lineRule="auto"/>
                    <w:rPr>
                      <w:b/>
                      <w:color w:val="000000"/>
                    </w:rPr>
                  </w:pPr>
                  <w:r w:rsidRPr="002E4396">
                    <w:rPr>
                      <w:b/>
                      <w:color w:val="000000"/>
                    </w:rPr>
                    <w:t>Definition of minimum level until 2018 release</w:t>
                  </w:r>
                </w:p>
              </w:tc>
              <w:tc>
                <w:tcPr>
                  <w:tcW w:w="3362" w:type="pct"/>
                  <w:gridSpan w:val="3"/>
                  <w:tcBorders>
                    <w:top w:val="single" w:sz="4" w:space="0" w:color="auto"/>
                    <w:left w:val="nil"/>
                    <w:bottom w:val="single" w:sz="4" w:space="0" w:color="auto"/>
                    <w:right w:val="single" w:sz="4" w:space="0" w:color="auto"/>
                  </w:tcBorders>
                  <w:shd w:val="clear" w:color="auto" w:fill="auto"/>
                  <w:vAlign w:val="center"/>
                  <w:hideMark/>
                </w:tcPr>
                <w:p w14:paraId="0BA3BDAC" w14:textId="77777777" w:rsidR="00294169" w:rsidRPr="002E4396" w:rsidRDefault="00294169" w:rsidP="00294169">
                  <w:pPr>
                    <w:spacing w:after="0" w:line="240" w:lineRule="auto"/>
                    <w:jc w:val="both"/>
                    <w:rPr>
                      <w:color w:val="000000"/>
                    </w:rPr>
                  </w:pPr>
                  <w:r w:rsidRPr="00915903">
                    <w:rPr>
                      <w:rFonts w:eastAsia="Times New Roman" w:cstheme="minorHAnsi"/>
                      <w:color w:val="000000"/>
                      <w:szCs w:val="21"/>
                    </w:rPr>
                    <w:t>Those</w:t>
                  </w:r>
                  <w:r w:rsidRPr="002E4396">
                    <w:rPr>
                      <w:color w:val="000000"/>
                    </w:rPr>
                    <w:t xml:space="preserve"> defined by each assessment by point of measurement and domain</w:t>
                  </w:r>
                </w:p>
              </w:tc>
            </w:tr>
            <w:tr w:rsidR="00294169" w:rsidRPr="00915903" w14:paraId="7436D246" w14:textId="77777777" w:rsidTr="007D1A37">
              <w:trPr>
                <w:trHeight w:val="1020"/>
                <w:jc w:val="center"/>
              </w:trPr>
              <w:tc>
                <w:tcPr>
                  <w:tcW w:w="1638" w:type="pct"/>
                  <w:gridSpan w:val="2"/>
                  <w:tcBorders>
                    <w:top w:val="nil"/>
                    <w:left w:val="single" w:sz="4" w:space="0" w:color="auto"/>
                    <w:bottom w:val="single" w:sz="4" w:space="0" w:color="auto"/>
                    <w:right w:val="single" w:sz="4" w:space="0" w:color="auto"/>
                  </w:tcBorders>
                  <w:shd w:val="clear" w:color="auto" w:fill="auto"/>
                  <w:vAlign w:val="center"/>
                  <w:hideMark/>
                </w:tcPr>
                <w:p w14:paraId="35E3F86E" w14:textId="77777777" w:rsidR="00294169" w:rsidRPr="002E4396" w:rsidRDefault="00294169" w:rsidP="00294169">
                  <w:pPr>
                    <w:spacing w:after="0" w:line="240" w:lineRule="auto"/>
                    <w:rPr>
                      <w:b/>
                      <w:color w:val="000000"/>
                    </w:rPr>
                  </w:pPr>
                  <w:r w:rsidRPr="002E4396">
                    <w:rPr>
                      <w:b/>
                      <w:color w:val="000000"/>
                    </w:rPr>
                    <w:t xml:space="preserve">Definition of minimum level from 2019 </w:t>
                  </w:r>
                </w:p>
              </w:tc>
              <w:tc>
                <w:tcPr>
                  <w:tcW w:w="3362" w:type="pct"/>
                  <w:gridSpan w:val="3"/>
                  <w:tcBorders>
                    <w:top w:val="single" w:sz="4" w:space="0" w:color="auto"/>
                    <w:left w:val="nil"/>
                    <w:bottom w:val="single" w:sz="4" w:space="0" w:color="auto"/>
                    <w:right w:val="single" w:sz="4" w:space="0" w:color="auto"/>
                  </w:tcBorders>
                  <w:shd w:val="clear" w:color="auto" w:fill="auto"/>
                  <w:vAlign w:val="center"/>
                  <w:hideMark/>
                </w:tcPr>
                <w:p w14:paraId="05BE650A" w14:textId="77777777" w:rsidR="00294169" w:rsidRPr="002E4396" w:rsidRDefault="00294169" w:rsidP="00294169">
                  <w:pPr>
                    <w:spacing w:after="0" w:line="240" w:lineRule="auto"/>
                    <w:jc w:val="both"/>
                    <w:rPr>
                      <w:color w:val="000000"/>
                    </w:rPr>
                  </w:pPr>
                  <w:r w:rsidRPr="002E4396">
                    <w:t>According</w:t>
                  </w:r>
                  <w:r w:rsidRPr="002E4396">
                    <w:rPr>
                      <w:spacing w:val="-5"/>
                    </w:rPr>
                    <w:t xml:space="preserve"> </w:t>
                  </w:r>
                  <w:r w:rsidRPr="002E4396">
                    <w:t>to</w:t>
                  </w:r>
                  <w:r w:rsidRPr="002E4396">
                    <w:rPr>
                      <w:spacing w:val="-5"/>
                    </w:rPr>
                    <w:t xml:space="preserve"> </w:t>
                  </w:r>
                  <w:r w:rsidRPr="002E4396">
                    <w:t>alignment</w:t>
                  </w:r>
                  <w:r w:rsidRPr="002E4396">
                    <w:rPr>
                      <w:spacing w:val="-4"/>
                    </w:rPr>
                    <w:t xml:space="preserve"> </w:t>
                  </w:r>
                  <w:r w:rsidRPr="002E4396">
                    <w:t>as</w:t>
                  </w:r>
                  <w:r w:rsidRPr="002E4396">
                    <w:rPr>
                      <w:spacing w:val="-5"/>
                    </w:rPr>
                    <w:t xml:space="preserve"> </w:t>
                  </w:r>
                  <w:r w:rsidRPr="002E4396">
                    <w:t>adopted</w:t>
                  </w:r>
                  <w:r w:rsidRPr="002E4396">
                    <w:rPr>
                      <w:spacing w:val="-4"/>
                    </w:rPr>
                    <w:t xml:space="preserve"> </w:t>
                  </w:r>
                  <w:r w:rsidRPr="002E4396">
                    <w:t>by</w:t>
                  </w:r>
                  <w:r w:rsidRPr="002E4396">
                    <w:rPr>
                      <w:spacing w:val="-5"/>
                    </w:rPr>
                    <w:t xml:space="preserve"> </w:t>
                  </w:r>
                  <w:r w:rsidRPr="00915903">
                    <w:rPr>
                      <w:rFonts w:cstheme="minorHAnsi"/>
                      <w:szCs w:val="21"/>
                    </w:rPr>
                    <w:t>Global Alliance to Monitoring Learning</w:t>
                  </w:r>
                  <w:r w:rsidRPr="00915903">
                    <w:rPr>
                      <w:rFonts w:eastAsia="Open Sans" w:cstheme="minorHAnsi"/>
                      <w:szCs w:val="21"/>
                    </w:rPr>
                    <w:t xml:space="preserve"> (</w:t>
                  </w:r>
                  <w:hyperlink r:id="rId10" w:history="1">
                    <w:r w:rsidRPr="00915903">
                      <w:rPr>
                        <w:rStyle w:val="Hyperlink"/>
                        <w:rFonts w:eastAsia="Open Sans" w:cstheme="minorHAnsi"/>
                      </w:rPr>
                      <w:t>GAML</w:t>
                    </w:r>
                  </w:hyperlink>
                  <w:r w:rsidRPr="00915903">
                    <w:rPr>
                      <w:rFonts w:eastAsia="Open Sans" w:cstheme="minorHAnsi"/>
                      <w:szCs w:val="21"/>
                    </w:rPr>
                    <w:t>)</w:t>
                  </w:r>
                  <w:r w:rsidRPr="002E4396">
                    <w:rPr>
                      <w:spacing w:val="-4"/>
                    </w:rPr>
                    <w:t xml:space="preserve"> </w:t>
                  </w:r>
                  <w:r w:rsidRPr="002E4396">
                    <w:t>and</w:t>
                  </w:r>
                  <w:r w:rsidRPr="002E4396">
                    <w:rPr>
                      <w:spacing w:val="-5"/>
                    </w:rPr>
                    <w:t xml:space="preserve"> </w:t>
                  </w:r>
                  <w:r w:rsidRPr="00915903">
                    <w:rPr>
                      <w:rFonts w:cstheme="minorHAnsi"/>
                      <w:szCs w:val="21"/>
                    </w:rPr>
                    <w:t>Technical Cooperation Group</w:t>
                  </w:r>
                  <w:r w:rsidRPr="00915903">
                    <w:rPr>
                      <w:rFonts w:eastAsia="Open Sans" w:cstheme="minorHAnsi"/>
                      <w:spacing w:val="-5"/>
                      <w:szCs w:val="21"/>
                    </w:rPr>
                    <w:t xml:space="preserve"> (</w:t>
                  </w:r>
                  <w:hyperlink r:id="rId11" w:history="1">
                    <w:r w:rsidRPr="00915903">
                      <w:rPr>
                        <w:rStyle w:val="Hyperlink"/>
                        <w:rFonts w:eastAsia="Open Sans" w:cstheme="minorHAnsi"/>
                      </w:rPr>
                      <w:t>TCG</w:t>
                    </w:r>
                  </w:hyperlink>
                  <w:r w:rsidRPr="00915903">
                    <w:rPr>
                      <w:rFonts w:eastAsia="Open Sans" w:cstheme="minorHAnsi"/>
                      <w:szCs w:val="21"/>
                    </w:rPr>
                    <w:t>)</w:t>
                  </w:r>
                </w:p>
              </w:tc>
            </w:tr>
            <w:tr w:rsidR="00294169" w:rsidRPr="00915903" w14:paraId="3F96FFF7" w14:textId="77777777" w:rsidTr="007D1A37">
              <w:trPr>
                <w:trHeight w:val="1020"/>
                <w:jc w:val="center"/>
              </w:trPr>
              <w:tc>
                <w:tcPr>
                  <w:tcW w:w="1638" w:type="pct"/>
                  <w:gridSpan w:val="2"/>
                  <w:tcBorders>
                    <w:top w:val="nil"/>
                    <w:left w:val="single" w:sz="4" w:space="0" w:color="auto"/>
                    <w:bottom w:val="single" w:sz="4" w:space="0" w:color="auto"/>
                    <w:right w:val="single" w:sz="4" w:space="0" w:color="auto"/>
                  </w:tcBorders>
                  <w:shd w:val="clear" w:color="auto" w:fill="auto"/>
                  <w:vAlign w:val="center"/>
                </w:tcPr>
                <w:p w14:paraId="762DB69F" w14:textId="77777777" w:rsidR="00294169" w:rsidRPr="00915903" w:rsidRDefault="00294169" w:rsidP="00294169">
                  <w:pPr>
                    <w:spacing w:after="0" w:line="240" w:lineRule="auto"/>
                    <w:rPr>
                      <w:rFonts w:eastAsia="Times New Roman" w:cstheme="minorHAnsi"/>
                      <w:b/>
                      <w:bCs/>
                      <w:szCs w:val="21"/>
                    </w:rPr>
                  </w:pPr>
                  <w:r w:rsidRPr="00915903">
                    <w:rPr>
                      <w:rFonts w:eastAsia="Times New Roman" w:cstheme="minorHAnsi"/>
                      <w:b/>
                      <w:bCs/>
                      <w:szCs w:val="21"/>
                    </w:rPr>
                    <w:t>Grade for end of primary and end of lower secondary</w:t>
                  </w:r>
                </w:p>
              </w:tc>
              <w:tc>
                <w:tcPr>
                  <w:tcW w:w="3362" w:type="pct"/>
                  <w:gridSpan w:val="3"/>
                  <w:tcBorders>
                    <w:top w:val="single" w:sz="4" w:space="0" w:color="auto"/>
                    <w:left w:val="nil"/>
                    <w:bottom w:val="single" w:sz="4" w:space="0" w:color="auto"/>
                    <w:right w:val="single" w:sz="4" w:space="0" w:color="auto"/>
                  </w:tcBorders>
                  <w:shd w:val="clear" w:color="auto" w:fill="auto"/>
                  <w:vAlign w:val="center"/>
                </w:tcPr>
                <w:p w14:paraId="52C3E0E1" w14:textId="77777777" w:rsidR="00294169" w:rsidRPr="00915903" w:rsidRDefault="00294169" w:rsidP="00294169">
                  <w:pPr>
                    <w:spacing w:after="0" w:line="240" w:lineRule="auto"/>
                    <w:rPr>
                      <w:rFonts w:eastAsia="Times New Roman" w:cstheme="minorHAnsi"/>
                      <w:szCs w:val="21"/>
                    </w:rPr>
                  </w:pPr>
                  <w:r w:rsidRPr="00915903">
                    <w:rPr>
                      <w:rFonts w:eastAsia="Times New Roman" w:cstheme="minorHAnsi"/>
                      <w:szCs w:val="21"/>
                    </w:rPr>
                    <w:t>As defined by the ISCED levels in each country</w:t>
                  </w:r>
                </w:p>
              </w:tc>
            </w:tr>
            <w:tr w:rsidR="00294169" w:rsidRPr="00915903" w14:paraId="0713BA6D" w14:textId="77777777" w:rsidTr="007D1A37">
              <w:trPr>
                <w:trHeight w:val="300"/>
                <w:jc w:val="center"/>
              </w:trPr>
              <w:tc>
                <w:tcPr>
                  <w:tcW w:w="1638" w:type="pct"/>
                  <w:gridSpan w:val="2"/>
                  <w:tcBorders>
                    <w:top w:val="nil"/>
                    <w:left w:val="single" w:sz="4" w:space="0" w:color="auto"/>
                    <w:bottom w:val="single" w:sz="4" w:space="0" w:color="auto"/>
                    <w:right w:val="single" w:sz="4" w:space="0" w:color="auto"/>
                  </w:tcBorders>
                  <w:shd w:val="clear" w:color="auto" w:fill="auto"/>
                  <w:vAlign w:val="center"/>
                  <w:hideMark/>
                </w:tcPr>
                <w:p w14:paraId="1EE6739C" w14:textId="77777777" w:rsidR="00294169" w:rsidRPr="002E4396" w:rsidRDefault="00294169" w:rsidP="00294169">
                  <w:pPr>
                    <w:spacing w:after="0" w:line="240" w:lineRule="auto"/>
                    <w:rPr>
                      <w:b/>
                    </w:rPr>
                  </w:pPr>
                  <w:r w:rsidRPr="002E4396">
                    <w:rPr>
                      <w:b/>
                    </w:rPr>
                    <w:t xml:space="preserve">Validation </w:t>
                  </w:r>
                </w:p>
              </w:tc>
              <w:tc>
                <w:tcPr>
                  <w:tcW w:w="3362" w:type="pct"/>
                  <w:gridSpan w:val="3"/>
                  <w:tcBorders>
                    <w:top w:val="single" w:sz="4" w:space="0" w:color="auto"/>
                    <w:left w:val="nil"/>
                    <w:bottom w:val="single" w:sz="4" w:space="0" w:color="auto"/>
                    <w:right w:val="single" w:sz="4" w:space="0" w:color="auto"/>
                  </w:tcBorders>
                  <w:shd w:val="clear" w:color="auto" w:fill="auto"/>
                  <w:vAlign w:val="center"/>
                  <w:hideMark/>
                </w:tcPr>
                <w:p w14:paraId="09EDE917" w14:textId="77777777" w:rsidR="00294169" w:rsidRPr="002E4396" w:rsidRDefault="00294169" w:rsidP="00294169">
                  <w:pPr>
                    <w:spacing w:after="0" w:line="240" w:lineRule="auto"/>
                    <w:jc w:val="both"/>
                  </w:pPr>
                  <w:r w:rsidRPr="002E4396">
                    <w:t>Sent from UIS for countries’ approval</w:t>
                  </w:r>
                </w:p>
              </w:tc>
            </w:tr>
          </w:tbl>
          <w:p w14:paraId="1EE62008" w14:textId="36C88EF4" w:rsidR="006220A3" w:rsidRPr="00C22F94" w:rsidRDefault="006220A3" w:rsidP="00E16D61">
            <w:pPr>
              <w:pStyle w:val="MText"/>
              <w:rPr>
                <w:rFonts w:cstheme="minorHAnsi"/>
              </w:rPr>
            </w:pPr>
          </w:p>
        </w:tc>
      </w:tr>
      <w:tr w:rsidR="00AB65AE" w:rsidRPr="004D68B6" w14:paraId="3B40BCFD" w14:textId="77777777" w:rsidTr="00E16D61">
        <w:tc>
          <w:tcPr>
            <w:tcW w:w="1080"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920" w:type="pct"/>
            <w:tcBorders>
              <w:top w:val="nil"/>
              <w:left w:val="nil"/>
              <w:bottom w:val="single" w:sz="4" w:space="0" w:color="auto"/>
              <w:right w:val="single" w:sz="4" w:space="0" w:color="auto"/>
            </w:tcBorders>
            <w:shd w:val="clear" w:color="auto" w:fill="auto"/>
          </w:tcPr>
          <w:p w14:paraId="1A852376" w14:textId="77777777" w:rsidR="00C7123B" w:rsidRDefault="00C7123B" w:rsidP="005F6521">
            <w:pPr>
              <w:pStyle w:val="MSubHeader"/>
            </w:pPr>
            <w:r>
              <w:t>Collection process:</w:t>
            </w:r>
          </w:p>
          <w:p w14:paraId="0136E6C1" w14:textId="654BC7E8" w:rsidR="00AB65AE" w:rsidRPr="00C7123B" w:rsidRDefault="00C7123B" w:rsidP="00E16D61">
            <w:pPr>
              <w:pStyle w:val="MText"/>
            </w:pPr>
            <w:r>
              <w:t>Information not available.</w:t>
            </w:r>
          </w:p>
        </w:tc>
      </w:tr>
      <w:tr w:rsidR="00AB65AE" w:rsidRPr="004D68B6" w14:paraId="3C55D22E" w14:textId="77777777" w:rsidTr="00E16D61">
        <w:tc>
          <w:tcPr>
            <w:tcW w:w="1080" w:type="pct"/>
            <w:tcBorders>
              <w:top w:val="nil"/>
              <w:left w:val="nil"/>
              <w:bottom w:val="single" w:sz="4" w:space="0" w:color="auto"/>
              <w:right w:val="single" w:sz="4" w:space="0" w:color="auto"/>
            </w:tcBorders>
            <w:shd w:val="clear" w:color="auto" w:fill="E7E6E6" w:themeFill="background2"/>
            <w:hideMark/>
          </w:tcPr>
          <w:p w14:paraId="18F7084A" w14:textId="7CCB00E6" w:rsidR="00AB65AE" w:rsidRPr="004D68B6" w:rsidRDefault="00AB65AE" w:rsidP="00EC064B">
            <w:pPr>
              <w:spacing w:after="0" w:line="240" w:lineRule="auto"/>
              <w:rPr>
                <w:rFonts w:ascii="Calibri" w:eastAsia="Times New Roman" w:hAnsi="Calibri" w:cs="Calibri"/>
                <w:color w:val="000000"/>
              </w:rPr>
            </w:pPr>
            <w:r w:rsidRPr="00FA20D9">
              <w:t>3.</w:t>
            </w:r>
            <w:r w:rsidR="005F6521">
              <w:t>c</w:t>
            </w:r>
            <w:r w:rsidRPr="00FA20D9">
              <w:t>. Data collection calendar</w:t>
            </w:r>
          </w:p>
        </w:tc>
        <w:tc>
          <w:tcPr>
            <w:tcW w:w="3920" w:type="pct"/>
            <w:tcBorders>
              <w:top w:val="nil"/>
              <w:left w:val="nil"/>
              <w:bottom w:val="single" w:sz="4" w:space="0" w:color="auto"/>
              <w:right w:val="single" w:sz="4" w:space="0" w:color="auto"/>
            </w:tcBorders>
            <w:shd w:val="clear" w:color="auto" w:fill="auto"/>
          </w:tcPr>
          <w:p w14:paraId="07293AB0" w14:textId="77777777" w:rsidR="00B55293" w:rsidRDefault="00B55293" w:rsidP="005F6521">
            <w:pPr>
              <w:pStyle w:val="MHeader"/>
            </w:pPr>
            <w:r>
              <w:t>Calendar</w:t>
            </w:r>
          </w:p>
          <w:p w14:paraId="1B11BC84" w14:textId="77777777" w:rsidR="00B55293" w:rsidRDefault="00B55293" w:rsidP="005F6521">
            <w:pPr>
              <w:pStyle w:val="MSubHeader"/>
            </w:pPr>
            <w:r>
              <w:t>Data collection:</w:t>
            </w:r>
          </w:p>
          <w:p w14:paraId="5805C371" w14:textId="1D27C4D2" w:rsidR="00AB65AE" w:rsidRPr="00B55293" w:rsidRDefault="00B55293" w:rsidP="005F6521">
            <w:pPr>
              <w:pStyle w:val="MText"/>
            </w:pPr>
            <w:r>
              <w:t>Data collection is ongoing.</w:t>
            </w:r>
          </w:p>
        </w:tc>
      </w:tr>
      <w:tr w:rsidR="00AB65AE" w:rsidRPr="004D68B6" w14:paraId="1F090CCB" w14:textId="77777777" w:rsidTr="00E16D61">
        <w:tc>
          <w:tcPr>
            <w:tcW w:w="1080" w:type="pct"/>
            <w:tcBorders>
              <w:top w:val="nil"/>
              <w:left w:val="nil"/>
              <w:bottom w:val="single" w:sz="4" w:space="0" w:color="auto"/>
              <w:right w:val="single" w:sz="4" w:space="0" w:color="auto"/>
            </w:tcBorders>
            <w:shd w:val="clear" w:color="auto" w:fill="E7E6E6" w:themeFill="background2"/>
            <w:hideMark/>
          </w:tcPr>
          <w:p w14:paraId="48809FCF" w14:textId="5EF13C3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5F6521">
              <w:rPr>
                <w:rFonts w:ascii="Calibri" w:eastAsia="Times New Roman" w:hAnsi="Calibri" w:cs="Calibri"/>
              </w:rPr>
              <w:t>d</w:t>
            </w:r>
            <w:r w:rsidRPr="00FA20D9">
              <w:rPr>
                <w:rFonts w:ascii="Calibri" w:eastAsia="Times New Roman" w:hAnsi="Calibri" w:cs="Calibri"/>
              </w:rPr>
              <w:t>. Data release calendar</w:t>
            </w:r>
          </w:p>
        </w:tc>
        <w:tc>
          <w:tcPr>
            <w:tcW w:w="3920" w:type="pct"/>
            <w:tcBorders>
              <w:top w:val="nil"/>
              <w:left w:val="nil"/>
              <w:bottom w:val="single" w:sz="4" w:space="0" w:color="auto"/>
              <w:right w:val="single" w:sz="4" w:space="0" w:color="auto"/>
            </w:tcBorders>
            <w:shd w:val="clear" w:color="auto" w:fill="auto"/>
          </w:tcPr>
          <w:p w14:paraId="62A8AC82" w14:textId="77777777" w:rsidR="00B55293" w:rsidRDefault="00B55293" w:rsidP="005F6521">
            <w:pPr>
              <w:pStyle w:val="MSubHeader"/>
            </w:pPr>
            <w:r>
              <w:t>Data release:</w:t>
            </w:r>
          </w:p>
          <w:p w14:paraId="097FA4BD" w14:textId="4FAD68D2" w:rsidR="00AB65AE" w:rsidRPr="003525CD" w:rsidRDefault="00B55293" w:rsidP="005F6521">
            <w:pPr>
              <w:pStyle w:val="MText"/>
              <w:rPr>
                <w:rFonts w:cstheme="minorHAnsi"/>
              </w:rPr>
            </w:pPr>
            <w:r>
              <w:t>February 20</w:t>
            </w:r>
            <w:r w:rsidR="00884BB8">
              <w:t>20</w:t>
            </w:r>
          </w:p>
        </w:tc>
      </w:tr>
      <w:tr w:rsidR="00AB65AE" w:rsidRPr="004D68B6" w14:paraId="23032B88" w14:textId="77777777" w:rsidTr="00E16D61">
        <w:tc>
          <w:tcPr>
            <w:tcW w:w="1080" w:type="pct"/>
            <w:tcBorders>
              <w:top w:val="nil"/>
              <w:left w:val="nil"/>
              <w:bottom w:val="single" w:sz="4" w:space="0" w:color="auto"/>
              <w:right w:val="single" w:sz="4" w:space="0" w:color="auto"/>
            </w:tcBorders>
            <w:shd w:val="clear" w:color="auto" w:fill="E7E6E6" w:themeFill="background2"/>
            <w:hideMark/>
          </w:tcPr>
          <w:p w14:paraId="6097F3A5" w14:textId="5ACB5ED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F6521">
              <w:rPr>
                <w:rFonts w:ascii="Calibri" w:eastAsia="Times New Roman" w:hAnsi="Calibri" w:cs="Calibri"/>
              </w:rPr>
              <w:t>e</w:t>
            </w:r>
            <w:r w:rsidRPr="00FA20D9">
              <w:rPr>
                <w:rFonts w:ascii="Calibri" w:eastAsia="Times New Roman" w:hAnsi="Calibri" w:cs="Calibri"/>
              </w:rPr>
              <w:t>. Data providers</w:t>
            </w:r>
          </w:p>
        </w:tc>
        <w:tc>
          <w:tcPr>
            <w:tcW w:w="3920" w:type="pct"/>
            <w:tcBorders>
              <w:top w:val="nil"/>
              <w:left w:val="nil"/>
              <w:bottom w:val="single" w:sz="4" w:space="0" w:color="auto"/>
              <w:right w:val="single" w:sz="4" w:space="0" w:color="auto"/>
            </w:tcBorders>
            <w:shd w:val="clear" w:color="auto" w:fill="auto"/>
          </w:tcPr>
          <w:p w14:paraId="47BFA040" w14:textId="77777777" w:rsidR="00F807A5" w:rsidRDefault="00F807A5" w:rsidP="005F6521">
            <w:pPr>
              <w:pStyle w:val="MHeader"/>
            </w:pPr>
            <w:r>
              <w:t>Data providers</w:t>
            </w:r>
          </w:p>
          <w:p w14:paraId="1D73924A" w14:textId="485DF297" w:rsidR="00F807A5" w:rsidRPr="005F6521" w:rsidRDefault="00F807A5" w:rsidP="005F6521">
            <w:pPr>
              <w:pStyle w:val="MText"/>
              <w:rPr>
                <w:b/>
                <w:bCs/>
              </w:rPr>
            </w:pPr>
            <w:r w:rsidRPr="005F6521">
              <w:rPr>
                <w:b/>
                <w:bCs/>
              </w:rPr>
              <w:t>School Based</w:t>
            </w:r>
            <w:r w:rsidR="00884BB8">
              <w:rPr>
                <w:b/>
                <w:bCs/>
              </w:rPr>
              <w:t xml:space="preserve"> assessments</w:t>
            </w:r>
          </w:p>
          <w:p w14:paraId="75BFEEF5" w14:textId="7F6C34CD" w:rsidR="00F807A5" w:rsidRDefault="00F807A5" w:rsidP="00F807A5">
            <w:pPr>
              <w:pStyle w:val="MText"/>
              <w:numPr>
                <w:ilvl w:val="0"/>
                <w:numId w:val="25"/>
              </w:numPr>
              <w:ind w:left="375"/>
            </w:pPr>
            <w:r>
              <w:rPr>
                <w:u w:val="single"/>
              </w:rPr>
              <w:t xml:space="preserve">International </w:t>
            </w:r>
            <w:proofErr w:type="gramStart"/>
            <w:r>
              <w:rPr>
                <w:u w:val="single"/>
              </w:rPr>
              <w:t>Large Scale</w:t>
            </w:r>
            <w:proofErr w:type="gramEnd"/>
            <w:r>
              <w:rPr>
                <w:u w:val="single"/>
              </w:rPr>
              <w:t xml:space="preserve"> Assessments</w:t>
            </w:r>
            <w:r>
              <w:t xml:space="preserve"> are reported to the UIS by cross-national organisations (LLECE, PASEC, TIMSS, and PIRLS). Typically, </w:t>
            </w:r>
            <w:proofErr w:type="gramStart"/>
            <w:r>
              <w:t>Cross National Large Scale</w:t>
            </w:r>
            <w:proofErr w:type="gramEnd"/>
            <w:r>
              <w:t xml:space="preserve"> Assessment, either regional or international, define various performance levels, and report as well the mean and standard deviation. They choose as well one level as the cut-off point that defines what children/youth are below or above level.</w:t>
            </w:r>
          </w:p>
          <w:p w14:paraId="7532AA02" w14:textId="77777777" w:rsidR="006F764C" w:rsidRDefault="006F764C" w:rsidP="00E16D61">
            <w:pPr>
              <w:pStyle w:val="MText"/>
              <w:ind w:left="375"/>
            </w:pPr>
          </w:p>
          <w:p w14:paraId="45B75AD3" w14:textId="299976B8" w:rsidR="006F764C" w:rsidRPr="00E16D61" w:rsidRDefault="006F764C" w:rsidP="00E16D61">
            <w:pPr>
              <w:pStyle w:val="MText"/>
              <w:numPr>
                <w:ilvl w:val="0"/>
                <w:numId w:val="25"/>
              </w:numPr>
              <w:ind w:left="375"/>
              <w:rPr>
                <w:u w:val="single"/>
              </w:rPr>
            </w:pPr>
            <w:r w:rsidRPr="00E16D61">
              <w:rPr>
                <w:u w:val="single"/>
              </w:rPr>
              <w:t>Regional assessments</w:t>
            </w:r>
            <w:r w:rsidRPr="00E16D61">
              <w:t>: PASEC, SACMEQ, ERCE, PILNA, SEAMEO.</w:t>
            </w:r>
          </w:p>
          <w:p w14:paraId="549E9406" w14:textId="77777777" w:rsidR="006F764C" w:rsidRDefault="006F764C" w:rsidP="00F807A5">
            <w:pPr>
              <w:pStyle w:val="MText"/>
              <w:ind w:left="375"/>
            </w:pPr>
          </w:p>
          <w:p w14:paraId="5F3F112E" w14:textId="34DB0383" w:rsidR="00F807A5" w:rsidRDefault="00F807A5" w:rsidP="00F807A5">
            <w:pPr>
              <w:pStyle w:val="MText"/>
              <w:numPr>
                <w:ilvl w:val="0"/>
                <w:numId w:val="25"/>
              </w:numPr>
              <w:ind w:left="375"/>
            </w:pPr>
            <w:r>
              <w:rPr>
                <w:u w:val="single"/>
              </w:rPr>
              <w:t>National Large-Scale Assessments</w:t>
            </w:r>
            <w:r>
              <w:t xml:space="preserve"> either sample- or census- based. Countries should report the proportion of students by level of competency for each domain indicating as well the minimum proficiency level, when it is defined by the national assessment. EGRA and EGMA as reported by USAID or individual countries. </w:t>
            </w:r>
          </w:p>
          <w:p w14:paraId="11830C5F" w14:textId="77777777" w:rsidR="00F807A5" w:rsidRDefault="00F807A5" w:rsidP="00F807A5">
            <w:pPr>
              <w:pStyle w:val="MText"/>
              <w:ind w:left="720"/>
            </w:pPr>
          </w:p>
          <w:p w14:paraId="6B7E593F" w14:textId="3AEA39CD" w:rsidR="00F807A5" w:rsidRDefault="00F807A5" w:rsidP="00F807A5">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Household-Based</w:t>
            </w:r>
            <w:r w:rsidR="006F764C">
              <w:rPr>
                <w:rFonts w:eastAsia="Times New Roman" w:cs="Times New Roman"/>
                <w:b/>
                <w:bCs/>
                <w:color w:val="4A4A4A"/>
                <w:sz w:val="21"/>
                <w:szCs w:val="21"/>
                <w:lang w:eastAsia="en-GB"/>
              </w:rPr>
              <w:t xml:space="preserve"> survey</w:t>
            </w:r>
          </w:p>
          <w:p w14:paraId="6932C3B0" w14:textId="6164CCFD" w:rsidR="00F807A5" w:rsidRDefault="00F807A5" w:rsidP="00F807A5">
            <w:pPr>
              <w:pStyle w:val="ListParagraph"/>
              <w:numPr>
                <w:ilvl w:val="0"/>
                <w:numId w:val="23"/>
              </w:numPr>
              <w:shd w:val="clear" w:color="auto" w:fill="FFFFFF"/>
              <w:spacing w:after="0"/>
              <w:ind w:left="375"/>
              <w:rPr>
                <w:rFonts w:eastAsia="Times New Roman" w:cs="Times New Roman"/>
                <w:color w:val="4A4A4A"/>
                <w:sz w:val="21"/>
                <w:szCs w:val="21"/>
                <w:lang w:eastAsia="en-GB"/>
              </w:rPr>
            </w:pPr>
            <w:r>
              <w:rPr>
                <w:rFonts w:eastAsia="Times New Roman" w:cs="Times New Roman"/>
                <w:color w:val="4A4A4A"/>
                <w:sz w:val="21"/>
                <w:szCs w:val="21"/>
                <w:lang w:eastAsia="en-GB"/>
              </w:rPr>
              <w:t>MICS6: reported to the UIS by UNICEF</w:t>
            </w:r>
          </w:p>
          <w:p w14:paraId="7318E6F1" w14:textId="77777777" w:rsidR="00D56E0E" w:rsidRDefault="00D56E0E" w:rsidP="00E16D61">
            <w:pPr>
              <w:pStyle w:val="ListParagraph"/>
              <w:shd w:val="clear" w:color="auto" w:fill="FFFFFF"/>
              <w:spacing w:after="0"/>
              <w:ind w:left="375"/>
              <w:rPr>
                <w:rFonts w:eastAsia="Times New Roman" w:cs="Times New Roman"/>
                <w:color w:val="4A4A4A"/>
                <w:sz w:val="21"/>
                <w:szCs w:val="21"/>
                <w:lang w:eastAsia="en-GB"/>
              </w:rPr>
            </w:pPr>
          </w:p>
          <w:p w14:paraId="406AF515" w14:textId="23477FC2" w:rsidR="00AB65AE" w:rsidRPr="00F807A5" w:rsidRDefault="00F807A5" w:rsidP="00F807A5">
            <w:pPr>
              <w:pStyle w:val="ListParagraph"/>
              <w:numPr>
                <w:ilvl w:val="0"/>
                <w:numId w:val="23"/>
              </w:numPr>
              <w:shd w:val="clear" w:color="auto" w:fill="FFFFFF"/>
              <w:spacing w:after="0"/>
              <w:ind w:left="375"/>
              <w:rPr>
                <w:rFonts w:eastAsia="Times New Roman" w:cs="Times New Roman"/>
                <w:color w:val="4A4A4A"/>
                <w:sz w:val="21"/>
                <w:szCs w:val="21"/>
                <w:lang w:eastAsia="en-GB"/>
              </w:rPr>
            </w:pPr>
            <w:r>
              <w:rPr>
                <w:rFonts w:eastAsia="Times New Roman" w:cs="Times New Roman"/>
                <w:color w:val="4A4A4A"/>
                <w:sz w:val="21"/>
                <w:szCs w:val="21"/>
                <w:lang w:eastAsia="en-GB"/>
              </w:rPr>
              <w:t xml:space="preserve">Pal </w:t>
            </w:r>
            <w:r w:rsidR="006F764C">
              <w:rPr>
                <w:rFonts w:eastAsia="Times New Roman" w:cs="Times New Roman"/>
                <w:color w:val="4A4A4A"/>
                <w:sz w:val="21"/>
                <w:szCs w:val="21"/>
                <w:lang w:eastAsia="en-GB"/>
              </w:rPr>
              <w:t>N</w:t>
            </w:r>
            <w:r>
              <w:rPr>
                <w:rFonts w:eastAsia="Times New Roman" w:cs="Times New Roman"/>
                <w:color w:val="4A4A4A"/>
                <w:sz w:val="21"/>
                <w:szCs w:val="21"/>
                <w:lang w:eastAsia="en-GB"/>
              </w:rPr>
              <w:t xml:space="preserve">etwork: reported to the UIS by Pal </w:t>
            </w:r>
            <w:r w:rsidR="006F764C">
              <w:rPr>
                <w:rFonts w:eastAsia="Times New Roman" w:cs="Times New Roman"/>
                <w:color w:val="4A4A4A"/>
                <w:sz w:val="21"/>
                <w:szCs w:val="21"/>
                <w:lang w:eastAsia="en-GB"/>
              </w:rPr>
              <w:t>N</w:t>
            </w:r>
            <w:r>
              <w:rPr>
                <w:rFonts w:eastAsia="Times New Roman" w:cs="Times New Roman"/>
                <w:color w:val="4A4A4A"/>
                <w:sz w:val="21"/>
                <w:szCs w:val="21"/>
                <w:lang w:eastAsia="en-GB"/>
              </w:rPr>
              <w:t>etwork</w:t>
            </w:r>
          </w:p>
        </w:tc>
      </w:tr>
      <w:tr w:rsidR="00AB65AE" w:rsidRPr="004D68B6" w14:paraId="72B5EFD2" w14:textId="77777777" w:rsidTr="00E16D61">
        <w:tc>
          <w:tcPr>
            <w:tcW w:w="1080" w:type="pct"/>
            <w:tcBorders>
              <w:top w:val="nil"/>
              <w:left w:val="nil"/>
              <w:bottom w:val="single" w:sz="4" w:space="0" w:color="auto"/>
              <w:right w:val="single" w:sz="4" w:space="0" w:color="auto"/>
            </w:tcBorders>
            <w:shd w:val="clear" w:color="auto" w:fill="E7E6E6" w:themeFill="background2"/>
            <w:hideMark/>
          </w:tcPr>
          <w:p w14:paraId="491EAE7F" w14:textId="591597E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F6521">
              <w:rPr>
                <w:rFonts w:ascii="Calibri" w:eastAsia="Times New Roman" w:hAnsi="Calibri" w:cs="Calibri"/>
              </w:rPr>
              <w:t>f</w:t>
            </w:r>
            <w:r w:rsidRPr="00FA20D9">
              <w:rPr>
                <w:rFonts w:ascii="Calibri" w:eastAsia="Times New Roman" w:hAnsi="Calibri" w:cs="Calibri"/>
              </w:rPr>
              <w:t>. Data compilers</w:t>
            </w:r>
          </w:p>
        </w:tc>
        <w:tc>
          <w:tcPr>
            <w:tcW w:w="3920" w:type="pct"/>
            <w:tcBorders>
              <w:top w:val="nil"/>
              <w:left w:val="nil"/>
              <w:bottom w:val="single" w:sz="4" w:space="0" w:color="auto"/>
              <w:right w:val="single" w:sz="4" w:space="0" w:color="auto"/>
            </w:tcBorders>
            <w:shd w:val="clear" w:color="auto" w:fill="auto"/>
          </w:tcPr>
          <w:p w14:paraId="7203B64D" w14:textId="77777777" w:rsidR="007C0F00" w:rsidRDefault="007C0F00" w:rsidP="005F6521">
            <w:pPr>
              <w:pStyle w:val="MHeader"/>
            </w:pPr>
            <w:r>
              <w:t>Data compilers</w:t>
            </w:r>
          </w:p>
          <w:p w14:paraId="39191C53" w14:textId="766752CF" w:rsidR="00AB65AE" w:rsidRPr="007C0F00" w:rsidRDefault="007C0F00" w:rsidP="005F6521">
            <w:pPr>
              <w:pStyle w:val="MText"/>
            </w:pPr>
            <w:r>
              <w:t>UNESCO Institute of Statistics (UIS)</w:t>
            </w:r>
          </w:p>
        </w:tc>
      </w:tr>
      <w:tr w:rsidR="00AB65AE" w:rsidRPr="004D68B6" w14:paraId="568B18DC" w14:textId="77777777" w:rsidTr="00E16D61">
        <w:tc>
          <w:tcPr>
            <w:tcW w:w="1080" w:type="pct"/>
            <w:tcBorders>
              <w:top w:val="nil"/>
              <w:left w:val="nil"/>
              <w:bottom w:val="single" w:sz="4" w:space="0" w:color="auto"/>
              <w:right w:val="single" w:sz="4" w:space="0" w:color="auto"/>
            </w:tcBorders>
            <w:shd w:val="clear" w:color="auto" w:fill="E7E6E6" w:themeFill="background2"/>
            <w:hideMark/>
          </w:tcPr>
          <w:p w14:paraId="4327435A" w14:textId="3ED24FB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F6521">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920"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4" w:name="_Toc36655612"/>
            <w:bookmarkStart w:id="25" w:name="_Toc36812575"/>
            <w:bookmarkStart w:id="26" w:name="_Toc36812688"/>
            <w:bookmarkStart w:id="27" w:name="_Toc36813075"/>
            <w:r w:rsidRPr="007A28BA">
              <w:t>4</w:t>
            </w:r>
            <w:r w:rsidR="00F96E8D" w:rsidRPr="007A28BA">
              <w:t>. Other methodological considerations</w:t>
            </w:r>
            <w:bookmarkEnd w:id="24"/>
            <w:bookmarkEnd w:id="25"/>
            <w:bookmarkEnd w:id="26"/>
            <w:bookmarkEnd w:id="27"/>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C66557" w14:textId="77777777" w:rsidR="00067546" w:rsidRDefault="00067546" w:rsidP="001F4F46">
            <w:pPr>
              <w:pStyle w:val="MSubHeader"/>
            </w:pPr>
            <w:r>
              <w:t>Rationale:</w:t>
            </w:r>
          </w:p>
          <w:p w14:paraId="1A53BF16" w14:textId="68E51E97" w:rsidR="00FF67F5" w:rsidRDefault="00FF67F5" w:rsidP="00E16886">
            <w:pPr>
              <w:pStyle w:val="MText"/>
            </w:pPr>
            <w:r w:rsidRPr="00344B83">
              <w:t>The indicator aims to measure the percentage of children and young people who have achieved the minimum learning outcomes in reading and mathematics during or at the end of the relevant stages of education.</w:t>
            </w:r>
          </w:p>
          <w:p w14:paraId="38D37EF7" w14:textId="77777777" w:rsidR="00E16886" w:rsidRDefault="00E16886" w:rsidP="00E16D61">
            <w:pPr>
              <w:pStyle w:val="MText"/>
            </w:pPr>
          </w:p>
          <w:p w14:paraId="6F5859B0" w14:textId="2FBDAAF1" w:rsidR="007C63C4" w:rsidRPr="00067546" w:rsidRDefault="00067546" w:rsidP="00E16D61">
            <w:pPr>
              <w:pStyle w:val="MText"/>
            </w:pPr>
            <w:r>
              <w:lastRenderedPageBreak/>
              <w:t>The higher the figure the higher the proportion of children and/or young people reaching at least minimum proficiency in the respective domain (reading or mathematic) with the limitations indicated under the “Comments and limitations” section.</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AB130E5" w14:textId="77777777" w:rsidR="00067546" w:rsidRDefault="00067546" w:rsidP="001F4F46">
            <w:pPr>
              <w:pStyle w:val="MSubHeader"/>
            </w:pPr>
            <w:r>
              <w:t>Comments and limitations:</w:t>
            </w:r>
          </w:p>
          <w:p w14:paraId="57AFF013" w14:textId="1B785D1F" w:rsidR="00E16886" w:rsidRDefault="00067546" w:rsidP="00E16886">
            <w:pPr>
              <w:pStyle w:val="MText"/>
            </w:pPr>
            <w:r>
              <w:t xml:space="preserve">Learning outcomes from cross-national learning assessment are </w:t>
            </w:r>
            <w:r w:rsidR="00E16886">
              <w:t xml:space="preserve">directly </w:t>
            </w:r>
            <w:r>
              <w:t xml:space="preserve">comparable for </w:t>
            </w:r>
            <w:r w:rsidR="00E16886">
              <w:t xml:space="preserve">all </w:t>
            </w:r>
            <w:r>
              <w:t>countries which participated in the same cross-national learning assessments</w:t>
            </w:r>
            <w:r w:rsidR="00E16886">
              <w:t>. However</w:t>
            </w:r>
            <w:r>
              <w:t xml:space="preserve">, </w:t>
            </w:r>
            <w:r w:rsidR="00E16886">
              <w:t>these outcomes</w:t>
            </w:r>
            <w:r>
              <w:t xml:space="preserve"> are not comparable across different cross-national learning assessments</w:t>
            </w:r>
            <w:r w:rsidR="00E16886">
              <w:t xml:space="preserve"> </w:t>
            </w:r>
            <w:r w:rsidR="00E16886" w:rsidRPr="00681EB6">
              <w:t>or</w:t>
            </w:r>
            <w:r w:rsidR="00E16886" w:rsidRPr="002E4396">
              <w:rPr>
                <w:color w:val="auto"/>
                <w:sz w:val="22"/>
              </w:rPr>
              <w:t xml:space="preserve"> with </w:t>
            </w:r>
            <w:r w:rsidR="00E16886" w:rsidRPr="00681EB6">
              <w:t>national learning assessments. A level</w:t>
            </w:r>
            <w:r w:rsidR="00E16886" w:rsidRPr="002E4396">
              <w:rPr>
                <w:color w:val="auto"/>
                <w:sz w:val="22"/>
              </w:rPr>
              <w:t xml:space="preserve"> of </w:t>
            </w:r>
            <w:r w:rsidR="00E16886" w:rsidRPr="00681EB6">
              <w:t>comparability of learning outcomes across assessments could be achieved by using different methodologies, each with varying standard errors. The period of 2020-2021 will shed light on the standard errors’ size</w:t>
            </w:r>
            <w:r w:rsidR="00E16886" w:rsidRPr="002E4396">
              <w:rPr>
                <w:color w:val="auto"/>
                <w:sz w:val="22"/>
              </w:rPr>
              <w:t xml:space="preserve"> for </w:t>
            </w:r>
            <w:r w:rsidR="00E16886" w:rsidRPr="00681EB6">
              <w:t xml:space="preserve">these methodologies. </w:t>
            </w:r>
          </w:p>
          <w:p w14:paraId="24A4F6E1" w14:textId="77777777" w:rsidR="00E16886" w:rsidRDefault="00E16886" w:rsidP="00E16D61">
            <w:pPr>
              <w:pStyle w:val="MText"/>
            </w:pPr>
          </w:p>
          <w:p w14:paraId="328C0885" w14:textId="571465C9" w:rsidR="007C63C4" w:rsidRPr="00E16D61" w:rsidRDefault="00E16886" w:rsidP="00E16D61">
            <w:pPr>
              <w:pStyle w:val="MText"/>
              <w:rPr>
                <w:rFonts w:cstheme="minorBidi"/>
              </w:rPr>
            </w:pPr>
            <w:r w:rsidRPr="00681EB6">
              <w:t>The comparability of learning outcomes over time has additional complications, which require, ideally, to design and implement a set of comparable items as anchors in advance. Methodological developments are underway to address comparability of assessments outcomes over time.</w:t>
            </w:r>
            <w:r w:rsidRPr="002E4396">
              <w:rPr>
                <w:color w:val="auto"/>
                <w:sz w:val="22"/>
              </w:rPr>
              <w:t xml:space="preserve">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E7974B" w14:textId="77777777" w:rsidR="00497C4D" w:rsidRDefault="00497C4D" w:rsidP="001F4F46">
            <w:pPr>
              <w:pStyle w:val="MHeader"/>
            </w:pPr>
            <w:r>
              <w:t>Methodology</w:t>
            </w:r>
          </w:p>
          <w:p w14:paraId="43A43876" w14:textId="7A679746" w:rsidR="00497C4D" w:rsidRDefault="00497C4D" w:rsidP="001F4F46">
            <w:pPr>
              <w:pStyle w:val="MSubHeader"/>
            </w:pPr>
            <w:r>
              <w:t>Computation method:</w:t>
            </w:r>
          </w:p>
          <w:p w14:paraId="0E16D83E" w14:textId="4491AE0E" w:rsidR="00497C4D" w:rsidRDefault="00497C4D" w:rsidP="001F4F46">
            <w:pPr>
              <w:pStyle w:val="MText"/>
            </w:pPr>
            <w:r>
              <w:t xml:space="preserve">The number of children and/or young people at the relevant stage of education n in year </w:t>
            </w:r>
            <w:proofErr w:type="spellStart"/>
            <w:r>
              <w:t>t</w:t>
            </w:r>
            <w:proofErr w:type="spellEnd"/>
            <w:r>
              <w:t xml:space="preserve"> achieving </w:t>
            </w:r>
            <w:r w:rsidR="009B7563" w:rsidRPr="00765BE3">
              <w:t>or exceeding</w:t>
            </w:r>
            <w:r w:rsidR="009B7563" w:rsidRPr="002E4396">
              <w:rPr>
                <w:color w:val="auto"/>
                <w:sz w:val="22"/>
              </w:rPr>
              <w:t xml:space="preserve"> </w:t>
            </w:r>
            <w:r>
              <w:t>the pre-defined proficiency level in subject s expressed as a percentage of the number of children and/or young people at stage of education n, in year t, in any proficiency level in subject s.</w:t>
            </w:r>
          </w:p>
          <w:p w14:paraId="1D72800B" w14:textId="77777777" w:rsidR="00497C4D" w:rsidRDefault="00497C4D" w:rsidP="00497C4D">
            <w:pPr>
              <w:shd w:val="clear" w:color="auto" w:fill="FFFFFF"/>
              <w:spacing w:after="0"/>
              <w:rPr>
                <w:rFonts w:eastAsia="Times New Roman" w:cs="Times New Roman"/>
                <w:color w:val="4A4A4A"/>
                <w:sz w:val="21"/>
                <w:szCs w:val="21"/>
                <w:lang w:eastAsia="en-GB"/>
              </w:rPr>
            </w:pPr>
          </w:p>
          <w:p w14:paraId="4CA6DE57" w14:textId="77777777" w:rsidR="00497C4D" w:rsidRDefault="00497C4D" w:rsidP="00497C4D">
            <w:pPr>
              <w:shd w:val="clear" w:color="auto" w:fill="FFFFFF"/>
              <w:spacing w:after="0"/>
              <w:jc w:val="center"/>
              <w:rPr>
                <w:rFonts w:eastAsia="Times New Roman" w:cs="Times New Roman"/>
                <w:color w:val="4A4A4A"/>
                <w:sz w:val="21"/>
                <w:szCs w:val="21"/>
                <w:lang w:eastAsia="en-GB"/>
              </w:rPr>
            </w:pPr>
            <w:proofErr w:type="spellStart"/>
            <w:proofErr w:type="gramStart"/>
            <w:r>
              <w:rPr>
                <w:rFonts w:eastAsia="Times New Roman" w:cs="Times New Roman"/>
                <w:color w:val="4A4A4A"/>
                <w:sz w:val="21"/>
                <w:szCs w:val="21"/>
                <w:lang w:eastAsia="en-GB"/>
              </w:rPr>
              <w:t>MPL</w:t>
            </w:r>
            <w:r>
              <w:rPr>
                <w:rFonts w:eastAsia="Times New Roman" w:cs="Times New Roman"/>
                <w:color w:val="4A4A4A"/>
                <w:sz w:val="21"/>
                <w:szCs w:val="21"/>
                <w:vertAlign w:val="subscript"/>
                <w:lang w:eastAsia="en-GB"/>
              </w:rPr>
              <w:t>t,n</w:t>
            </w:r>
            <w:proofErr w:type="gramEnd"/>
            <w:r>
              <w:rPr>
                <w:rFonts w:eastAsia="Times New Roman" w:cs="Times New Roman"/>
                <w:color w:val="4A4A4A"/>
                <w:sz w:val="21"/>
                <w:szCs w:val="21"/>
                <w:vertAlign w:val="subscript"/>
                <w:lang w:eastAsia="en-GB"/>
              </w:rPr>
              <w:t>,s</w:t>
            </w:r>
            <w:proofErr w:type="spellEnd"/>
            <w:r>
              <w:rPr>
                <w:rFonts w:eastAsia="Times New Roman" w:cs="Times New Roman"/>
                <w:color w:val="4A4A4A"/>
                <w:sz w:val="21"/>
                <w:szCs w:val="21"/>
                <w:vertAlign w:val="subscript"/>
                <w:lang w:eastAsia="en-GB"/>
              </w:rPr>
              <w:t>,</w:t>
            </w:r>
            <w:r>
              <w:rPr>
                <w:rFonts w:eastAsia="Times New Roman" w:cs="Times New Roman"/>
                <w:color w:val="4A4A4A"/>
                <w:sz w:val="21"/>
                <w:szCs w:val="21"/>
                <w:lang w:eastAsia="en-GB"/>
              </w:rPr>
              <w:t xml:space="preserve">  = </w:t>
            </w:r>
            <w:proofErr w:type="spellStart"/>
            <w:r>
              <w:rPr>
                <w:rFonts w:eastAsia="Times New Roman" w:cs="Times New Roman"/>
                <w:color w:val="4A4A4A"/>
                <w:sz w:val="21"/>
                <w:szCs w:val="21"/>
                <w:lang w:eastAsia="en-GB"/>
              </w:rPr>
              <w:t>MP</w:t>
            </w:r>
            <w:r>
              <w:rPr>
                <w:rFonts w:eastAsia="Times New Roman" w:cs="Times New Roman"/>
                <w:color w:val="4A4A4A"/>
                <w:sz w:val="21"/>
                <w:szCs w:val="21"/>
                <w:vertAlign w:val="subscript"/>
                <w:lang w:eastAsia="en-GB"/>
              </w:rPr>
              <w:t>t,n,s</w:t>
            </w:r>
            <w:proofErr w:type="spellEnd"/>
            <w:r>
              <w:rPr>
                <w:rFonts w:eastAsia="Times New Roman" w:cs="Times New Roman"/>
                <w:color w:val="4A4A4A"/>
                <w:sz w:val="21"/>
                <w:szCs w:val="21"/>
                <w:lang w:eastAsia="en-GB"/>
              </w:rPr>
              <w:t xml:space="preserve"> / </w:t>
            </w:r>
            <w:proofErr w:type="spellStart"/>
            <w:r>
              <w:rPr>
                <w:rFonts w:eastAsia="Times New Roman" w:cs="Times New Roman"/>
                <w:color w:val="4A4A4A"/>
                <w:sz w:val="21"/>
                <w:szCs w:val="21"/>
                <w:lang w:eastAsia="en-GB"/>
              </w:rPr>
              <w:t>P</w:t>
            </w:r>
            <w:r>
              <w:rPr>
                <w:rFonts w:eastAsia="Times New Roman" w:cs="Times New Roman"/>
                <w:color w:val="4A4A4A"/>
                <w:sz w:val="21"/>
                <w:szCs w:val="21"/>
                <w:vertAlign w:val="subscript"/>
                <w:lang w:eastAsia="en-GB"/>
              </w:rPr>
              <w:t>t,n</w:t>
            </w:r>
            <w:proofErr w:type="spellEnd"/>
          </w:p>
          <w:p w14:paraId="38ACA039" w14:textId="17C28A97" w:rsidR="00497C4D" w:rsidRDefault="00497C4D" w:rsidP="001F4F46">
            <w:pPr>
              <w:pStyle w:val="MText"/>
            </w:pPr>
            <w:r>
              <w:t xml:space="preserve">where: </w:t>
            </w:r>
          </w:p>
          <w:p w14:paraId="518B84C5" w14:textId="23CF275A" w:rsidR="00497C4D" w:rsidRDefault="00497C4D" w:rsidP="001F4F46">
            <w:pPr>
              <w:pStyle w:val="MText"/>
            </w:pPr>
            <w:proofErr w:type="spellStart"/>
            <w:proofErr w:type="gramStart"/>
            <w:r>
              <w:t>MP</w:t>
            </w:r>
            <w:r>
              <w:rPr>
                <w:vertAlign w:val="subscript"/>
              </w:rPr>
              <w:t>t,n</w:t>
            </w:r>
            <w:proofErr w:type="gramEnd"/>
            <w:r>
              <w:rPr>
                <w:vertAlign w:val="subscript"/>
              </w:rPr>
              <w:t>,s</w:t>
            </w:r>
            <w:proofErr w:type="spellEnd"/>
            <w:r>
              <w:t xml:space="preserve"> = the number of children and young people at stage of education n, in year t, who have achieved </w:t>
            </w:r>
            <w:r w:rsidR="009B7563">
              <w:t>or exceeded</w:t>
            </w:r>
            <w:r>
              <w:t xml:space="preserve"> the minimum proficiency level in subject s. </w:t>
            </w:r>
          </w:p>
          <w:p w14:paraId="70716024" w14:textId="038E4F6F" w:rsidR="00497C4D" w:rsidRDefault="00497C4D" w:rsidP="001F4F46">
            <w:pPr>
              <w:pStyle w:val="MText"/>
            </w:pPr>
            <w:proofErr w:type="spellStart"/>
            <w:proofErr w:type="gramStart"/>
            <w:r>
              <w:t>P</w:t>
            </w:r>
            <w:r>
              <w:rPr>
                <w:vertAlign w:val="subscript"/>
              </w:rPr>
              <w:t>t,n</w:t>
            </w:r>
            <w:proofErr w:type="spellEnd"/>
            <w:proofErr w:type="gramEnd"/>
            <w:r w:rsidR="00D83C21">
              <w:rPr>
                <w:vertAlign w:val="subscript"/>
              </w:rPr>
              <w:t xml:space="preserve"> </w:t>
            </w:r>
            <w:r>
              <w:t>= the number of children and young people at stage of education n, in year t, in any proficiency level in subject s.</w:t>
            </w:r>
          </w:p>
          <w:p w14:paraId="48823878" w14:textId="2933D022" w:rsidR="00497C4D" w:rsidRDefault="00497C4D" w:rsidP="001F4F46">
            <w:pPr>
              <w:pStyle w:val="MText"/>
            </w:pPr>
            <w:r>
              <w:t>n</w:t>
            </w:r>
            <w:r w:rsidR="00D83C21">
              <w:t xml:space="preserve"> </w:t>
            </w:r>
            <w:r>
              <w:t>= the stage of education that was assessed</w:t>
            </w:r>
          </w:p>
          <w:p w14:paraId="58DF4AAE" w14:textId="77777777" w:rsidR="007C63C4" w:rsidRDefault="00497C4D" w:rsidP="001F4F46">
            <w:pPr>
              <w:pStyle w:val="MText"/>
            </w:pPr>
            <w:r>
              <w:t>s</w:t>
            </w:r>
            <w:r w:rsidR="00D83C21">
              <w:t xml:space="preserve"> </w:t>
            </w:r>
            <w:r>
              <w:t>= the subject that was assessed (reading or mathematics).</w:t>
            </w:r>
          </w:p>
          <w:p w14:paraId="1892DD88" w14:textId="77777777" w:rsidR="009B7563" w:rsidRDefault="009B7563" w:rsidP="001F4F46">
            <w:pPr>
              <w:pStyle w:val="MText"/>
            </w:pPr>
          </w:p>
          <w:p w14:paraId="55497136" w14:textId="77777777" w:rsidR="009B7563" w:rsidRPr="00915903" w:rsidRDefault="009B7563" w:rsidP="00E16D61">
            <w:pPr>
              <w:pStyle w:val="MSubHeader"/>
            </w:pPr>
            <w:r w:rsidRPr="00915903">
              <w:t>Harmonize various data sources</w:t>
            </w:r>
          </w:p>
          <w:p w14:paraId="7D891767" w14:textId="000B9AD4" w:rsidR="009B7563" w:rsidRDefault="009B7563" w:rsidP="009B7563">
            <w:pPr>
              <w:pStyle w:val="MText"/>
              <w:rPr>
                <w:rFonts w:eastAsia="Calibri"/>
              </w:rPr>
            </w:pPr>
            <w:r w:rsidRPr="00915903">
              <w:rPr>
                <w:rFonts w:eastAsia="Calibri"/>
              </w:rPr>
              <w:t xml:space="preserve">To address the challenges posed by the limited capacity of some countries to implement cross-national, regional, and national assessments, actions have been taken by the UIS and its partners. </w:t>
            </w:r>
            <w:r w:rsidRPr="00915903">
              <w:rPr>
                <w:rFonts w:eastAsia="Calibri"/>
              </w:rPr>
              <w:lastRenderedPageBreak/>
              <w:t xml:space="preserve">The strategies are used according to its level of precision and following a </w:t>
            </w:r>
            <w:hyperlink r:id="rId12" w:history="1">
              <w:r w:rsidRPr="00915903">
                <w:rPr>
                  <w:rStyle w:val="Hyperlink"/>
                  <w:rFonts w:eastAsia="Calibri"/>
                </w:rPr>
                <w:t>reporting protocol</w:t>
              </w:r>
            </w:hyperlink>
            <w:r w:rsidRPr="00915903">
              <w:rPr>
                <w:rFonts w:eastAsia="Calibri"/>
              </w:rPr>
              <w:t xml:space="preserve"> that includes the national assessments under specific circumstances. </w:t>
            </w:r>
          </w:p>
          <w:p w14:paraId="583F579C" w14:textId="1110D60A" w:rsidR="009B7563" w:rsidRDefault="009B7563" w:rsidP="009B7563">
            <w:pPr>
              <w:pStyle w:val="MText"/>
              <w:rPr>
                <w:rFonts w:eastAsia="Calibri"/>
              </w:rPr>
            </w:pPr>
          </w:p>
          <w:p w14:paraId="422487EE" w14:textId="77777777" w:rsidR="009B7563" w:rsidRPr="00915903" w:rsidRDefault="009B7563" w:rsidP="00E16D61">
            <w:pPr>
              <w:pStyle w:val="MSubHeader"/>
              <w:rPr>
                <w:rFonts w:eastAsia="Calibri"/>
              </w:rPr>
            </w:pPr>
            <w:r w:rsidRPr="00915903">
              <w:rPr>
                <w:rFonts w:eastAsia="Calibri"/>
              </w:rPr>
              <w:t xml:space="preserve">Out-of-school children </w:t>
            </w:r>
          </w:p>
          <w:p w14:paraId="14D79041" w14:textId="09DF55B3" w:rsidR="009B7563" w:rsidRPr="00497C4D" w:rsidRDefault="009B7563" w:rsidP="001F4F46">
            <w:pPr>
              <w:pStyle w:val="MText"/>
            </w:pPr>
            <w:r w:rsidRPr="00915903">
              <w:t xml:space="preserve">In 2016, 263 million children, adolescents and youth were out of school, representing nearly one-fifth of the global population of this age group. 63 million, or 24% of the total, are children of primary school age (typically 6 to 11 years old); 61 million, or 23% of the total, are adolescents of lower secondary school age (typically 12 to 14 years old); and 139 million, or 53% of the total, are youth of upper secondary school age (about 15 to 17 years old). Not all these kids will be permanently outside school, some will re-join the educational system and, eventually, complete late, while some of them will enter late. The quantity varies per country and region and demands some adjustment in the estimate of Indicator 4.1.1. </w:t>
            </w:r>
            <w:r>
              <w:t xml:space="preserve">There is currently a </w:t>
            </w:r>
            <w:r w:rsidRPr="00915903">
              <w:t xml:space="preserve">discussion </w:t>
            </w:r>
            <w:r>
              <w:t xml:space="preserve">on </w:t>
            </w:r>
            <w:r w:rsidRPr="00915903">
              <w:t xml:space="preserve">how to </w:t>
            </w:r>
            <w:r>
              <w:t xml:space="preserve">implement these </w:t>
            </w:r>
            <w:r w:rsidRPr="00915903">
              <w:t>adjust</w:t>
            </w:r>
            <w:r>
              <w:t>ments</w:t>
            </w:r>
            <w:r w:rsidRPr="00915903">
              <w:t xml:space="preserve"> to reflect all the population. In 2017, the </w:t>
            </w:r>
            <w:hyperlink r:id="rId13" w:history="1">
              <w:r w:rsidRPr="00915903">
                <w:rPr>
                  <w:color w:val="0563C1"/>
                  <w:u w:val="single"/>
                </w:rPr>
                <w:t>UIS proposed to make adjustments using the out-of-school children (OOSC)</w:t>
              </w:r>
            </w:hyperlink>
            <w:r w:rsidRPr="00915903">
              <w:rPr>
                <w:vertAlign w:val="superscript"/>
              </w:rPr>
              <w:footnoteReference w:id="2"/>
            </w:r>
            <w:r w:rsidRPr="00915903">
              <w:t xml:space="preserve"> and the completion rates. </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8425E50" w14:textId="77777777" w:rsidR="00D83C21" w:rsidRDefault="00D83C21" w:rsidP="00154806">
            <w:pPr>
              <w:pStyle w:val="MSubHeader"/>
            </w:pPr>
            <w:r>
              <w:t>Treatment of missing values:</w:t>
            </w:r>
          </w:p>
          <w:p w14:paraId="3D955CF5" w14:textId="609A3E79" w:rsidR="00D83C21" w:rsidRPr="00340709" w:rsidRDefault="00D83C21" w:rsidP="00340709">
            <w:pPr>
              <w:pStyle w:val="MText"/>
              <w:numPr>
                <w:ilvl w:val="0"/>
                <w:numId w:val="26"/>
              </w:numPr>
              <w:rPr>
                <w:b/>
                <w:bCs/>
                <w:i/>
                <w:iCs/>
              </w:rPr>
            </w:pPr>
            <w:r w:rsidRPr="00340709">
              <w:rPr>
                <w:b/>
                <w:bCs/>
                <w:i/>
                <w:iCs/>
              </w:rPr>
              <w:t>At country level</w:t>
            </w:r>
            <w:r w:rsidR="00154806" w:rsidRPr="00340709">
              <w:rPr>
                <w:b/>
                <w:bCs/>
                <w:i/>
                <w:iCs/>
              </w:rPr>
              <w:t>:</w:t>
            </w:r>
          </w:p>
          <w:p w14:paraId="261BF175" w14:textId="77777777" w:rsidR="00D83C21" w:rsidRDefault="00D83C21" w:rsidP="00154806">
            <w:pPr>
              <w:pStyle w:val="MText"/>
            </w:pPr>
            <w:r>
              <w:t>Missing values are not imputed.</w:t>
            </w:r>
          </w:p>
          <w:p w14:paraId="190ACFCD" w14:textId="77777777" w:rsidR="00D83C21" w:rsidRDefault="00D83C21" w:rsidP="00D83C21">
            <w:pPr>
              <w:shd w:val="clear" w:color="auto" w:fill="FFFFFF"/>
              <w:spacing w:after="0"/>
              <w:ind w:left="360"/>
              <w:rPr>
                <w:rFonts w:eastAsia="Times New Roman" w:cs="Times New Roman"/>
                <w:color w:val="4A4A4A"/>
                <w:sz w:val="21"/>
                <w:szCs w:val="21"/>
                <w:lang w:eastAsia="en-GB"/>
              </w:rPr>
            </w:pPr>
          </w:p>
          <w:p w14:paraId="4ED2AB16" w14:textId="185B9548" w:rsidR="00D83C21" w:rsidRPr="00340709" w:rsidRDefault="00D83C21" w:rsidP="00340709">
            <w:pPr>
              <w:pStyle w:val="MText"/>
              <w:numPr>
                <w:ilvl w:val="0"/>
                <w:numId w:val="26"/>
              </w:numPr>
              <w:rPr>
                <w:b/>
                <w:bCs/>
                <w:i/>
                <w:iCs/>
              </w:rPr>
            </w:pPr>
            <w:r w:rsidRPr="00340709">
              <w:rPr>
                <w:b/>
                <w:bCs/>
                <w:i/>
                <w:iCs/>
              </w:rPr>
              <w:t>At regional and global levels</w:t>
            </w:r>
            <w:r w:rsidR="00154806" w:rsidRPr="00340709">
              <w:rPr>
                <w:b/>
                <w:bCs/>
                <w:i/>
                <w:iCs/>
              </w:rPr>
              <w:t>:</w:t>
            </w:r>
          </w:p>
          <w:p w14:paraId="11763FCE" w14:textId="50AAD132" w:rsidR="007C63C4" w:rsidRPr="00AE00B6" w:rsidRDefault="00D83C21" w:rsidP="00154806">
            <w:pPr>
              <w:pStyle w:val="MText"/>
            </w:pPr>
            <w:r>
              <w:t>Missing values are not imputed.</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50A4FA2" w14:textId="77777777" w:rsidR="00351E63" w:rsidRDefault="00351E63" w:rsidP="00154806">
            <w:pPr>
              <w:pStyle w:val="MSubHeader"/>
            </w:pPr>
            <w:r>
              <w:t>Regional aggregates:</w:t>
            </w:r>
          </w:p>
          <w:p w14:paraId="6E65421B" w14:textId="13001D9E" w:rsidR="007C63C4" w:rsidRPr="00351E63" w:rsidRDefault="00351E63" w:rsidP="00E16D61">
            <w:pPr>
              <w:spacing w:after="0"/>
            </w:pPr>
            <w:r>
              <w:t>Not yet applicable. Data are reported at the national level only.</w:t>
            </w:r>
            <w:r w:rsidR="00294169" w:rsidRPr="00E16D61">
              <w:rPr>
                <w:rStyle w:val="MTextChar"/>
                <w:rFonts w:eastAsiaTheme="minorHAnsi"/>
              </w:rPr>
              <w:t xml:space="preserve"> Population weighted average by region to be reported in 2020.</w:t>
            </w:r>
            <w:r w:rsidR="00294169" w:rsidRPr="00765BE3">
              <w:rPr>
                <w:lang w:eastAsia="en-GB"/>
              </w:rPr>
              <w:t xml:space="preserve">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469D128" w14:textId="77777777" w:rsidR="009D6C93" w:rsidRDefault="00FD6C86" w:rsidP="00154806">
            <w:pPr>
              <w:pStyle w:val="MSubHeader"/>
            </w:pPr>
            <w:r>
              <w:t>Methods and guidance available to countries for the compilation of the data at the national level:</w:t>
            </w:r>
          </w:p>
          <w:p w14:paraId="68FA19D3" w14:textId="0C8DBBC9" w:rsidR="007C63C4" w:rsidRPr="00FD6C86" w:rsidRDefault="00FD6C86" w:rsidP="00154806">
            <w:pPr>
              <w:pStyle w:val="MText"/>
              <w:rPr>
                <w:color w:val="4A86E8"/>
                <w:sz w:val="20"/>
                <w:szCs w:val="20"/>
              </w:rPr>
            </w:pPr>
            <w:r>
              <w:t>Information not available.</w:t>
            </w:r>
          </w:p>
        </w:tc>
      </w:tr>
      <w:tr w:rsidR="00785BA8" w:rsidRPr="004D68B6" w14:paraId="39FADD1D" w14:textId="77777777" w:rsidTr="007C63C4">
        <w:tc>
          <w:tcPr>
            <w:tcW w:w="1739" w:type="pct"/>
            <w:tcBorders>
              <w:top w:val="nil"/>
              <w:left w:val="nil"/>
              <w:bottom w:val="single" w:sz="4" w:space="0" w:color="auto"/>
              <w:right w:val="single" w:sz="4" w:space="0" w:color="auto"/>
            </w:tcBorders>
            <w:shd w:val="clear" w:color="auto" w:fill="E7E6E6" w:themeFill="background2"/>
          </w:tcPr>
          <w:p w14:paraId="46624268" w14:textId="1DAD008D" w:rsidR="00785BA8" w:rsidRPr="00C94E79" w:rsidRDefault="00785BA8"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29A7157" w14:textId="77777777" w:rsidR="00785BA8" w:rsidRDefault="00785BA8" w:rsidP="00154806">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DE1BB22"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85BA8">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69B9137F" w14:textId="0BFF32D1" w:rsidR="00AE00B6" w:rsidRDefault="00AE00B6" w:rsidP="00154806">
            <w:pPr>
              <w:pStyle w:val="MSubHeader"/>
            </w:pPr>
            <w:r>
              <w:t>Quality assurance</w:t>
            </w:r>
            <w:r w:rsidR="00154806">
              <w:t>:</w:t>
            </w:r>
          </w:p>
          <w:p w14:paraId="72EE23D6" w14:textId="250C08EF" w:rsidR="007C63C4" w:rsidRPr="00AE00B6" w:rsidRDefault="00AE00B6" w:rsidP="00154806">
            <w:pPr>
              <w:pStyle w:val="MText"/>
              <w:rPr>
                <w:color w:val="4A86E8"/>
                <w:sz w:val="20"/>
                <w:szCs w:val="20"/>
              </w:rPr>
            </w:pPr>
            <w:r>
              <w:t>Information not available.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457429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85BA8">
              <w:rPr>
                <w:rFonts w:ascii="Calibri" w:eastAsia="Times New Roman" w:hAnsi="Calibri" w:cs="Calibri"/>
              </w:rPr>
              <w:t xml:space="preserve">k. </w:t>
            </w:r>
            <w:r w:rsidRPr="00F862A7">
              <w:rPr>
                <w:rFonts w:ascii="Calibri" w:eastAsia="Times New Roman" w:hAnsi="Calibri" w:cs="Calibri"/>
              </w:rPr>
              <w:t>Q</w:t>
            </w:r>
            <w:r w:rsidR="00785BA8">
              <w:rPr>
                <w:rFonts w:ascii="Calibri" w:eastAsia="Times New Roman" w:hAnsi="Calibri" w:cs="Calibri"/>
              </w:rPr>
              <w:t>uality 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22E42251" w14:textId="77777777" w:rsidR="00154806" w:rsidRDefault="00154806"/>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8" w:name="_Toc36655613"/>
            <w:bookmarkStart w:id="29" w:name="_Toc36812576"/>
            <w:bookmarkStart w:id="30" w:name="_Toc36812689"/>
            <w:bookmarkStart w:id="31" w:name="_Toc36813076"/>
            <w:r w:rsidRPr="001A0E35">
              <w:lastRenderedPageBreak/>
              <w:t>5</w:t>
            </w:r>
            <w:r w:rsidR="00952376" w:rsidRPr="001A0E35">
              <w:t>. Data availability and disaggregation</w:t>
            </w:r>
            <w:bookmarkEnd w:id="28"/>
            <w:bookmarkEnd w:id="29"/>
            <w:bookmarkEnd w:id="30"/>
            <w:bookmarkEnd w:id="31"/>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D108363" w14:textId="153FB72C" w:rsidR="00596373" w:rsidRDefault="00596373" w:rsidP="00596373">
            <w:pPr>
              <w:pStyle w:val="MHeader"/>
            </w:pPr>
            <w:r>
              <w:t>Data availability</w:t>
            </w:r>
          </w:p>
          <w:p w14:paraId="16470D0C" w14:textId="1E041118" w:rsidR="003876C4" w:rsidRDefault="003876C4" w:rsidP="00C241F6">
            <w:pPr>
              <w:pStyle w:val="MSubHeader"/>
            </w:pPr>
            <w:r>
              <w:t>Time series:</w:t>
            </w:r>
          </w:p>
          <w:p w14:paraId="3ECC3564" w14:textId="77777777" w:rsidR="003876C4" w:rsidRDefault="003876C4" w:rsidP="00C241F6">
            <w:pPr>
              <w:pStyle w:val="MText"/>
            </w:pPr>
            <w:r>
              <w:t>Data available since 2000. The indicator will be reported annually.</w:t>
            </w:r>
          </w:p>
          <w:p w14:paraId="3BD6F3E7" w14:textId="77777777" w:rsidR="003876C4" w:rsidRDefault="003876C4" w:rsidP="003066A5">
            <w:pPr>
              <w:shd w:val="clear" w:color="auto" w:fill="FFFFFF"/>
              <w:spacing w:after="0"/>
              <w:rPr>
                <w:rFonts w:eastAsia="Times New Roman" w:cs="Times New Roman"/>
                <w:b/>
                <w:bCs/>
                <w:color w:val="4A4A4A"/>
                <w:sz w:val="21"/>
                <w:szCs w:val="21"/>
                <w:lang w:eastAsia="en-GB"/>
              </w:rPr>
            </w:pPr>
          </w:p>
          <w:p w14:paraId="64097923" w14:textId="08659377" w:rsidR="003066A5" w:rsidRDefault="003066A5" w:rsidP="00C241F6">
            <w:pPr>
              <w:pStyle w:val="MSubHeader"/>
            </w:pPr>
            <w:r>
              <w:t>Disaggregation:</w:t>
            </w:r>
          </w:p>
          <w:p w14:paraId="606721A7" w14:textId="5A8B7490" w:rsidR="00202B2D" w:rsidRPr="003066A5" w:rsidRDefault="00BA2B1F" w:rsidP="00E16D61">
            <w:pPr>
              <w:pStyle w:val="MText"/>
              <w:rPr>
                <w:rFonts w:cstheme="minorHAnsi"/>
              </w:rPr>
            </w:pPr>
            <w:r w:rsidRPr="00765BE3">
              <w:t xml:space="preserve">Indicator is published disaggregated by sex. Other disaggregation such as location, socio-economic status, immigrant status, ethnicity and language of the test at home are based on data produced by international organizations administering cross learning assessment detailed in the </w:t>
            </w:r>
            <w:hyperlink r:id="rId14" w:history="1">
              <w:r w:rsidRPr="00765BE3">
                <w:rPr>
                  <w:rStyle w:val="Hyperlink"/>
                  <w:color w:val="auto"/>
                </w:rPr>
                <w:t>expanded metadata document</w:t>
              </w:r>
            </w:hyperlink>
            <w:r w:rsidRPr="00765BE3">
              <w:t xml:space="preserve"> and validated by countries.  Parity indexes are estimated in the reporting of Indicator 4.5.1. Information on the disaggregation of variable for Indicator 4.1.1 are presented in the following tables.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2" w:name="_Toc36655614"/>
            <w:bookmarkStart w:id="33" w:name="_Toc36812577"/>
            <w:bookmarkStart w:id="34" w:name="_Toc36812690"/>
            <w:bookmarkStart w:id="35" w:name="_Toc36813077"/>
            <w:bookmarkStart w:id="36"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2"/>
            <w:bookmarkEnd w:id="33"/>
            <w:bookmarkEnd w:id="34"/>
            <w:bookmarkEnd w:id="35"/>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7A9658BB" w14:textId="77777777" w:rsidR="00351E63" w:rsidRDefault="00351E63" w:rsidP="00711BEB">
            <w:pPr>
              <w:pStyle w:val="MSubHeader"/>
            </w:pPr>
            <w:r>
              <w:t>Sources of discrepancies:</w:t>
            </w:r>
          </w:p>
          <w:p w14:paraId="13CF0B2D" w14:textId="4EAB9599" w:rsidR="004F4616" w:rsidRPr="00351E63" w:rsidRDefault="00351E63" w:rsidP="00711BEB">
            <w:pPr>
              <w:pStyle w:val="MText"/>
            </w:pPr>
            <w:r>
              <w:t>Not yet applicable. Data are reported at the national level only.</w:t>
            </w:r>
          </w:p>
        </w:tc>
      </w:tr>
      <w:bookmarkEnd w:id="36"/>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7" w:name="_Toc36655615"/>
            <w:bookmarkStart w:id="38" w:name="_Toc36812578"/>
            <w:bookmarkStart w:id="39" w:name="_Toc36812691"/>
            <w:bookmarkStart w:id="40" w:name="_Toc36813078"/>
            <w:r w:rsidRPr="001A0E35">
              <w:t>7. References and documentation</w:t>
            </w:r>
            <w:bookmarkEnd w:id="37"/>
            <w:bookmarkEnd w:id="38"/>
            <w:bookmarkEnd w:id="39"/>
            <w:bookmarkEnd w:id="40"/>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24ADDA6A" w14:textId="77777777" w:rsidR="007C0F00" w:rsidRDefault="007C0F00" w:rsidP="00711BEB">
            <w:pPr>
              <w:pStyle w:val="MHeader"/>
            </w:pPr>
            <w:r>
              <w:t>References</w:t>
            </w:r>
          </w:p>
          <w:p w14:paraId="1722C700" w14:textId="77777777" w:rsidR="00D56E0E" w:rsidRPr="00B25EAC" w:rsidRDefault="00D56E0E" w:rsidP="00D56E0E">
            <w:pPr>
              <w:pStyle w:val="MText"/>
              <w:rPr>
                <w:sz w:val="22"/>
                <w:szCs w:val="22"/>
                <w:lang w:val="pt-BR"/>
              </w:rPr>
            </w:pPr>
            <w:r w:rsidRPr="00B25EAC">
              <w:rPr>
                <w:color w:val="auto"/>
                <w:sz w:val="22"/>
                <w:szCs w:val="22"/>
                <w:lang w:val="pt-BR"/>
              </w:rPr>
              <w:t>Minimum Proficiency Levels</w:t>
            </w:r>
            <w:r w:rsidRPr="00B25EAC">
              <w:rPr>
                <w:color w:val="auto"/>
                <w:sz w:val="22"/>
                <w:szCs w:val="22"/>
                <w:lang w:val="pt-BR"/>
              </w:rPr>
              <w:cr/>
            </w:r>
            <w:hyperlink r:id="rId15" w:history="1">
              <w:r w:rsidRPr="00B25EAC">
                <w:rPr>
                  <w:rStyle w:val="Hyperlink"/>
                  <w:sz w:val="22"/>
                  <w:szCs w:val="22"/>
                  <w:lang w:val="pt-BR"/>
                </w:rPr>
                <w:t>http://gaml.uis.unesco.org/wp-content/uploads/sites/2/2019/07/MPLs_revised_doc_20190506_v2.pdf</w:t>
              </w:r>
            </w:hyperlink>
          </w:p>
          <w:p w14:paraId="2C38F99B" w14:textId="77777777" w:rsidR="00D56E0E" w:rsidRPr="00B25EAC" w:rsidRDefault="00D56E0E" w:rsidP="00D56E0E">
            <w:pPr>
              <w:pStyle w:val="MText"/>
              <w:rPr>
                <w:sz w:val="22"/>
                <w:szCs w:val="22"/>
                <w:lang w:val="pt-BR"/>
              </w:rPr>
            </w:pPr>
          </w:p>
          <w:p w14:paraId="20CC8867" w14:textId="77777777" w:rsidR="00D56E0E" w:rsidRPr="00344B83" w:rsidRDefault="00D56E0E" w:rsidP="00D56E0E">
            <w:pPr>
              <w:pStyle w:val="MText"/>
              <w:rPr>
                <w:color w:val="auto"/>
                <w:sz w:val="22"/>
                <w:szCs w:val="22"/>
              </w:rPr>
            </w:pPr>
            <w:r w:rsidRPr="00344B83">
              <w:rPr>
                <w:color w:val="auto"/>
                <w:sz w:val="22"/>
                <w:szCs w:val="22"/>
              </w:rPr>
              <w:t>Costs and Benefits of Different Approaches to Measuring the Learning Proficiency of Students (SDG Indicator 4.1.1)</w:t>
            </w:r>
          </w:p>
          <w:p w14:paraId="619989C5" w14:textId="77777777" w:rsidR="00D56E0E" w:rsidRPr="00344B83" w:rsidRDefault="007B5EEA" w:rsidP="00D56E0E">
            <w:pPr>
              <w:pStyle w:val="MText"/>
              <w:rPr>
                <w:sz w:val="22"/>
                <w:szCs w:val="22"/>
              </w:rPr>
            </w:pPr>
            <w:hyperlink r:id="rId16" w:history="1">
              <w:r w:rsidR="00D56E0E" w:rsidRPr="00344B83">
                <w:rPr>
                  <w:rStyle w:val="Hyperlink"/>
                  <w:sz w:val="22"/>
                  <w:szCs w:val="22"/>
                </w:rPr>
                <w:t>http://uis.unesco.org/sites/default/files/documents/ip53-costs-benefits-approaches-measuring-proficiency-2019-en.pdf</w:t>
              </w:r>
            </w:hyperlink>
          </w:p>
          <w:p w14:paraId="2280FB1F" w14:textId="77777777" w:rsidR="00D56E0E" w:rsidRDefault="00D56E0E" w:rsidP="007C0F00">
            <w:pPr>
              <w:pStyle w:val="MText"/>
            </w:pPr>
          </w:p>
          <w:p w14:paraId="134EC2E7" w14:textId="77777777" w:rsidR="00D56E0E" w:rsidRPr="002E4396" w:rsidRDefault="00D56E0E" w:rsidP="00D56E0E">
            <w:pPr>
              <w:pStyle w:val="MText"/>
              <w:rPr>
                <w:b/>
                <w:color w:val="auto"/>
                <w:sz w:val="22"/>
              </w:rPr>
            </w:pPr>
            <w:r w:rsidRPr="002E4396">
              <w:rPr>
                <w:color w:val="auto"/>
                <w:sz w:val="22"/>
              </w:rPr>
              <w:t xml:space="preserve">Protocol for </w:t>
            </w:r>
            <w:r w:rsidRPr="00344B83">
              <w:rPr>
                <w:color w:val="auto"/>
                <w:sz w:val="22"/>
                <w:szCs w:val="22"/>
              </w:rPr>
              <w:t>Reporting on SDG Global</w:t>
            </w:r>
            <w:r w:rsidRPr="002E4396">
              <w:rPr>
                <w:color w:val="auto"/>
                <w:sz w:val="22"/>
              </w:rPr>
              <w:t xml:space="preserve"> Indicator 4.1.1</w:t>
            </w:r>
          </w:p>
          <w:p w14:paraId="40EEF798" w14:textId="77777777" w:rsidR="00D56E0E" w:rsidRPr="00344B83" w:rsidRDefault="007B5EEA" w:rsidP="00D56E0E">
            <w:pPr>
              <w:shd w:val="clear" w:color="auto" w:fill="FFFFFF"/>
              <w:spacing w:after="0"/>
              <w:rPr>
                <w:rFonts w:eastAsia="Times New Roman" w:cs="Times New Roman"/>
                <w:color w:val="4A4A4A"/>
                <w:lang w:eastAsia="en-GB"/>
              </w:rPr>
            </w:pPr>
            <w:hyperlink r:id="rId17" w:history="1">
              <w:r w:rsidR="00D56E0E" w:rsidRPr="00344B83">
                <w:rPr>
                  <w:rStyle w:val="Hyperlink"/>
                </w:rPr>
                <w:t>http://gaml.uis.unesco.org/wp-content/uploads/sites/2/2019/05/GAML6-WD-2-Protocol-for-reporting-4.1.1_v1.pdf</w:t>
              </w:r>
            </w:hyperlink>
          </w:p>
          <w:p w14:paraId="2A9D4FC5" w14:textId="77777777" w:rsidR="00D56E0E" w:rsidRPr="00344B83" w:rsidRDefault="00D56E0E" w:rsidP="00D56E0E">
            <w:pPr>
              <w:shd w:val="clear" w:color="auto" w:fill="FFFFFF"/>
              <w:spacing w:after="0"/>
              <w:rPr>
                <w:rFonts w:eastAsia="Times New Roman" w:cs="Times New Roman"/>
                <w:color w:val="4A4A4A"/>
                <w:lang w:eastAsia="en-GB"/>
              </w:rPr>
            </w:pPr>
          </w:p>
          <w:p w14:paraId="700A1254" w14:textId="77777777" w:rsidR="00D56E0E" w:rsidRPr="00344B83" w:rsidRDefault="00D56E0E" w:rsidP="00D56E0E">
            <w:pPr>
              <w:shd w:val="clear" w:color="auto" w:fill="FFFFFF"/>
              <w:spacing w:after="0"/>
              <w:rPr>
                <w:rFonts w:eastAsia="Times New Roman" w:cs="Times New Roman"/>
                <w:lang w:eastAsia="en-GB"/>
              </w:rPr>
            </w:pPr>
            <w:r w:rsidRPr="00344B83">
              <w:rPr>
                <w:rFonts w:eastAsia="Times New Roman" w:cs="Times New Roman"/>
                <w:lang w:eastAsia="en-GB"/>
              </w:rPr>
              <w:t>Global Proficiency Framework for Reading and Mathematics - Grade 2 to 6</w:t>
            </w:r>
          </w:p>
          <w:p w14:paraId="75668AC2" w14:textId="46B8CC6B" w:rsidR="007B2E39" w:rsidRPr="007C0F00" w:rsidRDefault="007B5EEA" w:rsidP="00E16D61">
            <w:pPr>
              <w:shd w:val="clear" w:color="auto" w:fill="FFFFFF"/>
              <w:spacing w:after="0"/>
              <w:rPr>
                <w:b/>
                <w:bCs/>
              </w:rPr>
            </w:pPr>
            <w:hyperlink r:id="rId18" w:history="1">
              <w:r w:rsidR="00D56E0E" w:rsidRPr="00344B83">
                <w:rPr>
                  <w:rStyle w:val="Hyperlink"/>
                </w:rPr>
                <w:t>http://gaml.uis.unesco.org/wp-content/uploads/sites/2/2019/05/Global-Proficiency-Framework-18Oct2019_KD.pdf</w:t>
              </w:r>
            </w:hyperlink>
          </w:p>
        </w:tc>
      </w:tr>
    </w:tbl>
    <w:p w14:paraId="580D1E4D" w14:textId="4AC1F0AD" w:rsidR="00553471" w:rsidRDefault="00553471" w:rsidP="00553471"/>
    <w:p w14:paraId="0D3AE7EE" w14:textId="77777777" w:rsidR="00294169" w:rsidRPr="00E16D61" w:rsidRDefault="00294169" w:rsidP="00E16D61"/>
    <w:sectPr w:rsidR="00294169" w:rsidRPr="00E16D61"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F23FC" w14:textId="77777777" w:rsidR="007B5EEA" w:rsidRDefault="007B5EEA" w:rsidP="006B0512">
      <w:pPr>
        <w:spacing w:after="0" w:line="240" w:lineRule="auto"/>
      </w:pPr>
      <w:r>
        <w:separator/>
      </w:r>
    </w:p>
  </w:endnote>
  <w:endnote w:type="continuationSeparator" w:id="0">
    <w:p w14:paraId="3CE90B82" w14:textId="77777777" w:rsidR="007B5EEA" w:rsidRDefault="007B5EEA"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294169" w:rsidRDefault="002941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294169" w:rsidRDefault="00294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294169" w:rsidRDefault="002941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294169" w:rsidRDefault="00294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E2F88" w14:textId="77777777" w:rsidR="007B5EEA" w:rsidRDefault="007B5EEA" w:rsidP="006B0512">
      <w:pPr>
        <w:spacing w:after="0" w:line="240" w:lineRule="auto"/>
      </w:pPr>
      <w:r>
        <w:separator/>
      </w:r>
    </w:p>
  </w:footnote>
  <w:footnote w:type="continuationSeparator" w:id="0">
    <w:p w14:paraId="1BE17049" w14:textId="77777777" w:rsidR="007B5EEA" w:rsidRDefault="007B5EEA" w:rsidP="006B0512">
      <w:pPr>
        <w:spacing w:after="0" w:line="240" w:lineRule="auto"/>
      </w:pPr>
      <w:r>
        <w:continuationSeparator/>
      </w:r>
    </w:p>
  </w:footnote>
  <w:footnote w:id="1">
    <w:p w14:paraId="156C81EC" w14:textId="77777777" w:rsidR="00294169" w:rsidRPr="00344B83" w:rsidRDefault="00294169" w:rsidP="00826A99">
      <w:pPr>
        <w:pStyle w:val="FootnoteText"/>
        <w:rPr>
          <w:rFonts w:cstheme="minorHAnsi"/>
        </w:rPr>
      </w:pPr>
      <w:r w:rsidRPr="00344B83">
        <w:rPr>
          <w:rStyle w:val="FootnoteReference"/>
          <w:rFonts w:cstheme="minorHAnsi"/>
        </w:rPr>
        <w:footnoteRef/>
      </w:r>
      <w:r w:rsidRPr="00344B83">
        <w:rPr>
          <w:rFonts w:cstheme="minorHAnsi"/>
        </w:rPr>
        <w:t xml:space="preserve"> PLD: Performance level descriptors are descriptions of the performance levels to express the knowledge and skills required to achieve each performance level, by domain.  </w:t>
      </w:r>
    </w:p>
  </w:footnote>
  <w:footnote w:id="2">
    <w:p w14:paraId="4E3C138F" w14:textId="77777777" w:rsidR="00294169" w:rsidRPr="004B7C93" w:rsidRDefault="00294169" w:rsidP="009B7563">
      <w:pPr>
        <w:pStyle w:val="MText"/>
        <w:rPr>
          <w:sz w:val="18"/>
        </w:rPr>
      </w:pPr>
      <w:r w:rsidRPr="004B7C93">
        <w:rPr>
          <w:rStyle w:val="FootnoteReference"/>
          <w:sz w:val="18"/>
        </w:rPr>
        <w:footnoteRef/>
      </w:r>
      <w:r w:rsidRPr="004B7C93">
        <w:rPr>
          <w:sz w:val="18"/>
        </w:rPr>
        <w:t xml:space="preserve"> UIS (2017a). More than one-half of children and adolescents are not learning worldwide. Montreal and UIS (2017b). Counting the number of children not learning: Methodology for a global composite indicator for education. Montreal.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813"/>
    <w:multiLevelType w:val="hybridMultilevel"/>
    <w:tmpl w:val="81F03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D293CEE"/>
    <w:multiLevelType w:val="hybridMultilevel"/>
    <w:tmpl w:val="4C8C01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15:restartNumberingAfterBreak="0">
    <w:nsid w:val="333E123C"/>
    <w:multiLevelType w:val="hybridMultilevel"/>
    <w:tmpl w:val="7572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32FB5"/>
    <w:multiLevelType w:val="hybridMultilevel"/>
    <w:tmpl w:val="15BA00BE"/>
    <w:lvl w:ilvl="0" w:tplc="08090001">
      <w:start w:val="1"/>
      <w:numFmt w:val="bullet"/>
      <w:lvlText w:val=""/>
      <w:lvlJc w:val="left"/>
      <w:pPr>
        <w:ind w:left="-1080" w:hanging="360"/>
      </w:pPr>
      <w:rPr>
        <w:rFonts w:ascii="Symbol" w:hAnsi="Symbol" w:hint="default"/>
      </w:rPr>
    </w:lvl>
    <w:lvl w:ilvl="1" w:tplc="D1006B26">
      <w:numFmt w:val="bullet"/>
      <w:lvlText w:val="-"/>
      <w:lvlJc w:val="left"/>
      <w:pPr>
        <w:ind w:left="0" w:hanging="720"/>
      </w:pPr>
      <w:rPr>
        <w:rFonts w:ascii="Calibri" w:eastAsia="Times New Roman" w:hAnsi="Calibri" w:cs="Calibri" w:hint="default"/>
      </w:rPr>
    </w:lvl>
    <w:lvl w:ilvl="2" w:tplc="08090005">
      <w:start w:val="1"/>
      <w:numFmt w:val="bullet"/>
      <w:lvlText w:val=""/>
      <w:lvlJc w:val="left"/>
      <w:pPr>
        <w:ind w:left="360" w:hanging="360"/>
      </w:pPr>
      <w:rPr>
        <w:rFonts w:ascii="Wingdings" w:hAnsi="Wingdings" w:hint="default"/>
      </w:rPr>
    </w:lvl>
    <w:lvl w:ilvl="3" w:tplc="08090001">
      <w:start w:val="1"/>
      <w:numFmt w:val="bullet"/>
      <w:lvlText w:val=""/>
      <w:lvlJc w:val="left"/>
      <w:pPr>
        <w:ind w:left="1080" w:hanging="360"/>
      </w:pPr>
      <w:rPr>
        <w:rFonts w:ascii="Symbol" w:hAnsi="Symbol" w:hint="default"/>
      </w:rPr>
    </w:lvl>
    <w:lvl w:ilvl="4" w:tplc="08090003">
      <w:start w:val="1"/>
      <w:numFmt w:val="bullet"/>
      <w:lvlText w:val="o"/>
      <w:lvlJc w:val="left"/>
      <w:pPr>
        <w:ind w:left="1800" w:hanging="360"/>
      </w:pPr>
      <w:rPr>
        <w:rFonts w:ascii="Courier New" w:hAnsi="Courier New" w:cs="Courier New" w:hint="default"/>
      </w:rPr>
    </w:lvl>
    <w:lvl w:ilvl="5" w:tplc="08090005">
      <w:start w:val="1"/>
      <w:numFmt w:val="bullet"/>
      <w:lvlText w:val=""/>
      <w:lvlJc w:val="left"/>
      <w:pPr>
        <w:ind w:left="2520" w:hanging="360"/>
      </w:pPr>
      <w:rPr>
        <w:rFonts w:ascii="Wingdings" w:hAnsi="Wingdings" w:hint="default"/>
      </w:rPr>
    </w:lvl>
    <w:lvl w:ilvl="6" w:tplc="08090001">
      <w:start w:val="1"/>
      <w:numFmt w:val="bullet"/>
      <w:lvlText w:val=""/>
      <w:lvlJc w:val="left"/>
      <w:pPr>
        <w:ind w:left="3240" w:hanging="360"/>
      </w:pPr>
      <w:rPr>
        <w:rFonts w:ascii="Symbol" w:hAnsi="Symbol" w:hint="default"/>
      </w:rPr>
    </w:lvl>
    <w:lvl w:ilvl="7" w:tplc="08090003">
      <w:start w:val="1"/>
      <w:numFmt w:val="bullet"/>
      <w:lvlText w:val="o"/>
      <w:lvlJc w:val="left"/>
      <w:pPr>
        <w:ind w:left="3960" w:hanging="360"/>
      </w:pPr>
      <w:rPr>
        <w:rFonts w:ascii="Courier New" w:hAnsi="Courier New" w:cs="Courier New" w:hint="default"/>
      </w:rPr>
    </w:lvl>
    <w:lvl w:ilvl="8" w:tplc="08090005">
      <w:start w:val="1"/>
      <w:numFmt w:val="bullet"/>
      <w:lvlText w:val=""/>
      <w:lvlJc w:val="left"/>
      <w:pPr>
        <w:ind w:left="4680" w:hanging="360"/>
      </w:pPr>
      <w:rPr>
        <w:rFonts w:ascii="Wingdings" w:hAnsi="Wingdings" w:hint="default"/>
      </w:rPr>
    </w:lvl>
  </w:abstractNum>
  <w:abstractNum w:abstractNumId="2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2"/>
  </w:num>
  <w:num w:numId="5">
    <w:abstractNumId w:val="20"/>
  </w:num>
  <w:num w:numId="6">
    <w:abstractNumId w:val="6"/>
  </w:num>
  <w:num w:numId="7">
    <w:abstractNumId w:val="18"/>
  </w:num>
  <w:num w:numId="8">
    <w:abstractNumId w:val="1"/>
  </w:num>
  <w:num w:numId="9">
    <w:abstractNumId w:val="17"/>
  </w:num>
  <w:num w:numId="10">
    <w:abstractNumId w:val="16"/>
  </w:num>
  <w:num w:numId="11">
    <w:abstractNumId w:val="22"/>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9"/>
  </w:num>
  <w:num w:numId="19">
    <w:abstractNumId w:val="2"/>
  </w:num>
  <w:num w:numId="20">
    <w:abstractNumId w:val="3"/>
  </w:num>
  <w:num w:numId="21">
    <w:abstractNumId w:val="4"/>
  </w:num>
  <w:num w:numId="22">
    <w:abstractNumId w:val="13"/>
  </w:num>
  <w:num w:numId="23">
    <w:abstractNumId w:val="21"/>
  </w:num>
  <w:num w:numId="24">
    <w:abstractNumId w:val="8"/>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1C91"/>
    <w:rsid w:val="000639BB"/>
    <w:rsid w:val="00067546"/>
    <w:rsid w:val="00073907"/>
    <w:rsid w:val="00077DCF"/>
    <w:rsid w:val="000910FA"/>
    <w:rsid w:val="00091352"/>
    <w:rsid w:val="000A24C4"/>
    <w:rsid w:val="000B2C16"/>
    <w:rsid w:val="000B6681"/>
    <w:rsid w:val="000C6D3A"/>
    <w:rsid w:val="000E1AA3"/>
    <w:rsid w:val="001034ED"/>
    <w:rsid w:val="0011030B"/>
    <w:rsid w:val="001127E6"/>
    <w:rsid w:val="0012075C"/>
    <w:rsid w:val="0013388C"/>
    <w:rsid w:val="0013577B"/>
    <w:rsid w:val="00145719"/>
    <w:rsid w:val="0014660A"/>
    <w:rsid w:val="00151B76"/>
    <w:rsid w:val="00154806"/>
    <w:rsid w:val="00155BC5"/>
    <w:rsid w:val="0018734D"/>
    <w:rsid w:val="001A0E35"/>
    <w:rsid w:val="001C1BC2"/>
    <w:rsid w:val="001C3E19"/>
    <w:rsid w:val="001F0C55"/>
    <w:rsid w:val="001F31C6"/>
    <w:rsid w:val="001F4F46"/>
    <w:rsid w:val="00202B2D"/>
    <w:rsid w:val="00211876"/>
    <w:rsid w:val="002313D6"/>
    <w:rsid w:val="00240AFC"/>
    <w:rsid w:val="00250A24"/>
    <w:rsid w:val="002525CC"/>
    <w:rsid w:val="00257D67"/>
    <w:rsid w:val="00265084"/>
    <w:rsid w:val="0027379A"/>
    <w:rsid w:val="00290745"/>
    <w:rsid w:val="00294169"/>
    <w:rsid w:val="0029558C"/>
    <w:rsid w:val="002960FA"/>
    <w:rsid w:val="002A631A"/>
    <w:rsid w:val="002A6E7E"/>
    <w:rsid w:val="002C550A"/>
    <w:rsid w:val="002E449E"/>
    <w:rsid w:val="002E4E48"/>
    <w:rsid w:val="003066A5"/>
    <w:rsid w:val="003161D6"/>
    <w:rsid w:val="00325D2B"/>
    <w:rsid w:val="00326322"/>
    <w:rsid w:val="00334DB3"/>
    <w:rsid w:val="00340709"/>
    <w:rsid w:val="00344199"/>
    <w:rsid w:val="00351E63"/>
    <w:rsid w:val="00352386"/>
    <w:rsid w:val="003525CD"/>
    <w:rsid w:val="003700A1"/>
    <w:rsid w:val="00380958"/>
    <w:rsid w:val="003876C4"/>
    <w:rsid w:val="00394ADD"/>
    <w:rsid w:val="003A176C"/>
    <w:rsid w:val="003A3746"/>
    <w:rsid w:val="003A60DA"/>
    <w:rsid w:val="003A7BF9"/>
    <w:rsid w:val="003B00B3"/>
    <w:rsid w:val="003B3C76"/>
    <w:rsid w:val="003C32E3"/>
    <w:rsid w:val="003C6401"/>
    <w:rsid w:val="003E4E68"/>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97C4D"/>
    <w:rsid w:val="004C0570"/>
    <w:rsid w:val="004C1C86"/>
    <w:rsid w:val="004C665C"/>
    <w:rsid w:val="004D68B6"/>
    <w:rsid w:val="004E4C58"/>
    <w:rsid w:val="004F23B5"/>
    <w:rsid w:val="004F4616"/>
    <w:rsid w:val="00500E13"/>
    <w:rsid w:val="00514CB8"/>
    <w:rsid w:val="00514E59"/>
    <w:rsid w:val="005223A2"/>
    <w:rsid w:val="00522827"/>
    <w:rsid w:val="0052362A"/>
    <w:rsid w:val="0053509F"/>
    <w:rsid w:val="005370AC"/>
    <w:rsid w:val="00537550"/>
    <w:rsid w:val="00553471"/>
    <w:rsid w:val="00560EB1"/>
    <w:rsid w:val="005650FC"/>
    <w:rsid w:val="00577D09"/>
    <w:rsid w:val="005803B3"/>
    <w:rsid w:val="00581C4A"/>
    <w:rsid w:val="00581D14"/>
    <w:rsid w:val="005934B1"/>
    <w:rsid w:val="00593AB3"/>
    <w:rsid w:val="00596373"/>
    <w:rsid w:val="005B657A"/>
    <w:rsid w:val="005C091C"/>
    <w:rsid w:val="005C76A1"/>
    <w:rsid w:val="005D1328"/>
    <w:rsid w:val="005F652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6F764C"/>
    <w:rsid w:val="007100BD"/>
    <w:rsid w:val="00711BEB"/>
    <w:rsid w:val="00736C4F"/>
    <w:rsid w:val="00737374"/>
    <w:rsid w:val="00741B79"/>
    <w:rsid w:val="0077014B"/>
    <w:rsid w:val="00785BA8"/>
    <w:rsid w:val="0079591F"/>
    <w:rsid w:val="007A078A"/>
    <w:rsid w:val="007A2617"/>
    <w:rsid w:val="007A28BA"/>
    <w:rsid w:val="007B2E39"/>
    <w:rsid w:val="007B5EEA"/>
    <w:rsid w:val="007C0F00"/>
    <w:rsid w:val="007C63C4"/>
    <w:rsid w:val="007D1A37"/>
    <w:rsid w:val="007E2E6A"/>
    <w:rsid w:val="007E4EE0"/>
    <w:rsid w:val="007F4449"/>
    <w:rsid w:val="00800BB8"/>
    <w:rsid w:val="00814E37"/>
    <w:rsid w:val="00826A99"/>
    <w:rsid w:val="0083759C"/>
    <w:rsid w:val="00844A2C"/>
    <w:rsid w:val="00846F04"/>
    <w:rsid w:val="00850E3E"/>
    <w:rsid w:val="00854588"/>
    <w:rsid w:val="008634EE"/>
    <w:rsid w:val="00884BB8"/>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563"/>
    <w:rsid w:val="009B7FDA"/>
    <w:rsid w:val="009D6C93"/>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00B6"/>
    <w:rsid w:val="00AE7A74"/>
    <w:rsid w:val="00AF0A41"/>
    <w:rsid w:val="00B11474"/>
    <w:rsid w:val="00B137EE"/>
    <w:rsid w:val="00B26EF8"/>
    <w:rsid w:val="00B27325"/>
    <w:rsid w:val="00B55293"/>
    <w:rsid w:val="00B61457"/>
    <w:rsid w:val="00B63C9D"/>
    <w:rsid w:val="00B6605A"/>
    <w:rsid w:val="00B71AEA"/>
    <w:rsid w:val="00B74489"/>
    <w:rsid w:val="00B9140F"/>
    <w:rsid w:val="00B97297"/>
    <w:rsid w:val="00BA2981"/>
    <w:rsid w:val="00BA2B1F"/>
    <w:rsid w:val="00BB553B"/>
    <w:rsid w:val="00C152FE"/>
    <w:rsid w:val="00C210B4"/>
    <w:rsid w:val="00C229A8"/>
    <w:rsid w:val="00C22A2E"/>
    <w:rsid w:val="00C22F94"/>
    <w:rsid w:val="00C241F6"/>
    <w:rsid w:val="00C325E3"/>
    <w:rsid w:val="00C35C43"/>
    <w:rsid w:val="00C605D4"/>
    <w:rsid w:val="00C67407"/>
    <w:rsid w:val="00C7123B"/>
    <w:rsid w:val="00C94E79"/>
    <w:rsid w:val="00CA6252"/>
    <w:rsid w:val="00CC5969"/>
    <w:rsid w:val="00CF504E"/>
    <w:rsid w:val="00D11228"/>
    <w:rsid w:val="00D12D35"/>
    <w:rsid w:val="00D17114"/>
    <w:rsid w:val="00D563BD"/>
    <w:rsid w:val="00D56E0E"/>
    <w:rsid w:val="00D82137"/>
    <w:rsid w:val="00D83C21"/>
    <w:rsid w:val="00D855E8"/>
    <w:rsid w:val="00DA4FFC"/>
    <w:rsid w:val="00DB24B1"/>
    <w:rsid w:val="00DC4AE7"/>
    <w:rsid w:val="00DD657C"/>
    <w:rsid w:val="00DE10A6"/>
    <w:rsid w:val="00DF78A7"/>
    <w:rsid w:val="00E07A4C"/>
    <w:rsid w:val="00E07CA1"/>
    <w:rsid w:val="00E16886"/>
    <w:rsid w:val="00E16D61"/>
    <w:rsid w:val="00E23632"/>
    <w:rsid w:val="00E44F28"/>
    <w:rsid w:val="00E51B2C"/>
    <w:rsid w:val="00E613BC"/>
    <w:rsid w:val="00E67E00"/>
    <w:rsid w:val="00E72040"/>
    <w:rsid w:val="00E74038"/>
    <w:rsid w:val="00E74F47"/>
    <w:rsid w:val="00EA6E73"/>
    <w:rsid w:val="00EC064B"/>
    <w:rsid w:val="00ED7DAE"/>
    <w:rsid w:val="00F00FDD"/>
    <w:rsid w:val="00F07040"/>
    <w:rsid w:val="00F07E48"/>
    <w:rsid w:val="00F2310E"/>
    <w:rsid w:val="00F45F1F"/>
    <w:rsid w:val="00F67599"/>
    <w:rsid w:val="00F75853"/>
    <w:rsid w:val="00F807A5"/>
    <w:rsid w:val="00F8144F"/>
    <w:rsid w:val="00F81CDD"/>
    <w:rsid w:val="00F862A7"/>
    <w:rsid w:val="00F93763"/>
    <w:rsid w:val="00F939A2"/>
    <w:rsid w:val="00F96E8D"/>
    <w:rsid w:val="00FA20D9"/>
    <w:rsid w:val="00FB03D0"/>
    <w:rsid w:val="00FD6C86"/>
    <w:rsid w:val="00FE4FD2"/>
    <w:rsid w:val="00FF642D"/>
    <w:rsid w:val="00FF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table" w:customStyle="1" w:styleId="TableGrid1">
    <w:name w:val="TableGrid1"/>
    <w:rsid w:val="00061C9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22913530">
      <w:bodyDiv w:val="1"/>
      <w:marLeft w:val="0"/>
      <w:marRight w:val="0"/>
      <w:marTop w:val="0"/>
      <w:marBottom w:val="0"/>
      <w:divBdr>
        <w:top w:val="none" w:sz="0" w:space="0" w:color="auto"/>
        <w:left w:val="none" w:sz="0" w:space="0" w:color="auto"/>
        <w:bottom w:val="none" w:sz="0" w:space="0" w:color="auto"/>
        <w:right w:val="none" w:sz="0" w:space="0" w:color="auto"/>
      </w:divBdr>
    </w:div>
    <w:div w:id="225264925">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11980648">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4870320">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27315538">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30846578">
      <w:bodyDiv w:val="1"/>
      <w:marLeft w:val="0"/>
      <w:marRight w:val="0"/>
      <w:marTop w:val="0"/>
      <w:marBottom w:val="0"/>
      <w:divBdr>
        <w:top w:val="none" w:sz="0" w:space="0" w:color="auto"/>
        <w:left w:val="none" w:sz="0" w:space="0" w:color="auto"/>
        <w:bottom w:val="none" w:sz="0" w:space="0" w:color="auto"/>
        <w:right w:val="none" w:sz="0" w:space="0" w:color="auto"/>
      </w:divBdr>
    </w:div>
    <w:div w:id="546990691">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27667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691148833">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22548040">
      <w:bodyDiv w:val="1"/>
      <w:marLeft w:val="0"/>
      <w:marRight w:val="0"/>
      <w:marTop w:val="0"/>
      <w:marBottom w:val="0"/>
      <w:divBdr>
        <w:top w:val="none" w:sz="0" w:space="0" w:color="auto"/>
        <w:left w:val="none" w:sz="0" w:space="0" w:color="auto"/>
        <w:bottom w:val="none" w:sz="0" w:space="0" w:color="auto"/>
        <w:right w:val="none" w:sz="0" w:space="0" w:color="auto"/>
      </w:divBdr>
    </w:div>
    <w:div w:id="826553853">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74676750">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0405237">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9201636">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54944799">
      <w:bodyDiv w:val="1"/>
      <w:marLeft w:val="0"/>
      <w:marRight w:val="0"/>
      <w:marTop w:val="0"/>
      <w:marBottom w:val="0"/>
      <w:divBdr>
        <w:top w:val="none" w:sz="0" w:space="0" w:color="auto"/>
        <w:left w:val="none" w:sz="0" w:space="0" w:color="auto"/>
        <w:bottom w:val="none" w:sz="0" w:space="0" w:color="auto"/>
        <w:right w:val="none" w:sz="0" w:space="0" w:color="auto"/>
      </w:divBdr>
    </w:div>
    <w:div w:id="1677150849">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0767412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6145075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27826932">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88376519">
      <w:bodyDiv w:val="1"/>
      <w:marLeft w:val="0"/>
      <w:marRight w:val="0"/>
      <w:marTop w:val="0"/>
      <w:marBottom w:val="0"/>
      <w:divBdr>
        <w:top w:val="none" w:sz="0" w:space="0" w:color="auto"/>
        <w:left w:val="none" w:sz="0" w:space="0" w:color="auto"/>
        <w:bottom w:val="none" w:sz="0" w:space="0" w:color="auto"/>
        <w:right w:val="none" w:sz="0" w:space="0" w:color="auto"/>
      </w:divBdr>
    </w:div>
    <w:div w:id="2091416801">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ml.uis.unesco.org/wp-content/uploads/sites/2/2019/02/MPLs_revised_doc_20190204.docx" TargetMode="External"/><Relationship Id="rId13" Type="http://schemas.openxmlformats.org/officeDocument/2006/relationships/hyperlink" Target="http://uis.unesco.org/en/blog/helping-countries-improve-their-data-out-school-children" TargetMode="External"/><Relationship Id="rId18" Type="http://schemas.openxmlformats.org/officeDocument/2006/relationships/hyperlink" Target="http://gaml.uis.unesco.org/wp-content/uploads/sites/2/2019/05/Global-Proficiency-Framework-18Oct2019_KD.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aml.uis.unesco.org/wp-content/uploads/sites/2/2019/05/GAML6-WD-2-Protocol-for-reporting-4.1.1_v1.pdf" TargetMode="External"/><Relationship Id="rId17" Type="http://schemas.openxmlformats.org/officeDocument/2006/relationships/hyperlink" Target="http://gaml.uis.unesco.org/wp-content/uploads/sites/2/2019/05/GAML6-WD-2-Protocol-for-reporting-4.1.1_v1.pdf" TargetMode="External"/><Relationship Id="rId2" Type="http://schemas.openxmlformats.org/officeDocument/2006/relationships/numbering" Target="numbering.xml"/><Relationship Id="rId16" Type="http://schemas.openxmlformats.org/officeDocument/2006/relationships/hyperlink" Target="http://uis.unesco.org/sites/default/files/documents/ip53-costs-benefits-approaches-measuring-proficiency-2019-e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cg.uis.unesco.org/" TargetMode="External"/><Relationship Id="rId5" Type="http://schemas.openxmlformats.org/officeDocument/2006/relationships/webSettings" Target="webSettings.xml"/><Relationship Id="rId15" Type="http://schemas.openxmlformats.org/officeDocument/2006/relationships/hyperlink" Target="http://gaml.uis.unesco.org/wp-content/uploads/sites/2/2019/07/MPLs_revised_doc_20190506_v2.pdf" TargetMode="External"/><Relationship Id="rId23" Type="http://schemas.openxmlformats.org/officeDocument/2006/relationships/theme" Target="theme/theme1.xml"/><Relationship Id="rId10" Type="http://schemas.openxmlformats.org/officeDocument/2006/relationships/hyperlink" Target="http://gaml.uis.unesco.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nglives.org.uk/" TargetMode="External"/><Relationship Id="rId14" Type="http://schemas.openxmlformats.org/officeDocument/2006/relationships/hyperlink" Target="http://tcg.uis.unesco.org/wp-content/uploads/sites/4/2020/08/metadata-4.1.1.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9DB7EC011840B78B8B29BA265DE978"/>
        <w:category>
          <w:name w:val="General"/>
          <w:gallery w:val="placeholder"/>
        </w:category>
        <w:types>
          <w:type w:val="bbPlcHdr"/>
        </w:types>
        <w:behaviors>
          <w:behavior w:val="content"/>
        </w:behaviors>
        <w:guid w:val="{B5E65DE2-4AA9-4C93-964F-9C6FB9DBE087}"/>
      </w:docPartPr>
      <w:docPartBody>
        <w:p w:rsidR="00184E16" w:rsidRDefault="008763D3" w:rsidP="008763D3">
          <w:pPr>
            <w:pStyle w:val="3F9DB7EC011840B78B8B29BA265DE978"/>
          </w:pPr>
          <w:r w:rsidRPr="00D2076D">
            <w:rPr>
              <w:rStyle w:val="PlaceholderText"/>
            </w:rPr>
            <w:t>Choose an item.</w:t>
          </w:r>
        </w:p>
      </w:docPartBody>
    </w:docPart>
    <w:docPart>
      <w:docPartPr>
        <w:name w:val="E886E7E352554935B7063A5DF4E6525D"/>
        <w:category>
          <w:name w:val="General"/>
          <w:gallery w:val="placeholder"/>
        </w:category>
        <w:types>
          <w:type w:val="bbPlcHdr"/>
        </w:types>
        <w:behaviors>
          <w:behavior w:val="content"/>
        </w:behaviors>
        <w:guid w:val="{4726C575-B745-4388-BBD7-1F1670757E4B}"/>
      </w:docPartPr>
      <w:docPartBody>
        <w:p w:rsidR="00184E16" w:rsidRDefault="008763D3" w:rsidP="008763D3">
          <w:pPr>
            <w:pStyle w:val="E886E7E352554935B7063A5DF4E6525D"/>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D3"/>
    <w:rsid w:val="00184E16"/>
    <w:rsid w:val="00640F18"/>
    <w:rsid w:val="008763D3"/>
    <w:rsid w:val="00D4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3D3"/>
    <w:rPr>
      <w:color w:val="808080"/>
    </w:rPr>
  </w:style>
  <w:style w:type="paragraph" w:customStyle="1" w:styleId="3F9DB7EC011840B78B8B29BA265DE978">
    <w:name w:val="3F9DB7EC011840B78B8B29BA265DE978"/>
    <w:rsid w:val="008763D3"/>
  </w:style>
  <w:style w:type="paragraph" w:customStyle="1" w:styleId="E886E7E352554935B7063A5DF4E6525D">
    <w:name w:val="E886E7E352554935B7063A5DF4E6525D"/>
    <w:rsid w:val="00876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61E86-AB90-45F0-AF06-B1876557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2020-04-10T17:02:00Z</cp:lastPrinted>
  <dcterms:created xsi:type="dcterms:W3CDTF">2021-01-04T22:20:00Z</dcterms:created>
  <dcterms:modified xsi:type="dcterms:W3CDTF">2021-01-04T22:47:00Z</dcterms:modified>
</cp:coreProperties>
</file>