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2BC3550" w:rsidR="006D23F0" w:rsidRDefault="006D23F0" w:rsidP="006D23F0">
      <w:r>
        <w:t>1</w:t>
      </w:r>
      <w:r w:rsidR="00FE4FD2">
        <w:t>6</w:t>
      </w:r>
      <w:r>
        <w:t xml:space="preserve"> April 2020</w:t>
      </w:r>
    </w:p>
    <w:p w14:paraId="42E078A2" w14:textId="77777777" w:rsidR="004C0570" w:rsidRPr="004C0570" w:rsidRDefault="004C0570" w:rsidP="004C0570">
      <w:pPr>
        <w:pStyle w:val="MHeader"/>
        <w:outlineLvl w:val="0"/>
      </w:pPr>
      <w:bookmarkStart w:id="0" w:name="_Toc37932741"/>
      <w:r w:rsidRPr="004C0570">
        <w:t>Metadata Attachment</w:t>
      </w:r>
      <w:bookmarkEnd w:id="0"/>
    </w:p>
    <w:p w14:paraId="3880B22A" w14:textId="77777777" w:rsidR="004C0570" w:rsidRPr="004C0570" w:rsidRDefault="004C0570" w:rsidP="004C0570">
      <w:pPr>
        <w:spacing w:after="0"/>
        <w:rPr>
          <w:sz w:val="26"/>
          <w:szCs w:val="26"/>
        </w:rPr>
      </w:pPr>
      <w:r w:rsidRPr="004C0570">
        <w:rPr>
          <w:sz w:val="26"/>
          <w:szCs w:val="26"/>
        </w:rPr>
        <w:t>Reporting type</w:t>
      </w:r>
    </w:p>
    <w:sdt>
      <w:sdtPr>
        <w:alias w:val="Reporting Type"/>
        <w:tag w:val="Reporting Type"/>
        <w:id w:val="-136573180"/>
        <w:placeholder>
          <w:docPart w:val="3F9DB7EC011840B78B8B29BA265DE978"/>
        </w:placeholder>
        <w:dropDownList>
          <w:listItem w:displayText="Global" w:value="G"/>
          <w:listItem w:displayText="National" w:value="N"/>
        </w:dropDownList>
      </w:sdtPr>
      <w:sdtContent>
        <w:p w14:paraId="3C3FBF36" w14:textId="5F187849" w:rsidR="004C0570" w:rsidRPr="004C0570" w:rsidRDefault="004C0570" w:rsidP="004C0570">
          <w:r>
            <w:t>Global</w:t>
          </w:r>
        </w:p>
      </w:sdtContent>
    </w:sdt>
    <w:p w14:paraId="74975F2B" w14:textId="77777777" w:rsidR="004C0570" w:rsidRPr="004C0570" w:rsidRDefault="004C0570" w:rsidP="004C0570">
      <w:pPr>
        <w:spacing w:after="0"/>
        <w:rPr>
          <w:sz w:val="26"/>
          <w:szCs w:val="26"/>
        </w:rPr>
      </w:pPr>
      <w:r w:rsidRPr="004C0570">
        <w:rPr>
          <w:sz w:val="26"/>
          <w:szCs w:val="26"/>
        </w:rPr>
        <w:t>SDG series</w:t>
      </w:r>
    </w:p>
    <w:sdt>
      <w:sdtPr>
        <w:alias w:val="SDG Series"/>
        <w:tag w:val="ddSeries"/>
        <w:id w:val="590363093"/>
        <w:placeholder>
          <w:docPart w:val="E886E7E352554935B7063A5DF4E6525D"/>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6E2AEBAE" w14:textId="4223C012" w:rsidR="004C0570" w:rsidRPr="004C0570" w:rsidRDefault="004C0570" w:rsidP="004C0570">
          <w:r>
            <w:t>4.1.1  Proportion of children and young people achieving a minimum proficiency level in reading and mathematics</w:t>
          </w:r>
        </w:p>
      </w:sdtContent>
    </w:sdt>
    <w:p w14:paraId="7FA0642C" w14:textId="77777777" w:rsidR="004C0570" w:rsidRPr="004C0570" w:rsidRDefault="004C0570" w:rsidP="004C0570">
      <w:pPr>
        <w:spacing w:after="0"/>
        <w:rPr>
          <w:sz w:val="26"/>
          <w:szCs w:val="26"/>
        </w:rPr>
      </w:pPr>
      <w:r w:rsidRPr="004C0570">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472FF6D4" w14:textId="510A7A88" w:rsidR="004C0570" w:rsidRDefault="004C0570" w:rsidP="004C0570">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C2345FF" w:rsidR="00A36E8B" w:rsidRPr="003B00B3" w:rsidRDefault="003B00B3" w:rsidP="00C325E3">
            <w:pPr>
              <w:pStyle w:val="MGTHeader"/>
            </w:pPr>
            <w:r>
              <w:t>Goal 4: Ensure inclusive and equitable quality education and promote lifelong learning opportunities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781A7D77" w:rsidR="00A36E8B" w:rsidRPr="00C325E3" w:rsidRDefault="00C325E3" w:rsidP="003700A1">
            <w:pPr>
              <w:pStyle w:val="MGTHeader"/>
            </w:pPr>
            <w:r>
              <w:t xml:space="preserve">Target 4.1: By 2030, ensure that all girls and boys complete free, equitable and quality primary and secondary education leading to relevant and effective learning outcomes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6E2F73F" w:rsidR="00A36E8B" w:rsidRPr="00C325E3" w:rsidRDefault="00C325E3" w:rsidP="00F67599">
            <w:pPr>
              <w:pStyle w:val="MIndHeader"/>
            </w:pPr>
            <w:r w:rsidRPr="00C325E3">
              <w:t>Indicator 4.1.1: Proportion of children and young people: (a) in grades 2/3; (b) at the end of primary; and (c) at the end of lower secondary achieving at least a minimum proficiency level in (</w:t>
            </w:r>
            <w:proofErr w:type="spellStart"/>
            <w:r w:rsidRPr="00C325E3">
              <w:t>i</w:t>
            </w:r>
            <w:proofErr w:type="spellEnd"/>
            <w:r w:rsidRPr="00C325E3">
              <w:t>) reading and (ii) mathematics, by sex</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515DAE5" w:rsidR="00A36E8B" w:rsidRPr="00C325E3" w:rsidRDefault="00C325E3" w:rsidP="00C325E3">
            <w:pPr>
              <w:pStyle w:val="Header"/>
              <w:rPr>
                <w:color w:val="404040" w:themeColor="text1" w:themeTint="BF"/>
                <w:sz w:val="18"/>
                <w:szCs w:val="18"/>
              </w:rPr>
            </w:pPr>
            <w:bookmarkStart w:id="5" w:name="_Hlk516233504"/>
            <w:bookmarkStart w:id="6" w:name="_Hlk516233503"/>
            <w:bookmarkStart w:id="7" w:name="_Hlk516233502"/>
            <w:bookmarkStart w:id="8" w:name="_Hlk506197005"/>
            <w:bookmarkStart w:id="9" w:name="_Hlk506197004"/>
            <w:bookmarkStart w:id="10" w:name="_Hlk506197003"/>
            <w:r>
              <w:rPr>
                <w:color w:val="404040" w:themeColor="text1" w:themeTint="BF"/>
                <w:sz w:val="18"/>
                <w:szCs w:val="18"/>
              </w:rPr>
              <w:t xml:space="preserve">Last updated: </w:t>
            </w:r>
            <w:bookmarkEnd w:id="5"/>
            <w:bookmarkEnd w:id="6"/>
            <w:bookmarkEnd w:id="7"/>
            <w:bookmarkEnd w:id="8"/>
            <w:bookmarkEnd w:id="9"/>
            <w:bookmarkEnd w:id="10"/>
            <w:r>
              <w:rPr>
                <w:color w:val="404040" w:themeColor="text1" w:themeTint="BF"/>
                <w:sz w:val="18"/>
                <w:szCs w:val="18"/>
              </w:rPr>
              <w:t>October 2018</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440F0AC7" w14:textId="77777777" w:rsidR="00F45F1F" w:rsidRDefault="00F45F1F" w:rsidP="00F67599">
            <w:pPr>
              <w:pStyle w:val="MHeader"/>
            </w:pPr>
            <w:r>
              <w:t>Related indicators</w:t>
            </w:r>
          </w:p>
          <w:p w14:paraId="0B4010A4" w14:textId="77777777" w:rsidR="00F67599" w:rsidRDefault="00F67599" w:rsidP="00F67599">
            <w:pPr>
              <w:pStyle w:val="MText"/>
              <w:rPr>
                <w:u w:val="single"/>
              </w:rPr>
            </w:pPr>
            <w:r>
              <w:rPr>
                <w:u w:val="single"/>
              </w:rPr>
              <w:t xml:space="preserve">This metadata covers part (a) of indicator 4.1.1: proportion of children and young people </w:t>
            </w:r>
            <w:r>
              <w:rPr>
                <w:b/>
                <w:bCs/>
                <w:i/>
                <w:iCs/>
                <w:u w:val="single"/>
              </w:rPr>
              <w:t>in grades 2/3</w:t>
            </w:r>
            <w:r>
              <w:rPr>
                <w:u w:val="single"/>
              </w:rPr>
              <w:t xml:space="preserve"> achieving at least a minimum proficiency level in (</w:t>
            </w:r>
            <w:proofErr w:type="spellStart"/>
            <w:r>
              <w:rPr>
                <w:u w:val="single"/>
              </w:rPr>
              <w:t>i</w:t>
            </w:r>
            <w:proofErr w:type="spellEnd"/>
            <w:r>
              <w:rPr>
                <w:u w:val="single"/>
              </w:rPr>
              <w:t>) reading and (ii) mathematics, by sex</w:t>
            </w:r>
          </w:p>
          <w:p w14:paraId="44124078" w14:textId="77777777" w:rsidR="00F67599" w:rsidRDefault="00F67599" w:rsidP="00F67599">
            <w:pPr>
              <w:pStyle w:val="MText"/>
            </w:pPr>
          </w:p>
          <w:p w14:paraId="623BAD4B" w14:textId="00A48F18" w:rsidR="00F45F1F" w:rsidRPr="00F45F1F" w:rsidRDefault="00F45F1F" w:rsidP="00F67599">
            <w:pPr>
              <w:pStyle w:val="MText"/>
            </w:pPr>
            <w:r>
              <w:t>The parity indices for this indicator are reported in SDG indicator 4.5.1.</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DDC1ECA" w14:textId="77777777" w:rsidR="00C325E3" w:rsidRDefault="00C325E3" w:rsidP="00C325E3">
            <w:pPr>
              <w:pStyle w:val="MHeader"/>
            </w:pPr>
            <w:r>
              <w:t>Institutional information</w:t>
            </w:r>
          </w:p>
          <w:p w14:paraId="531472C1" w14:textId="77777777" w:rsidR="00C325E3" w:rsidRDefault="00C325E3" w:rsidP="00C325E3">
            <w:pPr>
              <w:pStyle w:val="MSubHeader"/>
            </w:pPr>
            <w:r>
              <w:t>Organization(s):</w:t>
            </w:r>
          </w:p>
          <w:p w14:paraId="3E0416B7" w14:textId="72A8FB4D" w:rsidR="00A36E8B" w:rsidRPr="00C325E3" w:rsidRDefault="00C325E3" w:rsidP="00F67599">
            <w:pPr>
              <w:pStyle w:val="MText"/>
              <w:rPr>
                <w:b/>
                <w:bCs/>
              </w:rPr>
            </w:pPr>
            <w:r>
              <w:t>UNESCO Institute of Statistics (UIS)</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1" w:name="_Toc36655609"/>
            <w:bookmarkStart w:id="12" w:name="_Toc36812572"/>
            <w:bookmarkStart w:id="13" w:name="_Toc36812685"/>
            <w:bookmarkStart w:id="14" w:name="_Toc36813072"/>
            <w:r w:rsidRPr="000149A9">
              <w:lastRenderedPageBreak/>
              <w:t>1. Data reporter</w:t>
            </w:r>
            <w:bookmarkEnd w:id="11"/>
            <w:bookmarkEnd w:id="12"/>
            <w:bookmarkEnd w:id="13"/>
            <w:bookmarkEnd w:id="14"/>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5" w:name="_Toc36655610"/>
            <w:bookmarkStart w:id="16" w:name="_Toc36812573"/>
            <w:bookmarkStart w:id="17" w:name="_Toc36812686"/>
            <w:bookmarkStart w:id="18" w:name="_Toc36813073"/>
            <w:r w:rsidRPr="000149A9">
              <w:t>2. Definition, concepts, and classifications</w:t>
            </w:r>
            <w:bookmarkEnd w:id="15"/>
            <w:bookmarkEnd w:id="16"/>
            <w:bookmarkEnd w:id="17"/>
            <w:bookmarkEnd w:id="18"/>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DED0FB5" w14:textId="77777777" w:rsidR="00067546" w:rsidRDefault="00067546" w:rsidP="00067546">
            <w:pPr>
              <w:pStyle w:val="MHeader"/>
            </w:pPr>
            <w:r>
              <w:t>Concepts and definitions</w:t>
            </w:r>
          </w:p>
          <w:p w14:paraId="5D9EC032" w14:textId="77777777" w:rsidR="00067546" w:rsidRDefault="00067546" w:rsidP="00067546">
            <w:pPr>
              <w:pStyle w:val="MSubHeader"/>
            </w:pPr>
            <w:r>
              <w:t>Definition:</w:t>
            </w:r>
          </w:p>
          <w:p w14:paraId="2E4036BA" w14:textId="77777777" w:rsidR="00067546" w:rsidRDefault="00067546" w:rsidP="004E4C58">
            <w:pPr>
              <w:pStyle w:val="MText"/>
            </w:pPr>
            <w:r>
              <w:t>Proportion of children and young people in grades 2/3 achieving at least a minimum proficiency level in (</w:t>
            </w:r>
            <w:proofErr w:type="spellStart"/>
            <w:r>
              <w:t>i</w:t>
            </w:r>
            <w:proofErr w:type="spellEnd"/>
            <w:r>
              <w:t>) reading and (ii) mathematics, by sex.</w:t>
            </w:r>
          </w:p>
          <w:p w14:paraId="628C1BAC" w14:textId="77777777" w:rsidR="00067546" w:rsidRDefault="00067546" w:rsidP="00067546">
            <w:pPr>
              <w:shd w:val="clear" w:color="auto" w:fill="FFFFFF"/>
              <w:spacing w:after="0"/>
              <w:rPr>
                <w:rFonts w:eastAsia="Times New Roman" w:cs="Times New Roman"/>
                <w:color w:val="4A4A4A"/>
                <w:sz w:val="21"/>
                <w:szCs w:val="21"/>
                <w:lang w:eastAsia="en-GB"/>
              </w:rPr>
            </w:pPr>
          </w:p>
          <w:p w14:paraId="340E928A" w14:textId="77777777" w:rsidR="00067546" w:rsidRDefault="00067546" w:rsidP="004E4C58">
            <w:pPr>
              <w:pStyle w:val="MSubHeader"/>
            </w:pPr>
            <w:r>
              <w:t>Concepts:</w:t>
            </w:r>
          </w:p>
          <w:p w14:paraId="2E18980B" w14:textId="77777777" w:rsidR="00067546" w:rsidRDefault="00067546" w:rsidP="00067546">
            <w:pPr>
              <w:pStyle w:val="MText"/>
            </w:pPr>
            <w:r>
              <w:rPr>
                <w:i/>
                <w:iCs/>
              </w:rPr>
              <w:t>Minimum proficiency level</w:t>
            </w:r>
            <w:r>
              <w:t xml:space="preserve"> is the benchmark of basic knowledge in a domain (mathematics, reading, etc.) measured through learning assessments. Until August 2018, there was no globally agreed definition on minimum proficiency level. As an interim reporting strategy, the UIS has been reporting according to the minimum proficiency level defined by each assessment.</w:t>
            </w:r>
          </w:p>
          <w:p w14:paraId="008DA4A8" w14:textId="77777777" w:rsidR="00067546" w:rsidRDefault="00067546" w:rsidP="00067546">
            <w:pPr>
              <w:pStyle w:val="MText"/>
            </w:pPr>
          </w:p>
          <w:p w14:paraId="54F27F85" w14:textId="77777777" w:rsidR="00067546" w:rsidRDefault="00067546" w:rsidP="00067546">
            <w:pPr>
              <w:pStyle w:val="MText"/>
              <w:rPr>
                <w:i/>
                <w:iCs/>
              </w:rPr>
            </w:pPr>
            <w:r>
              <w:rPr>
                <w:i/>
                <w:iCs/>
              </w:rPr>
              <w:t>Minimum proficiency levels defined by each learning assessment</w:t>
            </w:r>
          </w:p>
          <w:p w14:paraId="7612FDE3" w14:textId="77777777" w:rsidR="00067546" w:rsidRDefault="00067546" w:rsidP="00067546">
            <w:pPr>
              <w:pStyle w:val="MText"/>
            </w:pPr>
            <w:r>
              <w:t>The table below shows the minimum proficiency levels for each learning assessment by target grade/age and domain. Due to heterogeneity of performance levels set by national and cross-national assessments, these performance levels will be mapped to the globally-defined minimum performance levels and policy descriptors, agreed upon in September 2018 (see 4.1.1. UIS request for reclassification 2018.09.28.docx) that will allow pedagogical linking. Once the performance levels are mapped, the global education community will be able to identify for each country the proportion or percentage of children who achieved at least minimum proficiency levels.</w:t>
            </w:r>
          </w:p>
          <w:p w14:paraId="51A2DA56" w14:textId="77777777" w:rsidR="00067546" w:rsidRDefault="00067546" w:rsidP="00067546">
            <w:pPr>
              <w:pStyle w:val="MText"/>
            </w:pPr>
          </w:p>
          <w:p w14:paraId="6F9EEC3B" w14:textId="77777777" w:rsidR="00067546" w:rsidRDefault="00067546" w:rsidP="00067546">
            <w:pPr>
              <w:pStyle w:val="Subtitle"/>
              <w:rPr>
                <w:rFonts w:ascii="Open Sans" w:hAnsi="Open Sans" w:cs="Open Sans"/>
                <w:sz w:val="20"/>
                <w:szCs w:val="20"/>
              </w:rPr>
            </w:pPr>
            <w:r>
              <w:rPr>
                <w:rFonts w:ascii="Open Sans" w:hAnsi="Open Sans" w:cs="Open Sans"/>
                <w:sz w:val="20"/>
                <w:szCs w:val="20"/>
              </w:rPr>
              <w:lastRenderedPageBreak/>
              <w:t>Table 1. Minimum proficiency levels defined by each learning assessment</w:t>
            </w:r>
          </w:p>
          <w:tbl>
            <w:tblPr>
              <w:tblW w:w="7780" w:type="dxa"/>
              <w:jc w:val="center"/>
              <w:tblLayout w:type="fixed"/>
              <w:tblLook w:val="04A0" w:firstRow="1" w:lastRow="0" w:firstColumn="1" w:lastColumn="0" w:noHBand="0" w:noVBand="1"/>
            </w:tblPr>
            <w:tblGrid>
              <w:gridCol w:w="1360"/>
              <w:gridCol w:w="1600"/>
              <w:gridCol w:w="960"/>
              <w:gridCol w:w="3860"/>
            </w:tblGrid>
            <w:tr w:rsidR="00067546" w14:paraId="012AC901" w14:textId="77777777" w:rsidTr="00067546">
              <w:trPr>
                <w:trHeight w:val="570"/>
                <w:jc w:val="center"/>
              </w:trPr>
              <w:tc>
                <w:tcPr>
                  <w:tcW w:w="136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98F37"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Name</w:t>
                  </w:r>
                </w:p>
              </w:tc>
              <w:tc>
                <w:tcPr>
                  <w:tcW w:w="1600" w:type="dxa"/>
                  <w:tcBorders>
                    <w:top w:val="single" w:sz="4" w:space="0" w:color="auto"/>
                    <w:left w:val="nil"/>
                    <w:bottom w:val="single" w:sz="4" w:space="0" w:color="auto"/>
                    <w:right w:val="single" w:sz="4" w:space="0" w:color="auto"/>
                  </w:tcBorders>
                  <w:shd w:val="clear" w:color="auto" w:fill="BFBFBF"/>
                  <w:vAlign w:val="center"/>
                  <w:hideMark/>
                </w:tcPr>
                <w:p w14:paraId="3B580D84"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Target grade/age</w:t>
                  </w:r>
                </w:p>
              </w:tc>
              <w:tc>
                <w:tcPr>
                  <w:tcW w:w="960" w:type="dxa"/>
                  <w:tcBorders>
                    <w:top w:val="single" w:sz="4" w:space="0" w:color="auto"/>
                    <w:left w:val="nil"/>
                    <w:bottom w:val="single" w:sz="4" w:space="0" w:color="auto"/>
                    <w:right w:val="single" w:sz="4" w:space="0" w:color="auto"/>
                  </w:tcBorders>
                  <w:shd w:val="clear" w:color="auto" w:fill="BFBFBF"/>
                  <w:vAlign w:val="center"/>
                  <w:hideMark/>
                </w:tcPr>
                <w:p w14:paraId="3C0B674E"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Domain</w:t>
                  </w:r>
                </w:p>
              </w:tc>
              <w:tc>
                <w:tcPr>
                  <w:tcW w:w="3860" w:type="dxa"/>
                  <w:tcBorders>
                    <w:top w:val="single" w:sz="4" w:space="0" w:color="auto"/>
                    <w:left w:val="nil"/>
                    <w:bottom w:val="single" w:sz="4" w:space="0" w:color="auto"/>
                    <w:right w:val="single" w:sz="4" w:space="0" w:color="auto"/>
                  </w:tcBorders>
                  <w:shd w:val="clear" w:color="auto" w:fill="BFBFBF"/>
                  <w:vAlign w:val="center"/>
                  <w:hideMark/>
                </w:tcPr>
                <w:p w14:paraId="1C86F9D3" w14:textId="77777777" w:rsidR="00067546" w:rsidRDefault="00067546" w:rsidP="00067546">
                  <w:pPr>
                    <w:spacing w:after="0" w:line="240" w:lineRule="auto"/>
                    <w:rPr>
                      <w:rFonts w:ascii="Calibri" w:eastAsia="Times New Roman" w:hAnsi="Calibri" w:cs="Calibri"/>
                      <w:b/>
                      <w:bCs/>
                      <w:color w:val="4A4A4A"/>
                      <w:sz w:val="21"/>
                      <w:szCs w:val="21"/>
                    </w:rPr>
                  </w:pPr>
                  <w:r>
                    <w:rPr>
                      <w:rFonts w:ascii="Calibri" w:eastAsia="Times New Roman" w:hAnsi="Calibri" w:cs="Calibri"/>
                      <w:b/>
                      <w:bCs/>
                      <w:color w:val="4A4A4A"/>
                      <w:sz w:val="21"/>
                      <w:szCs w:val="21"/>
                    </w:rPr>
                    <w:t>Minimum Proficiency Level (MPL)</w:t>
                  </w:r>
                </w:p>
              </w:tc>
            </w:tr>
            <w:tr w:rsidR="00067546" w14:paraId="0FB25C7E"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616DEB6D"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LLECE</w:t>
                  </w:r>
                </w:p>
              </w:tc>
              <w:tc>
                <w:tcPr>
                  <w:tcW w:w="1600" w:type="dxa"/>
                  <w:vMerge w:val="restart"/>
                  <w:tcBorders>
                    <w:top w:val="nil"/>
                    <w:left w:val="single" w:sz="4" w:space="0" w:color="auto"/>
                    <w:bottom w:val="single" w:sz="4" w:space="0" w:color="auto"/>
                    <w:right w:val="single" w:sz="4" w:space="0" w:color="auto"/>
                  </w:tcBorders>
                  <w:vAlign w:val="center"/>
                  <w:hideMark/>
                </w:tcPr>
                <w:p w14:paraId="50ED9A0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3</w:t>
                  </w:r>
                </w:p>
              </w:tc>
              <w:tc>
                <w:tcPr>
                  <w:tcW w:w="960" w:type="dxa"/>
                  <w:tcBorders>
                    <w:top w:val="nil"/>
                    <w:left w:val="nil"/>
                    <w:bottom w:val="single" w:sz="4" w:space="0" w:color="auto"/>
                    <w:right w:val="single" w:sz="4" w:space="0" w:color="auto"/>
                  </w:tcBorders>
                  <w:vAlign w:val="center"/>
                  <w:hideMark/>
                </w:tcPr>
                <w:p w14:paraId="463BC7C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7E6BFC1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2</w:t>
                  </w:r>
                </w:p>
              </w:tc>
            </w:tr>
            <w:tr w:rsidR="00067546" w14:paraId="752D54C2" w14:textId="77777777" w:rsidTr="00067546">
              <w:trPr>
                <w:trHeight w:val="300"/>
                <w:jc w:val="center"/>
              </w:trPr>
              <w:tc>
                <w:tcPr>
                  <w:tcW w:w="1360" w:type="dxa"/>
                  <w:vMerge/>
                  <w:tcBorders>
                    <w:top w:val="nil"/>
                    <w:left w:val="single" w:sz="4" w:space="0" w:color="auto"/>
                    <w:bottom w:val="single" w:sz="4" w:space="0" w:color="auto"/>
                    <w:right w:val="single" w:sz="4" w:space="0" w:color="auto"/>
                  </w:tcBorders>
                  <w:vAlign w:val="center"/>
                  <w:hideMark/>
                </w:tcPr>
                <w:p w14:paraId="4892FD5A"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4A0E4CA6"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219F45D0"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7645F74E"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2</w:t>
                  </w:r>
                </w:p>
              </w:tc>
            </w:tr>
            <w:tr w:rsidR="00067546" w14:paraId="65AB8FC6"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67198631"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PASEC</w:t>
                  </w:r>
                </w:p>
              </w:tc>
              <w:tc>
                <w:tcPr>
                  <w:tcW w:w="1600" w:type="dxa"/>
                  <w:vMerge w:val="restart"/>
                  <w:tcBorders>
                    <w:top w:val="nil"/>
                    <w:left w:val="single" w:sz="4" w:space="0" w:color="auto"/>
                    <w:bottom w:val="single" w:sz="4" w:space="0" w:color="auto"/>
                    <w:right w:val="single" w:sz="4" w:space="0" w:color="auto"/>
                  </w:tcBorders>
                  <w:vAlign w:val="center"/>
                  <w:hideMark/>
                </w:tcPr>
                <w:p w14:paraId="593DFF68"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w:t>
                  </w:r>
                </w:p>
              </w:tc>
              <w:tc>
                <w:tcPr>
                  <w:tcW w:w="960" w:type="dxa"/>
                  <w:tcBorders>
                    <w:top w:val="nil"/>
                    <w:left w:val="nil"/>
                    <w:bottom w:val="single" w:sz="4" w:space="0" w:color="auto"/>
                    <w:right w:val="single" w:sz="4" w:space="0" w:color="auto"/>
                  </w:tcBorders>
                  <w:vAlign w:val="center"/>
                  <w:hideMark/>
                </w:tcPr>
                <w:p w14:paraId="3A7C316B"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49809A48"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3</w:t>
                  </w:r>
                </w:p>
              </w:tc>
            </w:tr>
            <w:tr w:rsidR="00067546" w14:paraId="3BF9DD24" w14:textId="77777777" w:rsidTr="00067546">
              <w:trPr>
                <w:trHeight w:val="300"/>
                <w:jc w:val="center"/>
              </w:trPr>
              <w:tc>
                <w:tcPr>
                  <w:tcW w:w="1360" w:type="dxa"/>
                  <w:vMerge/>
                  <w:tcBorders>
                    <w:top w:val="nil"/>
                    <w:left w:val="single" w:sz="4" w:space="0" w:color="auto"/>
                    <w:bottom w:val="single" w:sz="4" w:space="0" w:color="auto"/>
                    <w:right w:val="single" w:sz="4" w:space="0" w:color="auto"/>
                  </w:tcBorders>
                  <w:vAlign w:val="center"/>
                  <w:hideMark/>
                </w:tcPr>
                <w:p w14:paraId="01B7940C"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7AB74029"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632560C0"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2BFDA04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Level 2</w:t>
                  </w:r>
                </w:p>
              </w:tc>
            </w:tr>
            <w:tr w:rsidR="00067546" w14:paraId="2C097156" w14:textId="77777777" w:rsidTr="00067546">
              <w:trPr>
                <w:trHeight w:val="300"/>
                <w:jc w:val="center"/>
              </w:trPr>
              <w:tc>
                <w:tcPr>
                  <w:tcW w:w="1360" w:type="dxa"/>
                  <w:tcBorders>
                    <w:top w:val="nil"/>
                    <w:left w:val="single" w:sz="4" w:space="0" w:color="auto"/>
                    <w:bottom w:val="single" w:sz="4" w:space="0" w:color="auto"/>
                    <w:right w:val="single" w:sz="4" w:space="0" w:color="auto"/>
                  </w:tcBorders>
                  <w:vAlign w:val="center"/>
                  <w:hideMark/>
                </w:tcPr>
                <w:p w14:paraId="7BA58DC2"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TIMSS</w:t>
                  </w:r>
                </w:p>
              </w:tc>
              <w:tc>
                <w:tcPr>
                  <w:tcW w:w="1600" w:type="dxa"/>
                  <w:tcBorders>
                    <w:top w:val="nil"/>
                    <w:left w:val="nil"/>
                    <w:bottom w:val="single" w:sz="4" w:space="0" w:color="auto"/>
                    <w:right w:val="single" w:sz="4" w:space="0" w:color="auto"/>
                  </w:tcBorders>
                  <w:vAlign w:val="center"/>
                  <w:hideMark/>
                </w:tcPr>
                <w:p w14:paraId="193C49F5"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4</w:t>
                  </w:r>
                </w:p>
              </w:tc>
              <w:tc>
                <w:tcPr>
                  <w:tcW w:w="960" w:type="dxa"/>
                  <w:tcBorders>
                    <w:top w:val="nil"/>
                    <w:left w:val="nil"/>
                    <w:bottom w:val="single" w:sz="4" w:space="0" w:color="auto"/>
                    <w:right w:val="single" w:sz="4" w:space="0" w:color="auto"/>
                  </w:tcBorders>
                  <w:vAlign w:val="center"/>
                  <w:hideMark/>
                </w:tcPr>
                <w:p w14:paraId="38EE06DC"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1E89EB0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Low International Benchmark</w:t>
                  </w:r>
                </w:p>
              </w:tc>
            </w:tr>
            <w:tr w:rsidR="00067546" w14:paraId="5FAFC3A7" w14:textId="77777777" w:rsidTr="00067546">
              <w:trPr>
                <w:trHeight w:val="300"/>
                <w:jc w:val="center"/>
              </w:trPr>
              <w:tc>
                <w:tcPr>
                  <w:tcW w:w="1360" w:type="dxa"/>
                  <w:tcBorders>
                    <w:top w:val="nil"/>
                    <w:left w:val="single" w:sz="4" w:space="0" w:color="auto"/>
                    <w:bottom w:val="single" w:sz="4" w:space="0" w:color="auto"/>
                    <w:right w:val="single" w:sz="4" w:space="0" w:color="auto"/>
                  </w:tcBorders>
                  <w:vAlign w:val="center"/>
                  <w:hideMark/>
                </w:tcPr>
                <w:p w14:paraId="014DC045"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PIRLS</w:t>
                  </w:r>
                </w:p>
              </w:tc>
              <w:tc>
                <w:tcPr>
                  <w:tcW w:w="1600" w:type="dxa"/>
                  <w:tcBorders>
                    <w:top w:val="nil"/>
                    <w:left w:val="nil"/>
                    <w:bottom w:val="single" w:sz="4" w:space="0" w:color="auto"/>
                    <w:right w:val="single" w:sz="4" w:space="0" w:color="auto"/>
                  </w:tcBorders>
                  <w:vAlign w:val="center"/>
                  <w:hideMark/>
                </w:tcPr>
                <w:p w14:paraId="1ED5CA3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4</w:t>
                  </w:r>
                </w:p>
              </w:tc>
              <w:tc>
                <w:tcPr>
                  <w:tcW w:w="960" w:type="dxa"/>
                  <w:tcBorders>
                    <w:top w:val="nil"/>
                    <w:left w:val="nil"/>
                    <w:bottom w:val="single" w:sz="4" w:space="0" w:color="auto"/>
                    <w:right w:val="single" w:sz="4" w:space="0" w:color="auto"/>
                  </w:tcBorders>
                  <w:vAlign w:val="center"/>
                  <w:hideMark/>
                </w:tcPr>
                <w:p w14:paraId="0ABC88B1"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7DD496F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Low International Benchmark</w:t>
                  </w:r>
                </w:p>
              </w:tc>
            </w:tr>
            <w:tr w:rsidR="00067546" w14:paraId="638859EA"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74F1B7F4"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MICS6</w:t>
                  </w:r>
                </w:p>
              </w:tc>
              <w:tc>
                <w:tcPr>
                  <w:tcW w:w="1600" w:type="dxa"/>
                  <w:vMerge w:val="restart"/>
                  <w:tcBorders>
                    <w:top w:val="nil"/>
                    <w:left w:val="single" w:sz="4" w:space="0" w:color="auto"/>
                    <w:bottom w:val="single" w:sz="4" w:space="0" w:color="auto"/>
                    <w:right w:val="single" w:sz="4" w:space="0" w:color="auto"/>
                  </w:tcBorders>
                  <w:vAlign w:val="center"/>
                  <w:hideMark/>
                </w:tcPr>
                <w:p w14:paraId="782B071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w:t>
                  </w:r>
                </w:p>
              </w:tc>
              <w:tc>
                <w:tcPr>
                  <w:tcW w:w="960" w:type="dxa"/>
                  <w:tcBorders>
                    <w:top w:val="nil"/>
                    <w:left w:val="nil"/>
                    <w:bottom w:val="single" w:sz="4" w:space="0" w:color="auto"/>
                    <w:right w:val="single" w:sz="4" w:space="0" w:color="auto"/>
                  </w:tcBorders>
                  <w:vAlign w:val="center"/>
                  <w:hideMark/>
                </w:tcPr>
                <w:p w14:paraId="25BD174A"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6233426E"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Foundational reading skills</w:t>
                  </w:r>
                </w:p>
              </w:tc>
            </w:tr>
            <w:tr w:rsidR="00067546" w14:paraId="17237660" w14:textId="77777777" w:rsidTr="00067546">
              <w:trPr>
                <w:trHeight w:val="300"/>
                <w:jc w:val="center"/>
              </w:trPr>
              <w:tc>
                <w:tcPr>
                  <w:tcW w:w="1360" w:type="dxa"/>
                  <w:vMerge/>
                  <w:tcBorders>
                    <w:top w:val="nil"/>
                    <w:left w:val="single" w:sz="4" w:space="0" w:color="auto"/>
                    <w:bottom w:val="single" w:sz="4" w:space="0" w:color="auto"/>
                    <w:right w:val="single" w:sz="4" w:space="0" w:color="auto"/>
                  </w:tcBorders>
                  <w:vAlign w:val="center"/>
                  <w:hideMark/>
                </w:tcPr>
                <w:p w14:paraId="00EE4BB1"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50DA6512"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65643DFA"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51AA8E5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Foundational numeracy skills</w:t>
                  </w:r>
                </w:p>
              </w:tc>
            </w:tr>
            <w:tr w:rsidR="00067546" w14:paraId="3B7E6461" w14:textId="77777777" w:rsidTr="00067546">
              <w:trPr>
                <w:trHeight w:val="855"/>
                <w:jc w:val="center"/>
              </w:trPr>
              <w:tc>
                <w:tcPr>
                  <w:tcW w:w="1360" w:type="dxa"/>
                  <w:tcBorders>
                    <w:top w:val="nil"/>
                    <w:left w:val="single" w:sz="4" w:space="0" w:color="auto"/>
                    <w:bottom w:val="single" w:sz="4" w:space="0" w:color="auto"/>
                    <w:right w:val="single" w:sz="4" w:space="0" w:color="auto"/>
                  </w:tcBorders>
                  <w:vAlign w:val="center"/>
                  <w:hideMark/>
                </w:tcPr>
                <w:p w14:paraId="46810163"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EGRA</w:t>
                  </w:r>
                </w:p>
              </w:tc>
              <w:tc>
                <w:tcPr>
                  <w:tcW w:w="1600" w:type="dxa"/>
                  <w:tcBorders>
                    <w:top w:val="nil"/>
                    <w:left w:val="nil"/>
                    <w:bottom w:val="single" w:sz="4" w:space="0" w:color="auto"/>
                    <w:right w:val="single" w:sz="4" w:space="0" w:color="auto"/>
                  </w:tcBorders>
                  <w:vAlign w:val="center"/>
                  <w:hideMark/>
                </w:tcPr>
                <w:p w14:paraId="5E1F1BD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w:t>
                  </w:r>
                </w:p>
              </w:tc>
              <w:tc>
                <w:tcPr>
                  <w:tcW w:w="960" w:type="dxa"/>
                  <w:tcBorders>
                    <w:top w:val="nil"/>
                    <w:left w:val="nil"/>
                    <w:bottom w:val="single" w:sz="4" w:space="0" w:color="auto"/>
                    <w:right w:val="single" w:sz="4" w:space="0" w:color="auto"/>
                  </w:tcBorders>
                  <w:vAlign w:val="center"/>
                  <w:hideMark/>
                </w:tcPr>
                <w:p w14:paraId="6A7CD28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51A4D4A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Number of correct words per minute (</w:t>
                  </w:r>
                  <w:proofErr w:type="spellStart"/>
                  <w:r>
                    <w:rPr>
                      <w:rFonts w:ascii="Calibri" w:eastAsia="Times New Roman" w:hAnsi="Calibri" w:cs="Calibri"/>
                      <w:color w:val="000000"/>
                      <w:sz w:val="21"/>
                      <w:szCs w:val="21"/>
                    </w:rPr>
                    <w:t>cwpm</w:t>
                  </w:r>
                  <w:proofErr w:type="spellEnd"/>
                  <w:r>
                    <w:rPr>
                      <w:rFonts w:ascii="Calibri" w:eastAsia="Times New Roman" w:hAnsi="Calibri" w:cs="Calibri"/>
                      <w:color w:val="000000"/>
                      <w:sz w:val="21"/>
                      <w:szCs w:val="21"/>
                    </w:rPr>
                    <w:t xml:space="preserve">) above a given threshold (typically 45 </w:t>
                  </w:r>
                  <w:proofErr w:type="spellStart"/>
                  <w:r>
                    <w:rPr>
                      <w:rFonts w:ascii="Calibri" w:eastAsia="Times New Roman" w:hAnsi="Calibri" w:cs="Calibri"/>
                      <w:color w:val="000000"/>
                      <w:sz w:val="21"/>
                      <w:szCs w:val="21"/>
                    </w:rPr>
                    <w:t>cwpm</w:t>
                  </w:r>
                  <w:proofErr w:type="spellEnd"/>
                  <w:r>
                    <w:rPr>
                      <w:rFonts w:ascii="Calibri" w:eastAsia="Times New Roman" w:hAnsi="Calibri" w:cs="Calibri"/>
                      <w:color w:val="000000"/>
                      <w:sz w:val="21"/>
                      <w:szCs w:val="21"/>
                    </w:rPr>
                    <w:t>) defined by each country</w:t>
                  </w:r>
                </w:p>
              </w:tc>
            </w:tr>
            <w:tr w:rsidR="00067546" w14:paraId="4734793C" w14:textId="77777777" w:rsidTr="00067546">
              <w:trPr>
                <w:trHeight w:val="1140"/>
                <w:jc w:val="center"/>
              </w:trPr>
              <w:tc>
                <w:tcPr>
                  <w:tcW w:w="1360" w:type="dxa"/>
                  <w:tcBorders>
                    <w:top w:val="nil"/>
                    <w:left w:val="single" w:sz="4" w:space="0" w:color="auto"/>
                    <w:bottom w:val="single" w:sz="4" w:space="0" w:color="auto"/>
                    <w:right w:val="single" w:sz="4" w:space="0" w:color="auto"/>
                  </w:tcBorders>
                  <w:vAlign w:val="center"/>
                  <w:hideMark/>
                </w:tcPr>
                <w:p w14:paraId="7ADDBE0B"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EGMA</w:t>
                  </w:r>
                </w:p>
              </w:tc>
              <w:tc>
                <w:tcPr>
                  <w:tcW w:w="1600" w:type="dxa"/>
                  <w:tcBorders>
                    <w:top w:val="nil"/>
                    <w:left w:val="nil"/>
                    <w:bottom w:val="single" w:sz="4" w:space="0" w:color="auto"/>
                    <w:right w:val="single" w:sz="4" w:space="0" w:color="auto"/>
                  </w:tcBorders>
                  <w:vAlign w:val="center"/>
                  <w:hideMark/>
                </w:tcPr>
                <w:p w14:paraId="27D09FE9"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w:t>
                  </w:r>
                </w:p>
              </w:tc>
              <w:tc>
                <w:tcPr>
                  <w:tcW w:w="960" w:type="dxa"/>
                  <w:tcBorders>
                    <w:top w:val="nil"/>
                    <w:left w:val="nil"/>
                    <w:bottom w:val="single" w:sz="4" w:space="0" w:color="auto"/>
                    <w:right w:val="single" w:sz="4" w:space="0" w:color="auto"/>
                  </w:tcBorders>
                  <w:vAlign w:val="center"/>
                  <w:hideMark/>
                </w:tcPr>
                <w:p w14:paraId="0993877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7BC171B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Percentage of correct answers for addition and subtraction above a given threshold (typically 80% of correct answers) defined by each country</w:t>
                  </w:r>
                </w:p>
              </w:tc>
            </w:tr>
            <w:tr w:rsidR="00067546" w14:paraId="4A7A65F2" w14:textId="77777777" w:rsidTr="00067546">
              <w:trPr>
                <w:trHeight w:val="57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431BC119"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PAL Network</w:t>
                  </w:r>
                </w:p>
              </w:tc>
              <w:tc>
                <w:tcPr>
                  <w:tcW w:w="1600" w:type="dxa"/>
                  <w:vMerge w:val="restart"/>
                  <w:tcBorders>
                    <w:top w:val="nil"/>
                    <w:left w:val="single" w:sz="4" w:space="0" w:color="auto"/>
                    <w:bottom w:val="single" w:sz="4" w:space="0" w:color="auto"/>
                    <w:right w:val="single" w:sz="4" w:space="0" w:color="auto"/>
                  </w:tcBorders>
                  <w:vAlign w:val="center"/>
                  <w:hideMark/>
                </w:tcPr>
                <w:p w14:paraId="1ACBAECE"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3</w:t>
                  </w:r>
                </w:p>
              </w:tc>
              <w:tc>
                <w:tcPr>
                  <w:tcW w:w="960" w:type="dxa"/>
                  <w:tcBorders>
                    <w:top w:val="nil"/>
                    <w:left w:val="nil"/>
                    <w:bottom w:val="single" w:sz="4" w:space="0" w:color="auto"/>
                    <w:right w:val="single" w:sz="4" w:space="0" w:color="auto"/>
                  </w:tcBorders>
                  <w:vAlign w:val="center"/>
                  <w:hideMark/>
                </w:tcPr>
                <w:p w14:paraId="12FDDCB2"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3008538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Can read one or more texts as defined by each country</w:t>
                  </w:r>
                </w:p>
              </w:tc>
            </w:tr>
            <w:tr w:rsidR="00067546" w14:paraId="723FC6CB" w14:textId="77777777" w:rsidTr="00067546">
              <w:trPr>
                <w:trHeight w:val="570"/>
                <w:jc w:val="center"/>
              </w:trPr>
              <w:tc>
                <w:tcPr>
                  <w:tcW w:w="1360" w:type="dxa"/>
                  <w:vMerge/>
                  <w:tcBorders>
                    <w:top w:val="nil"/>
                    <w:left w:val="single" w:sz="4" w:space="0" w:color="auto"/>
                    <w:bottom w:val="single" w:sz="4" w:space="0" w:color="auto"/>
                    <w:right w:val="single" w:sz="4" w:space="0" w:color="auto"/>
                  </w:tcBorders>
                  <w:vAlign w:val="center"/>
                  <w:hideMark/>
                </w:tcPr>
                <w:p w14:paraId="54A5DC50"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7A01DC60"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34703D9F"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50F8C238"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Can do one or more arithmetic problems as defined by each country</w:t>
                  </w:r>
                </w:p>
              </w:tc>
            </w:tr>
            <w:tr w:rsidR="00067546" w14:paraId="35BF437A" w14:textId="77777777" w:rsidTr="00067546">
              <w:trPr>
                <w:trHeight w:val="300"/>
                <w:jc w:val="center"/>
              </w:trPr>
              <w:tc>
                <w:tcPr>
                  <w:tcW w:w="1360" w:type="dxa"/>
                  <w:vMerge w:val="restart"/>
                  <w:tcBorders>
                    <w:top w:val="nil"/>
                    <w:left w:val="single" w:sz="4" w:space="0" w:color="auto"/>
                    <w:bottom w:val="single" w:sz="4" w:space="0" w:color="auto"/>
                    <w:right w:val="single" w:sz="4" w:space="0" w:color="auto"/>
                  </w:tcBorders>
                  <w:vAlign w:val="center"/>
                  <w:hideMark/>
                </w:tcPr>
                <w:p w14:paraId="13BA3B88" w14:textId="77777777" w:rsidR="00067546" w:rsidRDefault="00067546" w:rsidP="00067546">
                  <w:pPr>
                    <w:spacing w:after="0" w:line="240" w:lineRule="auto"/>
                    <w:rPr>
                      <w:rFonts w:ascii="Calibri" w:eastAsia="Times New Roman" w:hAnsi="Calibri" w:cs="Calibri"/>
                      <w:b/>
                      <w:bCs/>
                      <w:color w:val="000000"/>
                      <w:sz w:val="21"/>
                      <w:szCs w:val="21"/>
                    </w:rPr>
                  </w:pPr>
                  <w:r>
                    <w:rPr>
                      <w:rFonts w:ascii="Calibri" w:eastAsia="Times New Roman" w:hAnsi="Calibri" w:cs="Calibri"/>
                      <w:b/>
                      <w:bCs/>
                      <w:color w:val="000000"/>
                      <w:sz w:val="21"/>
                      <w:szCs w:val="21"/>
                    </w:rPr>
                    <w:t>National assessment</w:t>
                  </w:r>
                </w:p>
              </w:tc>
              <w:tc>
                <w:tcPr>
                  <w:tcW w:w="1600" w:type="dxa"/>
                  <w:vMerge w:val="restart"/>
                  <w:tcBorders>
                    <w:top w:val="nil"/>
                    <w:left w:val="single" w:sz="4" w:space="0" w:color="auto"/>
                    <w:bottom w:val="single" w:sz="4" w:space="0" w:color="auto"/>
                    <w:right w:val="single" w:sz="4" w:space="0" w:color="auto"/>
                  </w:tcBorders>
                  <w:vAlign w:val="center"/>
                  <w:hideMark/>
                </w:tcPr>
                <w:p w14:paraId="6A8A858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Grade 2/3, end of primary or end of secondary</w:t>
                  </w:r>
                </w:p>
              </w:tc>
              <w:tc>
                <w:tcPr>
                  <w:tcW w:w="960" w:type="dxa"/>
                  <w:tcBorders>
                    <w:top w:val="nil"/>
                    <w:left w:val="nil"/>
                    <w:bottom w:val="single" w:sz="4" w:space="0" w:color="auto"/>
                    <w:right w:val="single" w:sz="4" w:space="0" w:color="auto"/>
                  </w:tcBorders>
                  <w:vAlign w:val="center"/>
                  <w:hideMark/>
                </w:tcPr>
                <w:p w14:paraId="5F3183ED"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Reading</w:t>
                  </w:r>
                </w:p>
              </w:tc>
              <w:tc>
                <w:tcPr>
                  <w:tcW w:w="3860" w:type="dxa"/>
                  <w:tcBorders>
                    <w:top w:val="nil"/>
                    <w:left w:val="nil"/>
                    <w:bottom w:val="single" w:sz="4" w:space="0" w:color="auto"/>
                    <w:right w:val="single" w:sz="4" w:space="0" w:color="auto"/>
                  </w:tcBorders>
                  <w:vAlign w:val="center"/>
                  <w:hideMark/>
                </w:tcPr>
                <w:p w14:paraId="099F0CEB"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As defined by each national assessment</w:t>
                  </w:r>
                </w:p>
              </w:tc>
            </w:tr>
            <w:tr w:rsidR="00067546" w14:paraId="1DFF04FC" w14:textId="77777777" w:rsidTr="00067546">
              <w:trPr>
                <w:trHeight w:val="555"/>
                <w:jc w:val="center"/>
              </w:trPr>
              <w:tc>
                <w:tcPr>
                  <w:tcW w:w="1360" w:type="dxa"/>
                  <w:vMerge/>
                  <w:tcBorders>
                    <w:top w:val="nil"/>
                    <w:left w:val="single" w:sz="4" w:space="0" w:color="auto"/>
                    <w:bottom w:val="single" w:sz="4" w:space="0" w:color="auto"/>
                    <w:right w:val="single" w:sz="4" w:space="0" w:color="auto"/>
                  </w:tcBorders>
                  <w:vAlign w:val="center"/>
                  <w:hideMark/>
                </w:tcPr>
                <w:p w14:paraId="058C6A54" w14:textId="77777777" w:rsidR="00067546" w:rsidRDefault="00067546" w:rsidP="00067546">
                  <w:pPr>
                    <w:spacing w:after="0"/>
                    <w:rPr>
                      <w:rFonts w:ascii="Calibri" w:eastAsia="Times New Roman" w:hAnsi="Calibri" w:cs="Calibri"/>
                      <w:b/>
                      <w:bCs/>
                      <w:color w:val="000000"/>
                      <w:sz w:val="21"/>
                      <w:szCs w:val="21"/>
                      <w:lang w:val="en-GB" w:eastAsia="zh-CN"/>
                    </w:rPr>
                  </w:pPr>
                </w:p>
              </w:tc>
              <w:tc>
                <w:tcPr>
                  <w:tcW w:w="1600" w:type="dxa"/>
                  <w:vMerge/>
                  <w:tcBorders>
                    <w:top w:val="nil"/>
                    <w:left w:val="single" w:sz="4" w:space="0" w:color="auto"/>
                    <w:bottom w:val="single" w:sz="4" w:space="0" w:color="auto"/>
                    <w:right w:val="single" w:sz="4" w:space="0" w:color="auto"/>
                  </w:tcBorders>
                  <w:vAlign w:val="center"/>
                  <w:hideMark/>
                </w:tcPr>
                <w:p w14:paraId="76D7C52B" w14:textId="77777777" w:rsidR="00067546" w:rsidRDefault="00067546" w:rsidP="00067546">
                  <w:pPr>
                    <w:spacing w:after="0"/>
                    <w:rPr>
                      <w:rFonts w:ascii="Calibri" w:eastAsia="Times New Roman" w:hAnsi="Calibri" w:cs="Calibri"/>
                      <w:color w:val="000000"/>
                      <w:sz w:val="21"/>
                      <w:szCs w:val="21"/>
                      <w:lang w:val="en-GB" w:eastAsia="zh-CN"/>
                    </w:rPr>
                  </w:pPr>
                </w:p>
              </w:tc>
              <w:tc>
                <w:tcPr>
                  <w:tcW w:w="960" w:type="dxa"/>
                  <w:tcBorders>
                    <w:top w:val="nil"/>
                    <w:left w:val="nil"/>
                    <w:bottom w:val="single" w:sz="4" w:space="0" w:color="auto"/>
                    <w:right w:val="single" w:sz="4" w:space="0" w:color="auto"/>
                  </w:tcBorders>
                  <w:vAlign w:val="center"/>
                  <w:hideMark/>
                </w:tcPr>
                <w:p w14:paraId="4EB40CB7"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Math</w:t>
                  </w:r>
                </w:p>
              </w:tc>
              <w:tc>
                <w:tcPr>
                  <w:tcW w:w="3860" w:type="dxa"/>
                  <w:tcBorders>
                    <w:top w:val="nil"/>
                    <w:left w:val="nil"/>
                    <w:bottom w:val="single" w:sz="4" w:space="0" w:color="auto"/>
                    <w:right w:val="single" w:sz="4" w:space="0" w:color="auto"/>
                  </w:tcBorders>
                  <w:vAlign w:val="center"/>
                  <w:hideMark/>
                </w:tcPr>
                <w:p w14:paraId="6C589953" w14:textId="77777777" w:rsidR="00067546" w:rsidRDefault="00067546" w:rsidP="00067546">
                  <w:pPr>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As defined by each national assessment</w:t>
                  </w:r>
                </w:p>
              </w:tc>
            </w:tr>
          </w:tbl>
          <w:p w14:paraId="7DA6E8AF" w14:textId="5F6CE32E" w:rsidR="00334DB3" w:rsidRPr="00067546" w:rsidRDefault="00334DB3" w:rsidP="00067546">
            <w:pPr>
              <w:shd w:val="clear" w:color="auto" w:fill="FFFFFF"/>
              <w:spacing w:after="0"/>
              <w:rPr>
                <w:rFonts w:eastAsia="Times New Roman" w:cs="Times New Roman"/>
                <w:color w:val="4A4A4A"/>
                <w:sz w:val="21"/>
                <w:szCs w:val="21"/>
                <w:lang w:eastAsia="en-GB"/>
              </w:rPr>
            </w:pP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9" w:name="_Toc36636923"/>
            <w:bookmarkStart w:id="20" w:name="_Toc36655611"/>
            <w:bookmarkStart w:id="21" w:name="_Toc36812574"/>
            <w:bookmarkStart w:id="22" w:name="_Toc36812687"/>
            <w:bookmarkStart w:id="23" w:name="_Toc36813074"/>
            <w:r w:rsidRPr="000149A9">
              <w:t>3</w:t>
            </w:r>
            <w:r w:rsidR="004C665C" w:rsidRPr="000149A9">
              <w:t>. Data source type and data collection method</w:t>
            </w:r>
            <w:bookmarkEnd w:id="19"/>
            <w:bookmarkEnd w:id="20"/>
            <w:bookmarkEnd w:id="21"/>
            <w:bookmarkEnd w:id="22"/>
            <w:bookmarkEnd w:id="23"/>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FDBE6CD" w14:textId="763431A1" w:rsidR="00593AB3" w:rsidRDefault="00593AB3" w:rsidP="004E4C58">
            <w:pPr>
              <w:pStyle w:val="MHeader"/>
            </w:pPr>
            <w:r>
              <w:t xml:space="preserve">Data </w:t>
            </w:r>
            <w:r w:rsidR="009D6C93">
              <w:t>s</w:t>
            </w:r>
            <w:r>
              <w:t>ources</w:t>
            </w:r>
          </w:p>
          <w:p w14:paraId="7351654F" w14:textId="77777777" w:rsidR="00593AB3" w:rsidRDefault="00593AB3" w:rsidP="004E4C58">
            <w:pPr>
              <w:pStyle w:val="MSubHeader"/>
            </w:pPr>
            <w:r>
              <w:t>Description:</w:t>
            </w:r>
          </w:p>
          <w:p w14:paraId="14A86DD4" w14:textId="77777777" w:rsidR="00593AB3" w:rsidRDefault="00593AB3" w:rsidP="005F6521">
            <w:pPr>
              <w:pStyle w:val="MText"/>
            </w:pPr>
            <w:r>
              <w:t>Type of data sources: In school and population-based learning assessments.</w:t>
            </w:r>
          </w:p>
          <w:p w14:paraId="1C8A27AC" w14:textId="77777777" w:rsidR="00593AB3" w:rsidRDefault="00593AB3" w:rsidP="00593AB3">
            <w:pPr>
              <w:shd w:val="clear" w:color="auto" w:fill="FFFFFF"/>
              <w:spacing w:after="0"/>
              <w:rPr>
                <w:rFonts w:eastAsia="Times New Roman" w:cs="Times New Roman"/>
                <w:color w:val="4A4A4A"/>
                <w:sz w:val="21"/>
                <w:szCs w:val="21"/>
                <w:lang w:eastAsia="en-GB"/>
              </w:rPr>
            </w:pPr>
          </w:p>
          <w:p w14:paraId="7B20BA29" w14:textId="77777777" w:rsidR="00593AB3" w:rsidRDefault="00593AB3" w:rsidP="00593AB3">
            <w:pPr>
              <w:pStyle w:val="MSubHeader"/>
              <w:jc w:val="center"/>
            </w:pPr>
            <w:r>
              <w:t>Table 2. How interim reporting is structured?</w:t>
            </w:r>
          </w:p>
          <w:tbl>
            <w:tblPr>
              <w:tblW w:w="5000" w:type="pct"/>
              <w:jc w:val="center"/>
              <w:tblLayout w:type="fixed"/>
              <w:tblLook w:val="04A0" w:firstRow="1" w:lastRow="0" w:firstColumn="1" w:lastColumn="0" w:noHBand="0" w:noVBand="1"/>
            </w:tblPr>
            <w:tblGrid>
              <w:gridCol w:w="703"/>
              <w:gridCol w:w="2440"/>
              <w:gridCol w:w="604"/>
              <w:gridCol w:w="1150"/>
              <w:gridCol w:w="650"/>
            </w:tblGrid>
            <w:tr w:rsidR="00593AB3" w14:paraId="75459B78" w14:textId="77777777" w:rsidTr="00593AB3">
              <w:trPr>
                <w:trHeight w:val="300"/>
                <w:jc w:val="center"/>
              </w:trPr>
              <w:tc>
                <w:tcPr>
                  <w:tcW w:w="634"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3192BE71"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2742" w:type="pct"/>
                  <w:gridSpan w:val="2"/>
                  <w:tcBorders>
                    <w:top w:val="single" w:sz="4" w:space="0" w:color="auto"/>
                    <w:left w:val="nil"/>
                    <w:bottom w:val="single" w:sz="4" w:space="0" w:color="auto"/>
                    <w:right w:val="single" w:sz="4" w:space="0" w:color="auto"/>
                  </w:tcBorders>
                  <w:shd w:val="clear" w:color="auto" w:fill="BFBFBF"/>
                  <w:vAlign w:val="center"/>
                  <w:hideMark/>
                </w:tcPr>
                <w:p w14:paraId="65A0BF27" w14:textId="77777777" w:rsidR="00593AB3" w:rsidRDefault="00593AB3" w:rsidP="00593AB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In-school based</w:t>
                  </w:r>
                </w:p>
              </w:tc>
              <w:tc>
                <w:tcPr>
                  <w:tcW w:w="1037"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62D22DA8" w14:textId="77777777" w:rsidR="00593AB3" w:rsidRDefault="00593AB3" w:rsidP="00593AB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Household Based Surveys</w:t>
                  </w:r>
                </w:p>
              </w:tc>
              <w:tc>
                <w:tcPr>
                  <w:tcW w:w="586"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342E74DA" w14:textId="77777777" w:rsidR="00593AB3" w:rsidRDefault="00593AB3" w:rsidP="00593AB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Grade</w:t>
                  </w:r>
                </w:p>
              </w:tc>
            </w:tr>
            <w:tr w:rsidR="00593AB3" w14:paraId="379CB569" w14:textId="77777777" w:rsidTr="00593AB3">
              <w:trPr>
                <w:trHeight w:val="300"/>
                <w:jc w:val="center"/>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0A6A475A" w14:textId="77777777" w:rsidR="00593AB3" w:rsidRDefault="00593AB3" w:rsidP="00593AB3">
                  <w:pPr>
                    <w:spacing w:after="0"/>
                    <w:rPr>
                      <w:rFonts w:ascii="Arial" w:eastAsia="Times New Roman" w:hAnsi="Arial" w:cs="Arial"/>
                      <w:color w:val="000000"/>
                      <w:sz w:val="20"/>
                      <w:szCs w:val="20"/>
                      <w:lang w:val="en-GB" w:eastAsia="zh-CN"/>
                    </w:rPr>
                  </w:pPr>
                </w:p>
              </w:tc>
              <w:tc>
                <w:tcPr>
                  <w:tcW w:w="2199" w:type="pct"/>
                  <w:tcBorders>
                    <w:top w:val="nil"/>
                    <w:left w:val="nil"/>
                    <w:bottom w:val="single" w:sz="4" w:space="0" w:color="auto"/>
                    <w:right w:val="single" w:sz="4" w:space="0" w:color="auto"/>
                  </w:tcBorders>
                  <w:shd w:val="clear" w:color="auto" w:fill="BFBFBF"/>
                  <w:vAlign w:val="center"/>
                  <w:hideMark/>
                </w:tcPr>
                <w:p w14:paraId="2A400BCF"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Cross-national</w:t>
                  </w:r>
                </w:p>
              </w:tc>
              <w:tc>
                <w:tcPr>
                  <w:tcW w:w="544" w:type="pct"/>
                  <w:tcBorders>
                    <w:top w:val="nil"/>
                    <w:left w:val="nil"/>
                    <w:bottom w:val="single" w:sz="4" w:space="0" w:color="auto"/>
                    <w:right w:val="single" w:sz="4" w:space="0" w:color="auto"/>
                  </w:tcBorders>
                  <w:shd w:val="clear" w:color="auto" w:fill="BFBFBF"/>
                  <w:vAlign w:val="center"/>
                  <w:hideMark/>
                </w:tcPr>
                <w:p w14:paraId="7611BBF1"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National </w:t>
                  </w:r>
                </w:p>
              </w:tc>
              <w:tc>
                <w:tcPr>
                  <w:tcW w:w="1939" w:type="dxa"/>
                  <w:vMerge/>
                  <w:tcBorders>
                    <w:top w:val="single" w:sz="4" w:space="0" w:color="auto"/>
                    <w:left w:val="single" w:sz="4" w:space="0" w:color="auto"/>
                    <w:bottom w:val="single" w:sz="4" w:space="0" w:color="auto"/>
                    <w:right w:val="single" w:sz="4" w:space="0" w:color="auto"/>
                  </w:tcBorders>
                  <w:vAlign w:val="center"/>
                  <w:hideMark/>
                </w:tcPr>
                <w:p w14:paraId="21641226" w14:textId="77777777" w:rsidR="00593AB3" w:rsidRDefault="00593AB3" w:rsidP="00593AB3">
                  <w:pPr>
                    <w:spacing w:after="0"/>
                    <w:rPr>
                      <w:rFonts w:ascii="Arial" w:eastAsia="Times New Roman" w:hAnsi="Arial" w:cs="Arial"/>
                      <w:b/>
                      <w:bCs/>
                      <w:color w:val="000000"/>
                      <w:sz w:val="20"/>
                      <w:szCs w:val="20"/>
                      <w:lang w:val="en-GB" w:eastAsia="zh-CN"/>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14:paraId="1719108D" w14:textId="77777777" w:rsidR="00593AB3" w:rsidRDefault="00593AB3" w:rsidP="00593AB3">
                  <w:pPr>
                    <w:spacing w:after="0"/>
                    <w:rPr>
                      <w:rFonts w:ascii="Arial" w:eastAsia="Times New Roman" w:hAnsi="Arial" w:cs="Arial"/>
                      <w:b/>
                      <w:bCs/>
                      <w:color w:val="000000"/>
                      <w:sz w:val="20"/>
                      <w:szCs w:val="20"/>
                      <w:lang w:val="en-GB" w:eastAsia="zh-CN"/>
                    </w:rPr>
                  </w:pPr>
                </w:p>
              </w:tc>
            </w:tr>
            <w:tr w:rsidR="00593AB3" w14:paraId="4C02F02B" w14:textId="77777777" w:rsidTr="00593AB3">
              <w:trPr>
                <w:trHeight w:val="300"/>
                <w:jc w:val="center"/>
              </w:trPr>
              <w:tc>
                <w:tcPr>
                  <w:tcW w:w="634" w:type="pct"/>
                  <w:vMerge w:val="restart"/>
                  <w:tcBorders>
                    <w:top w:val="nil"/>
                    <w:left w:val="single" w:sz="4" w:space="0" w:color="auto"/>
                    <w:bottom w:val="single" w:sz="4" w:space="0" w:color="auto"/>
                    <w:right w:val="single" w:sz="4" w:space="0" w:color="auto"/>
                  </w:tcBorders>
                  <w:vAlign w:val="center"/>
                  <w:hideMark/>
                </w:tcPr>
                <w:p w14:paraId="11E83BDD"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2/3 Grade</w:t>
                  </w:r>
                </w:p>
              </w:tc>
              <w:tc>
                <w:tcPr>
                  <w:tcW w:w="2199" w:type="pct"/>
                  <w:tcBorders>
                    <w:top w:val="nil"/>
                    <w:left w:val="nil"/>
                    <w:bottom w:val="single" w:sz="4" w:space="0" w:color="auto"/>
                    <w:right w:val="single" w:sz="4" w:space="0" w:color="auto"/>
                  </w:tcBorders>
                  <w:vAlign w:val="center"/>
                  <w:hideMark/>
                </w:tcPr>
                <w:p w14:paraId="154D420A"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LLECE</w:t>
                  </w:r>
                </w:p>
              </w:tc>
              <w:tc>
                <w:tcPr>
                  <w:tcW w:w="544" w:type="pct"/>
                  <w:vMerge w:val="restart"/>
                  <w:tcBorders>
                    <w:top w:val="nil"/>
                    <w:left w:val="single" w:sz="4" w:space="0" w:color="auto"/>
                    <w:bottom w:val="single" w:sz="4" w:space="0" w:color="auto"/>
                    <w:right w:val="single" w:sz="4" w:space="0" w:color="auto"/>
                  </w:tcBorders>
                  <w:vAlign w:val="center"/>
                  <w:hideMark/>
                </w:tcPr>
                <w:p w14:paraId="4FEB2850"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Yes</w:t>
                  </w:r>
                </w:p>
              </w:tc>
              <w:tc>
                <w:tcPr>
                  <w:tcW w:w="1037" w:type="pct"/>
                  <w:tcBorders>
                    <w:top w:val="nil"/>
                    <w:left w:val="nil"/>
                    <w:bottom w:val="single" w:sz="4" w:space="0" w:color="auto"/>
                    <w:right w:val="single" w:sz="4" w:space="0" w:color="auto"/>
                  </w:tcBorders>
                  <w:vAlign w:val="center"/>
                  <w:hideMark/>
                </w:tcPr>
                <w:p w14:paraId="0B766520"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MICS6</w:t>
                  </w:r>
                </w:p>
              </w:tc>
              <w:tc>
                <w:tcPr>
                  <w:tcW w:w="586" w:type="pct"/>
                  <w:vMerge w:val="restart"/>
                  <w:tcBorders>
                    <w:top w:val="nil"/>
                    <w:left w:val="single" w:sz="4" w:space="0" w:color="auto"/>
                    <w:bottom w:val="single" w:sz="4" w:space="0" w:color="auto"/>
                    <w:right w:val="single" w:sz="4" w:space="0" w:color="auto"/>
                  </w:tcBorders>
                  <w:vAlign w:val="center"/>
                  <w:hideMark/>
                </w:tcPr>
                <w:p w14:paraId="58122ADB"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2/3 plus one year when primary lasts more than 4 years according to ISCED level of the country</w:t>
                  </w:r>
                </w:p>
              </w:tc>
            </w:tr>
            <w:tr w:rsidR="00593AB3" w14:paraId="60FCDCEB"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27C48EF1"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3AAC8DEA"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PASEC</w:t>
                  </w:r>
                </w:p>
              </w:tc>
              <w:tc>
                <w:tcPr>
                  <w:tcW w:w="1017" w:type="dxa"/>
                  <w:vMerge/>
                  <w:tcBorders>
                    <w:top w:val="nil"/>
                    <w:left w:val="single" w:sz="4" w:space="0" w:color="auto"/>
                    <w:bottom w:val="single" w:sz="4" w:space="0" w:color="auto"/>
                    <w:right w:val="single" w:sz="4" w:space="0" w:color="auto"/>
                  </w:tcBorders>
                  <w:vAlign w:val="center"/>
                  <w:hideMark/>
                </w:tcPr>
                <w:p w14:paraId="08CD2619"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vAlign w:val="center"/>
                  <w:hideMark/>
                </w:tcPr>
                <w:p w14:paraId="413B49A0"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96" w:type="dxa"/>
                  <w:vMerge/>
                  <w:tcBorders>
                    <w:top w:val="nil"/>
                    <w:left w:val="single" w:sz="4" w:space="0" w:color="auto"/>
                    <w:bottom w:val="single" w:sz="4" w:space="0" w:color="auto"/>
                    <w:right w:val="single" w:sz="4" w:space="0" w:color="auto"/>
                  </w:tcBorders>
                  <w:vAlign w:val="center"/>
                  <w:hideMark/>
                </w:tcPr>
                <w:p w14:paraId="1A844FFA"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3966A3E5"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5FB41EED"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1C135818"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 xml:space="preserve">TIMSS </w:t>
                  </w:r>
                </w:p>
              </w:tc>
              <w:tc>
                <w:tcPr>
                  <w:tcW w:w="1017" w:type="dxa"/>
                  <w:vMerge/>
                  <w:tcBorders>
                    <w:top w:val="nil"/>
                    <w:left w:val="single" w:sz="4" w:space="0" w:color="auto"/>
                    <w:bottom w:val="single" w:sz="4" w:space="0" w:color="auto"/>
                    <w:right w:val="single" w:sz="4" w:space="0" w:color="auto"/>
                  </w:tcBorders>
                  <w:vAlign w:val="center"/>
                  <w:hideMark/>
                </w:tcPr>
                <w:p w14:paraId="2D275D12"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vAlign w:val="center"/>
                  <w:hideMark/>
                </w:tcPr>
                <w:p w14:paraId="5A2A58E6"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PAL network</w:t>
                  </w:r>
                </w:p>
              </w:tc>
              <w:tc>
                <w:tcPr>
                  <w:tcW w:w="1096" w:type="dxa"/>
                  <w:vMerge/>
                  <w:tcBorders>
                    <w:top w:val="nil"/>
                    <w:left w:val="single" w:sz="4" w:space="0" w:color="auto"/>
                    <w:bottom w:val="single" w:sz="4" w:space="0" w:color="auto"/>
                    <w:right w:val="single" w:sz="4" w:space="0" w:color="auto"/>
                  </w:tcBorders>
                  <w:vAlign w:val="center"/>
                  <w:hideMark/>
                </w:tcPr>
                <w:p w14:paraId="25A155D5"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2FC1E8D1"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31AA6807"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7165943B"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 xml:space="preserve">PIRLS </w:t>
                  </w:r>
                </w:p>
              </w:tc>
              <w:tc>
                <w:tcPr>
                  <w:tcW w:w="1017" w:type="dxa"/>
                  <w:vMerge/>
                  <w:tcBorders>
                    <w:top w:val="nil"/>
                    <w:left w:val="single" w:sz="4" w:space="0" w:color="auto"/>
                    <w:bottom w:val="single" w:sz="4" w:space="0" w:color="auto"/>
                    <w:right w:val="single" w:sz="4" w:space="0" w:color="auto"/>
                  </w:tcBorders>
                  <w:vAlign w:val="center"/>
                  <w:hideMark/>
                </w:tcPr>
                <w:p w14:paraId="60F48468"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hideMark/>
                </w:tcPr>
                <w:p w14:paraId="1F88760E"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96" w:type="dxa"/>
                  <w:vMerge/>
                  <w:tcBorders>
                    <w:top w:val="nil"/>
                    <w:left w:val="single" w:sz="4" w:space="0" w:color="auto"/>
                    <w:bottom w:val="single" w:sz="4" w:space="0" w:color="auto"/>
                    <w:right w:val="single" w:sz="4" w:space="0" w:color="auto"/>
                  </w:tcBorders>
                  <w:vAlign w:val="center"/>
                  <w:hideMark/>
                </w:tcPr>
                <w:p w14:paraId="5125BC9E"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236B65B0" w14:textId="77777777" w:rsidTr="00593AB3">
              <w:trPr>
                <w:trHeight w:val="300"/>
                <w:jc w:val="center"/>
              </w:trPr>
              <w:tc>
                <w:tcPr>
                  <w:tcW w:w="1186" w:type="dxa"/>
                  <w:vMerge/>
                  <w:tcBorders>
                    <w:top w:val="nil"/>
                    <w:left w:val="single" w:sz="4" w:space="0" w:color="auto"/>
                    <w:bottom w:val="single" w:sz="4" w:space="0" w:color="auto"/>
                    <w:right w:val="single" w:sz="4" w:space="0" w:color="auto"/>
                  </w:tcBorders>
                  <w:vAlign w:val="center"/>
                  <w:hideMark/>
                </w:tcPr>
                <w:p w14:paraId="3D0D7796" w14:textId="77777777" w:rsidR="00593AB3" w:rsidRDefault="00593AB3" w:rsidP="00593AB3">
                  <w:pPr>
                    <w:spacing w:after="0"/>
                    <w:rPr>
                      <w:rFonts w:ascii="Arial" w:eastAsia="Times New Roman" w:hAnsi="Arial" w:cs="Arial"/>
                      <w:b/>
                      <w:bCs/>
                      <w:color w:val="000000"/>
                      <w:sz w:val="20"/>
                      <w:szCs w:val="20"/>
                      <w:lang w:val="en-GB" w:eastAsia="zh-CN"/>
                    </w:rPr>
                  </w:pPr>
                </w:p>
              </w:tc>
              <w:tc>
                <w:tcPr>
                  <w:tcW w:w="2199" w:type="pct"/>
                  <w:tcBorders>
                    <w:top w:val="nil"/>
                    <w:left w:val="nil"/>
                    <w:bottom w:val="single" w:sz="4" w:space="0" w:color="auto"/>
                    <w:right w:val="single" w:sz="4" w:space="0" w:color="auto"/>
                  </w:tcBorders>
                  <w:vAlign w:val="center"/>
                  <w:hideMark/>
                </w:tcPr>
                <w:p w14:paraId="48B19147"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s-AR"/>
                    </w:rPr>
                    <w:t>EGRA/EGMA</w:t>
                  </w:r>
                </w:p>
              </w:tc>
              <w:tc>
                <w:tcPr>
                  <w:tcW w:w="1017" w:type="dxa"/>
                  <w:vMerge/>
                  <w:tcBorders>
                    <w:top w:val="nil"/>
                    <w:left w:val="single" w:sz="4" w:space="0" w:color="auto"/>
                    <w:bottom w:val="single" w:sz="4" w:space="0" w:color="auto"/>
                    <w:right w:val="single" w:sz="4" w:space="0" w:color="auto"/>
                  </w:tcBorders>
                  <w:vAlign w:val="center"/>
                  <w:hideMark/>
                </w:tcPr>
                <w:p w14:paraId="5F1F3E30" w14:textId="77777777" w:rsidR="00593AB3" w:rsidRDefault="00593AB3" w:rsidP="00593AB3">
                  <w:pPr>
                    <w:spacing w:after="0"/>
                    <w:rPr>
                      <w:rFonts w:ascii="Arial" w:eastAsia="Times New Roman" w:hAnsi="Arial" w:cs="Arial"/>
                      <w:color w:val="000000"/>
                      <w:sz w:val="20"/>
                      <w:szCs w:val="20"/>
                      <w:lang w:val="en-GB" w:eastAsia="zh-CN"/>
                    </w:rPr>
                  </w:pPr>
                </w:p>
              </w:tc>
              <w:tc>
                <w:tcPr>
                  <w:tcW w:w="1037" w:type="pct"/>
                  <w:tcBorders>
                    <w:top w:val="nil"/>
                    <w:left w:val="nil"/>
                    <w:bottom w:val="single" w:sz="4" w:space="0" w:color="auto"/>
                    <w:right w:val="single" w:sz="4" w:space="0" w:color="auto"/>
                  </w:tcBorders>
                  <w:hideMark/>
                </w:tcPr>
                <w:p w14:paraId="4CA198C5" w14:textId="77777777" w:rsidR="00593AB3" w:rsidRDefault="00593AB3" w:rsidP="00593AB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96" w:type="dxa"/>
                  <w:vMerge/>
                  <w:tcBorders>
                    <w:top w:val="nil"/>
                    <w:left w:val="single" w:sz="4" w:space="0" w:color="auto"/>
                    <w:bottom w:val="single" w:sz="4" w:space="0" w:color="auto"/>
                    <w:right w:val="single" w:sz="4" w:space="0" w:color="auto"/>
                  </w:tcBorders>
                  <w:vAlign w:val="center"/>
                  <w:hideMark/>
                </w:tcPr>
                <w:p w14:paraId="6E6E9588" w14:textId="77777777" w:rsidR="00593AB3" w:rsidRDefault="00593AB3" w:rsidP="00593AB3">
                  <w:pPr>
                    <w:spacing w:after="0"/>
                    <w:rPr>
                      <w:rFonts w:ascii="Arial" w:eastAsia="Times New Roman" w:hAnsi="Arial" w:cs="Arial"/>
                      <w:color w:val="000000"/>
                      <w:sz w:val="20"/>
                      <w:szCs w:val="20"/>
                      <w:lang w:val="en-GB" w:eastAsia="zh-CN"/>
                    </w:rPr>
                  </w:pPr>
                </w:p>
              </w:tc>
            </w:tr>
            <w:tr w:rsidR="00593AB3" w14:paraId="711A2444" w14:textId="77777777" w:rsidTr="00593AB3">
              <w:trPr>
                <w:trHeight w:val="1020"/>
                <w:jc w:val="center"/>
              </w:trPr>
              <w:tc>
                <w:tcPr>
                  <w:tcW w:w="634" w:type="pct"/>
                  <w:tcBorders>
                    <w:top w:val="nil"/>
                    <w:left w:val="single" w:sz="4" w:space="0" w:color="auto"/>
                    <w:bottom w:val="single" w:sz="4" w:space="0" w:color="auto"/>
                    <w:right w:val="single" w:sz="4" w:space="0" w:color="auto"/>
                  </w:tcBorders>
                  <w:vAlign w:val="center"/>
                  <w:hideMark/>
                </w:tcPr>
                <w:p w14:paraId="6A28DE56"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Definition of minimum level until 2018 release</w:t>
                  </w:r>
                </w:p>
              </w:tc>
              <w:tc>
                <w:tcPr>
                  <w:tcW w:w="4366" w:type="pct"/>
                  <w:gridSpan w:val="4"/>
                  <w:tcBorders>
                    <w:top w:val="single" w:sz="4" w:space="0" w:color="auto"/>
                    <w:left w:val="nil"/>
                    <w:bottom w:val="single" w:sz="4" w:space="0" w:color="auto"/>
                    <w:right w:val="single" w:sz="4" w:space="0" w:color="auto"/>
                  </w:tcBorders>
                  <w:vAlign w:val="center"/>
                  <w:hideMark/>
                </w:tcPr>
                <w:p w14:paraId="3CE67B6F" w14:textId="77777777" w:rsidR="00593AB3" w:rsidRDefault="00593AB3" w:rsidP="00593AB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The ones defined by each assessment by point of measurement and domain </w:t>
                  </w:r>
                </w:p>
              </w:tc>
            </w:tr>
            <w:tr w:rsidR="00593AB3" w14:paraId="599FD082" w14:textId="77777777" w:rsidTr="00593AB3">
              <w:trPr>
                <w:trHeight w:val="1020"/>
                <w:jc w:val="center"/>
              </w:trPr>
              <w:tc>
                <w:tcPr>
                  <w:tcW w:w="634" w:type="pct"/>
                  <w:tcBorders>
                    <w:top w:val="nil"/>
                    <w:left w:val="single" w:sz="4" w:space="0" w:color="auto"/>
                    <w:bottom w:val="single" w:sz="4" w:space="0" w:color="auto"/>
                    <w:right w:val="single" w:sz="4" w:space="0" w:color="auto"/>
                  </w:tcBorders>
                  <w:vAlign w:val="center"/>
                  <w:hideMark/>
                </w:tcPr>
                <w:p w14:paraId="12EE47D5"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Definition of minimum level from 2019 </w:t>
                  </w:r>
                </w:p>
              </w:tc>
              <w:tc>
                <w:tcPr>
                  <w:tcW w:w="4366" w:type="pct"/>
                  <w:gridSpan w:val="4"/>
                  <w:tcBorders>
                    <w:top w:val="single" w:sz="4" w:space="0" w:color="auto"/>
                    <w:left w:val="nil"/>
                    <w:bottom w:val="single" w:sz="4" w:space="0" w:color="auto"/>
                    <w:right w:val="single" w:sz="4" w:space="0" w:color="auto"/>
                  </w:tcBorders>
                  <w:vAlign w:val="center"/>
                  <w:hideMark/>
                </w:tcPr>
                <w:p w14:paraId="5A46650F" w14:textId="77777777" w:rsidR="00593AB3" w:rsidRDefault="00593AB3" w:rsidP="00593AB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According to alignment as adopted by GAML and TCG in September of 2018</w:t>
                  </w:r>
                </w:p>
              </w:tc>
            </w:tr>
            <w:tr w:rsidR="00593AB3" w14:paraId="3111FFE0" w14:textId="77777777" w:rsidTr="00593AB3">
              <w:trPr>
                <w:trHeight w:val="300"/>
                <w:jc w:val="center"/>
              </w:trPr>
              <w:tc>
                <w:tcPr>
                  <w:tcW w:w="634" w:type="pct"/>
                  <w:tcBorders>
                    <w:top w:val="nil"/>
                    <w:left w:val="single" w:sz="4" w:space="0" w:color="auto"/>
                    <w:bottom w:val="single" w:sz="4" w:space="0" w:color="auto"/>
                    <w:right w:val="single" w:sz="4" w:space="0" w:color="auto"/>
                  </w:tcBorders>
                  <w:vAlign w:val="center"/>
                  <w:hideMark/>
                </w:tcPr>
                <w:p w14:paraId="630EDFD2" w14:textId="77777777" w:rsidR="00593AB3" w:rsidRDefault="00593AB3" w:rsidP="00593AB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Validation </w:t>
                  </w:r>
                </w:p>
              </w:tc>
              <w:tc>
                <w:tcPr>
                  <w:tcW w:w="4366" w:type="pct"/>
                  <w:gridSpan w:val="4"/>
                  <w:tcBorders>
                    <w:top w:val="single" w:sz="4" w:space="0" w:color="auto"/>
                    <w:left w:val="nil"/>
                    <w:bottom w:val="single" w:sz="4" w:space="0" w:color="auto"/>
                    <w:right w:val="single" w:sz="4" w:space="0" w:color="auto"/>
                  </w:tcBorders>
                  <w:vAlign w:val="center"/>
                  <w:hideMark/>
                </w:tcPr>
                <w:p w14:paraId="4CAD57E6" w14:textId="77777777" w:rsidR="00593AB3" w:rsidRDefault="00593AB3" w:rsidP="00593AB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Sent from UIS for countries’ approval</w:t>
                  </w:r>
                </w:p>
              </w:tc>
            </w:tr>
          </w:tbl>
          <w:p w14:paraId="1A920EBE" w14:textId="77777777" w:rsidR="00593AB3" w:rsidRDefault="00593AB3" w:rsidP="00593AB3">
            <w:pPr>
              <w:shd w:val="clear" w:color="auto" w:fill="FFFFFF"/>
              <w:spacing w:after="0"/>
              <w:rPr>
                <w:rFonts w:eastAsia="Times New Roman" w:cs="Times New Roman"/>
                <w:color w:val="4A4A4A"/>
                <w:sz w:val="21"/>
                <w:szCs w:val="21"/>
                <w:lang w:val="en-GB" w:eastAsia="en-GB"/>
              </w:rPr>
            </w:pPr>
          </w:p>
          <w:p w14:paraId="704C44BF" w14:textId="77777777" w:rsidR="00593AB3" w:rsidRDefault="00593AB3" w:rsidP="005F6521">
            <w:pPr>
              <w:pStyle w:val="MText"/>
            </w:pPr>
            <w:r>
              <w:t>Notes: TIMSS/PIRLS Grade 4: these results are allocated to the end of primary when, according to the ISCED levels in a given country, there are 4 grades in primary. When primary has more than 4 grades, they are allocated to grade 2/3. (Source: UIS)</w:t>
            </w:r>
          </w:p>
          <w:p w14:paraId="1EE62008" w14:textId="36C88EF4" w:rsidR="006220A3" w:rsidRPr="00C22F94" w:rsidRDefault="006220A3" w:rsidP="00C22F94">
            <w:pPr>
              <w:pStyle w:val="Default"/>
              <w:rPr>
                <w:rFonts w:asciiTheme="minorHAnsi" w:hAnsiTheme="minorHAnsi" w:cstheme="minorHAnsi"/>
                <w:sz w:val="21"/>
                <w:szCs w:val="21"/>
              </w:rPr>
            </w:pP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A852376" w14:textId="77777777" w:rsidR="00C7123B" w:rsidRDefault="00C7123B" w:rsidP="005F6521">
            <w:pPr>
              <w:pStyle w:val="MSubHeader"/>
            </w:pPr>
            <w:r>
              <w:t>Collection process:</w:t>
            </w:r>
          </w:p>
          <w:p w14:paraId="0136E6C1" w14:textId="654BC7E8" w:rsidR="00AB65AE" w:rsidRPr="00C7123B" w:rsidRDefault="00C7123B" w:rsidP="005F6521">
            <w:pPr>
              <w:pStyle w:val="MText"/>
            </w:pPr>
            <w:r>
              <w:t>Information not available.</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CCB00E6" w:rsidR="00AB65AE" w:rsidRPr="004D68B6" w:rsidRDefault="00AB65AE" w:rsidP="00EC064B">
            <w:pPr>
              <w:spacing w:after="0" w:line="240" w:lineRule="auto"/>
              <w:rPr>
                <w:rFonts w:ascii="Calibri" w:eastAsia="Times New Roman" w:hAnsi="Calibri" w:cs="Calibri"/>
                <w:color w:val="000000"/>
              </w:rPr>
            </w:pPr>
            <w:r w:rsidRPr="00FA20D9">
              <w:t>3.</w:t>
            </w:r>
            <w:r w:rsidR="005F6521">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07293AB0" w14:textId="77777777" w:rsidR="00B55293" w:rsidRDefault="00B55293" w:rsidP="005F6521">
            <w:pPr>
              <w:pStyle w:val="MHeader"/>
            </w:pPr>
            <w:r>
              <w:t>Calendar</w:t>
            </w:r>
          </w:p>
          <w:p w14:paraId="1B11BC84" w14:textId="77777777" w:rsidR="00B55293" w:rsidRDefault="00B55293" w:rsidP="005F6521">
            <w:pPr>
              <w:pStyle w:val="MSubHeader"/>
            </w:pPr>
            <w:r>
              <w:t>Data collection:</w:t>
            </w:r>
          </w:p>
          <w:p w14:paraId="5805C371" w14:textId="1D27C4D2" w:rsidR="00AB65AE" w:rsidRPr="00B55293" w:rsidRDefault="00B55293" w:rsidP="005F6521">
            <w:pPr>
              <w:pStyle w:val="MText"/>
            </w:pPr>
            <w:r>
              <w:t>Data collection is ongoing.</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5EF13C3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F6521">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2A8AC82" w14:textId="77777777" w:rsidR="00B55293" w:rsidRDefault="00B55293" w:rsidP="005F6521">
            <w:pPr>
              <w:pStyle w:val="MSubHeader"/>
            </w:pPr>
            <w:r>
              <w:t>Data release:</w:t>
            </w:r>
          </w:p>
          <w:p w14:paraId="097FA4BD" w14:textId="7BEEDC60" w:rsidR="00AB65AE" w:rsidRPr="003525CD" w:rsidRDefault="00B55293" w:rsidP="005F6521">
            <w:pPr>
              <w:pStyle w:val="MText"/>
              <w:rPr>
                <w:rFonts w:cstheme="minorHAnsi"/>
              </w:rPr>
            </w:pPr>
            <w:r>
              <w:t>September 2018; February 2019</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ACB5ED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F6521">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7BFA040" w14:textId="77777777" w:rsidR="00F807A5" w:rsidRDefault="00F807A5" w:rsidP="005F6521">
            <w:pPr>
              <w:pStyle w:val="MHeader"/>
            </w:pPr>
            <w:r>
              <w:t>Data providers</w:t>
            </w:r>
          </w:p>
          <w:p w14:paraId="1D73924A" w14:textId="77777777" w:rsidR="00F807A5" w:rsidRPr="005F6521" w:rsidRDefault="00F807A5" w:rsidP="005F6521">
            <w:pPr>
              <w:pStyle w:val="MText"/>
              <w:rPr>
                <w:b/>
                <w:bCs/>
              </w:rPr>
            </w:pPr>
            <w:r w:rsidRPr="005F6521">
              <w:rPr>
                <w:b/>
                <w:bCs/>
              </w:rPr>
              <w:t>School Based</w:t>
            </w:r>
          </w:p>
          <w:p w14:paraId="75BFEEF5" w14:textId="399EB87C" w:rsidR="00F807A5" w:rsidRDefault="00F807A5" w:rsidP="00F807A5">
            <w:pPr>
              <w:pStyle w:val="MText"/>
              <w:numPr>
                <w:ilvl w:val="0"/>
                <w:numId w:val="25"/>
              </w:numPr>
              <w:ind w:left="375"/>
            </w:pPr>
            <w:r>
              <w:rPr>
                <w:u w:val="single"/>
              </w:rPr>
              <w:t xml:space="preserve">International </w:t>
            </w:r>
            <w:proofErr w:type="gramStart"/>
            <w:r>
              <w:rPr>
                <w:u w:val="single"/>
              </w:rPr>
              <w:t>Large Scale</w:t>
            </w:r>
            <w:proofErr w:type="gramEnd"/>
            <w:r>
              <w:rPr>
                <w:u w:val="single"/>
              </w:rPr>
              <w:t xml:space="preserve"> Assessments</w:t>
            </w:r>
            <w:r>
              <w:t xml:space="preserve"> are reported to the UIS by cross-national organisations (LLECE, PASEC, TIMSS, and PIRLS). Typically, </w:t>
            </w:r>
            <w:proofErr w:type="gramStart"/>
            <w:r>
              <w:t>Cross National Large Scale</w:t>
            </w:r>
            <w:proofErr w:type="gramEnd"/>
            <w:r>
              <w:t xml:space="preserve"> Assessment, either regional or international, define various performance levels, and report as well the mean and standard deviation. They choose as well one level as the cut-off point that defines what children/youth are below or above level.</w:t>
            </w:r>
          </w:p>
          <w:p w14:paraId="19182E89" w14:textId="77777777" w:rsidR="00F807A5" w:rsidRDefault="00F807A5" w:rsidP="00F807A5">
            <w:pPr>
              <w:pStyle w:val="MText"/>
              <w:ind w:left="375"/>
            </w:pPr>
          </w:p>
          <w:p w14:paraId="5F3F112E" w14:textId="34DB0383" w:rsidR="00F807A5" w:rsidRDefault="00F807A5" w:rsidP="00F807A5">
            <w:pPr>
              <w:pStyle w:val="MText"/>
              <w:numPr>
                <w:ilvl w:val="0"/>
                <w:numId w:val="25"/>
              </w:numPr>
              <w:ind w:left="375"/>
            </w:pPr>
            <w:r>
              <w:rPr>
                <w:u w:val="single"/>
              </w:rPr>
              <w:t>National Large-Scale Assessments</w:t>
            </w:r>
            <w:r>
              <w:t xml:space="preserve"> either sample- or census- based. Countries should report the proportion of students by level of competency for each domain indicating as well the minimum proficiency level, when it is defined by the national assessment. EGRA and EGMA as reported by USAID or individual countries. </w:t>
            </w:r>
          </w:p>
          <w:p w14:paraId="11830C5F" w14:textId="77777777" w:rsidR="00F807A5" w:rsidRDefault="00F807A5" w:rsidP="00F807A5">
            <w:pPr>
              <w:pStyle w:val="MText"/>
              <w:ind w:left="720"/>
            </w:pPr>
          </w:p>
          <w:p w14:paraId="6B7E593F" w14:textId="15377013" w:rsidR="00F807A5" w:rsidRDefault="00F807A5" w:rsidP="00F807A5">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Household Survey-Based</w:t>
            </w:r>
          </w:p>
          <w:p w14:paraId="6932C3B0" w14:textId="77777777" w:rsidR="00F807A5" w:rsidRDefault="00F807A5" w:rsidP="00F807A5">
            <w:pPr>
              <w:pStyle w:val="ListParagraph"/>
              <w:numPr>
                <w:ilvl w:val="0"/>
                <w:numId w:val="23"/>
              </w:numPr>
              <w:shd w:val="clear" w:color="auto" w:fill="FFFFFF"/>
              <w:spacing w:after="0"/>
              <w:ind w:left="375"/>
              <w:rPr>
                <w:rFonts w:eastAsia="Times New Roman" w:cs="Times New Roman"/>
                <w:color w:val="4A4A4A"/>
                <w:sz w:val="21"/>
                <w:szCs w:val="21"/>
                <w:lang w:eastAsia="en-GB"/>
              </w:rPr>
            </w:pPr>
            <w:r>
              <w:rPr>
                <w:rFonts w:eastAsia="Times New Roman" w:cs="Times New Roman"/>
                <w:color w:val="4A4A4A"/>
                <w:sz w:val="21"/>
                <w:szCs w:val="21"/>
                <w:lang w:eastAsia="en-GB"/>
              </w:rPr>
              <w:t>MICS6: reported to the UIS by UNICEF</w:t>
            </w:r>
          </w:p>
          <w:p w14:paraId="406AF515" w14:textId="27716B0D" w:rsidR="00AB65AE" w:rsidRPr="00F807A5" w:rsidRDefault="00F807A5" w:rsidP="00F807A5">
            <w:pPr>
              <w:pStyle w:val="ListParagraph"/>
              <w:numPr>
                <w:ilvl w:val="0"/>
                <w:numId w:val="23"/>
              </w:numPr>
              <w:shd w:val="clear" w:color="auto" w:fill="FFFFFF"/>
              <w:spacing w:after="0"/>
              <w:ind w:left="375"/>
              <w:rPr>
                <w:rFonts w:eastAsia="Times New Roman" w:cs="Times New Roman"/>
                <w:color w:val="4A4A4A"/>
                <w:sz w:val="21"/>
                <w:szCs w:val="21"/>
                <w:lang w:eastAsia="en-GB"/>
              </w:rPr>
            </w:pPr>
            <w:r>
              <w:rPr>
                <w:rFonts w:eastAsia="Times New Roman" w:cs="Times New Roman"/>
                <w:color w:val="4A4A4A"/>
                <w:sz w:val="21"/>
                <w:szCs w:val="21"/>
                <w:lang w:eastAsia="en-GB"/>
              </w:rPr>
              <w:t>Pal network: reported to the UIS by Pal network</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591597E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F6521">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203B64D" w14:textId="77777777" w:rsidR="007C0F00" w:rsidRDefault="007C0F00" w:rsidP="005F6521">
            <w:pPr>
              <w:pStyle w:val="MHeader"/>
            </w:pPr>
            <w:r>
              <w:t>Data compilers</w:t>
            </w:r>
          </w:p>
          <w:p w14:paraId="39191C53" w14:textId="766752CF" w:rsidR="00AB65AE" w:rsidRPr="007C0F00" w:rsidRDefault="007C0F00" w:rsidP="005F6521">
            <w:pPr>
              <w:pStyle w:val="MText"/>
            </w:pPr>
            <w:r>
              <w:t>UNESCO Institute of Statistics (UIS)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ED24FB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F6521">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4" w:name="_Toc36655612"/>
            <w:bookmarkStart w:id="25" w:name="_Toc36812575"/>
            <w:bookmarkStart w:id="26" w:name="_Toc36812688"/>
            <w:bookmarkStart w:id="27" w:name="_Toc36813075"/>
            <w:r w:rsidRPr="007A28BA">
              <w:t>4</w:t>
            </w:r>
            <w:r w:rsidR="00F96E8D" w:rsidRPr="007A28BA">
              <w:t>. Other methodological considerations</w:t>
            </w:r>
            <w:bookmarkEnd w:id="24"/>
            <w:bookmarkEnd w:id="25"/>
            <w:bookmarkEnd w:id="26"/>
            <w:bookmarkEnd w:id="27"/>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C66557" w14:textId="77777777" w:rsidR="00067546" w:rsidRDefault="00067546" w:rsidP="001F4F46">
            <w:pPr>
              <w:pStyle w:val="MSubHeader"/>
            </w:pPr>
            <w:r>
              <w:t>Rationale:</w:t>
            </w:r>
          </w:p>
          <w:p w14:paraId="6F5859B0" w14:textId="0A09BE3E" w:rsidR="007C63C4" w:rsidRPr="00067546" w:rsidRDefault="00067546" w:rsidP="001F4F46">
            <w:pPr>
              <w:pStyle w:val="MText"/>
            </w:pPr>
            <w:r>
              <w:t>The higher the figure the higher the proportion of children and/or young people reaching at least minimum proficiency in the respective domain (reading or mathematic) with the limitations indicated under the “Comments and limitations” section.</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AB130E5" w14:textId="77777777" w:rsidR="00067546" w:rsidRDefault="00067546" w:rsidP="001F4F46">
            <w:pPr>
              <w:pStyle w:val="MSubHeader"/>
            </w:pPr>
            <w:r>
              <w:t>Comments and limitations:</w:t>
            </w:r>
          </w:p>
          <w:p w14:paraId="0AADA11A" w14:textId="77777777" w:rsidR="00067546" w:rsidRDefault="00067546" w:rsidP="001F4F46">
            <w:pPr>
              <w:pStyle w:val="MText"/>
            </w:pPr>
            <w:r>
              <w:t>Learning outcomes from national school- or household-based learning assessments are not automatically comparable across countries unless they are linked by design. Learning outcomes from cross-national learning assessment are automatically comparable for countries which participated in the same cross-national learning assessments, but they are not comparable across different cross-national learning assessments without further analytical effort.</w:t>
            </w:r>
          </w:p>
          <w:p w14:paraId="420A291A" w14:textId="77777777" w:rsidR="00067546" w:rsidRDefault="00067546" w:rsidP="001F4F46">
            <w:pPr>
              <w:pStyle w:val="MText"/>
            </w:pPr>
          </w:p>
          <w:p w14:paraId="328C0885" w14:textId="1AD7AF4D" w:rsidR="007C63C4" w:rsidRPr="00334DB3" w:rsidRDefault="00067546" w:rsidP="001F4F46">
            <w:pPr>
              <w:pStyle w:val="MText"/>
              <w:rPr>
                <w:rFonts w:cstheme="minorHAnsi"/>
              </w:rPr>
            </w:pPr>
            <w:r>
              <w:t xml:space="preserve">Comparability over time is possible if the assessment is designed with an adequate linking process between waves of administration.  This is described in the note “4.1.1. UIS request for reclassification 20181001.docx.”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E7974B" w14:textId="77777777" w:rsidR="00497C4D" w:rsidRDefault="00497C4D" w:rsidP="001F4F46">
            <w:pPr>
              <w:pStyle w:val="MHeader"/>
            </w:pPr>
            <w:r>
              <w:t>Methodology</w:t>
            </w:r>
          </w:p>
          <w:p w14:paraId="43A43876" w14:textId="7A679746" w:rsidR="00497C4D" w:rsidRDefault="00497C4D" w:rsidP="001F4F46">
            <w:pPr>
              <w:pStyle w:val="MSubHeader"/>
            </w:pPr>
            <w:r>
              <w:t>Computation method:</w:t>
            </w:r>
          </w:p>
          <w:p w14:paraId="0E16D83E" w14:textId="77777777" w:rsidR="00497C4D" w:rsidRDefault="00497C4D" w:rsidP="001F4F46">
            <w:pPr>
              <w:pStyle w:val="MText"/>
            </w:pPr>
            <w:r>
              <w:t xml:space="preserve">The number of children and/or young people at the relevant stage of education n in year </w:t>
            </w:r>
            <w:proofErr w:type="spellStart"/>
            <w:r>
              <w:t>t</w:t>
            </w:r>
            <w:proofErr w:type="spellEnd"/>
            <w:r>
              <w:t xml:space="preserve"> achieving at least the pre-defined proficiency level in subject s expressed as a percentage of the number of children and/or young people at stage of education n, in year t, in any proficiency level in subject s.</w:t>
            </w:r>
          </w:p>
          <w:p w14:paraId="1D72800B" w14:textId="77777777" w:rsidR="00497C4D" w:rsidRDefault="00497C4D" w:rsidP="00497C4D">
            <w:pPr>
              <w:shd w:val="clear" w:color="auto" w:fill="FFFFFF"/>
              <w:spacing w:after="0"/>
              <w:rPr>
                <w:rFonts w:eastAsia="Times New Roman" w:cs="Times New Roman"/>
                <w:color w:val="4A4A4A"/>
                <w:sz w:val="21"/>
                <w:szCs w:val="21"/>
                <w:lang w:eastAsia="en-GB"/>
              </w:rPr>
            </w:pPr>
          </w:p>
          <w:p w14:paraId="4CA6DE57" w14:textId="77777777" w:rsidR="00497C4D" w:rsidRDefault="00497C4D" w:rsidP="00497C4D">
            <w:pPr>
              <w:shd w:val="clear" w:color="auto" w:fill="FFFFFF"/>
              <w:spacing w:after="0"/>
              <w:jc w:val="center"/>
              <w:rPr>
                <w:rFonts w:eastAsia="Times New Roman" w:cs="Times New Roman"/>
                <w:color w:val="4A4A4A"/>
                <w:sz w:val="21"/>
                <w:szCs w:val="21"/>
                <w:lang w:eastAsia="en-GB"/>
              </w:rPr>
            </w:pPr>
            <w:proofErr w:type="spellStart"/>
            <w:proofErr w:type="gramStart"/>
            <w:r>
              <w:rPr>
                <w:rFonts w:eastAsia="Times New Roman" w:cs="Times New Roman"/>
                <w:color w:val="4A4A4A"/>
                <w:sz w:val="21"/>
                <w:szCs w:val="21"/>
                <w:lang w:eastAsia="en-GB"/>
              </w:rPr>
              <w:t>MPL</w:t>
            </w:r>
            <w:r>
              <w:rPr>
                <w:rFonts w:eastAsia="Times New Roman" w:cs="Times New Roman"/>
                <w:color w:val="4A4A4A"/>
                <w:sz w:val="21"/>
                <w:szCs w:val="21"/>
                <w:vertAlign w:val="subscript"/>
                <w:lang w:eastAsia="en-GB"/>
              </w:rPr>
              <w:t>t,n</w:t>
            </w:r>
            <w:proofErr w:type="gramEnd"/>
            <w:r>
              <w:rPr>
                <w:rFonts w:eastAsia="Times New Roman" w:cs="Times New Roman"/>
                <w:color w:val="4A4A4A"/>
                <w:sz w:val="21"/>
                <w:szCs w:val="21"/>
                <w:vertAlign w:val="subscript"/>
                <w:lang w:eastAsia="en-GB"/>
              </w:rPr>
              <w:t>,s</w:t>
            </w:r>
            <w:proofErr w:type="spellEnd"/>
            <w:r>
              <w:rPr>
                <w:rFonts w:eastAsia="Times New Roman" w:cs="Times New Roman"/>
                <w:color w:val="4A4A4A"/>
                <w:sz w:val="21"/>
                <w:szCs w:val="21"/>
                <w:vertAlign w:val="subscript"/>
                <w:lang w:eastAsia="en-GB"/>
              </w:rPr>
              <w:t>,</w:t>
            </w:r>
            <w:r>
              <w:rPr>
                <w:rFonts w:eastAsia="Times New Roman" w:cs="Times New Roman"/>
                <w:color w:val="4A4A4A"/>
                <w:sz w:val="21"/>
                <w:szCs w:val="21"/>
                <w:lang w:eastAsia="en-GB"/>
              </w:rPr>
              <w:t xml:space="preserve">  = </w:t>
            </w:r>
            <w:proofErr w:type="spellStart"/>
            <w:r>
              <w:rPr>
                <w:rFonts w:eastAsia="Times New Roman" w:cs="Times New Roman"/>
                <w:color w:val="4A4A4A"/>
                <w:sz w:val="21"/>
                <w:szCs w:val="21"/>
                <w:lang w:eastAsia="en-GB"/>
              </w:rPr>
              <w:t>MP</w:t>
            </w:r>
            <w:r>
              <w:rPr>
                <w:rFonts w:eastAsia="Times New Roman" w:cs="Times New Roman"/>
                <w:color w:val="4A4A4A"/>
                <w:sz w:val="21"/>
                <w:szCs w:val="21"/>
                <w:vertAlign w:val="subscript"/>
                <w:lang w:eastAsia="en-GB"/>
              </w:rPr>
              <w:t>t,n,s</w:t>
            </w:r>
            <w:proofErr w:type="spellEnd"/>
            <w:r>
              <w:rPr>
                <w:rFonts w:eastAsia="Times New Roman" w:cs="Times New Roman"/>
                <w:color w:val="4A4A4A"/>
                <w:sz w:val="21"/>
                <w:szCs w:val="21"/>
                <w:lang w:eastAsia="en-GB"/>
              </w:rPr>
              <w:t xml:space="preserve"> / </w:t>
            </w:r>
            <w:proofErr w:type="spellStart"/>
            <w:r>
              <w:rPr>
                <w:rFonts w:eastAsia="Times New Roman" w:cs="Times New Roman"/>
                <w:color w:val="4A4A4A"/>
                <w:sz w:val="21"/>
                <w:szCs w:val="21"/>
                <w:lang w:eastAsia="en-GB"/>
              </w:rPr>
              <w:t>P</w:t>
            </w:r>
            <w:r>
              <w:rPr>
                <w:rFonts w:eastAsia="Times New Roman" w:cs="Times New Roman"/>
                <w:color w:val="4A4A4A"/>
                <w:sz w:val="21"/>
                <w:szCs w:val="21"/>
                <w:vertAlign w:val="subscript"/>
                <w:lang w:eastAsia="en-GB"/>
              </w:rPr>
              <w:t>t,n</w:t>
            </w:r>
            <w:proofErr w:type="spellEnd"/>
          </w:p>
          <w:p w14:paraId="38ACA039" w14:textId="17C28A97" w:rsidR="00497C4D" w:rsidRDefault="00497C4D" w:rsidP="001F4F46">
            <w:pPr>
              <w:pStyle w:val="MText"/>
            </w:pPr>
            <w:r>
              <w:t xml:space="preserve">where: </w:t>
            </w:r>
          </w:p>
          <w:p w14:paraId="518B84C5" w14:textId="23F8DA49" w:rsidR="00497C4D" w:rsidRDefault="00497C4D" w:rsidP="001F4F46">
            <w:pPr>
              <w:pStyle w:val="MText"/>
            </w:pPr>
            <w:proofErr w:type="spellStart"/>
            <w:proofErr w:type="gramStart"/>
            <w:r>
              <w:t>MP</w:t>
            </w:r>
            <w:r>
              <w:rPr>
                <w:vertAlign w:val="subscript"/>
              </w:rPr>
              <w:t>t,n</w:t>
            </w:r>
            <w:proofErr w:type="gramEnd"/>
            <w:r>
              <w:rPr>
                <w:vertAlign w:val="subscript"/>
              </w:rPr>
              <w:t>,s</w:t>
            </w:r>
            <w:proofErr w:type="spellEnd"/>
            <w:r>
              <w:t xml:space="preserve"> = the number of children and young people at stage of education n, in year t, who have achieved at least the minimum proficiency level in subject s. </w:t>
            </w:r>
          </w:p>
          <w:p w14:paraId="70716024" w14:textId="038E4F6F" w:rsidR="00497C4D" w:rsidRDefault="00497C4D" w:rsidP="001F4F46">
            <w:pPr>
              <w:pStyle w:val="MText"/>
            </w:pPr>
            <w:proofErr w:type="spellStart"/>
            <w:proofErr w:type="gramStart"/>
            <w:r>
              <w:t>P</w:t>
            </w:r>
            <w:r>
              <w:rPr>
                <w:vertAlign w:val="subscript"/>
              </w:rPr>
              <w:t>t,n</w:t>
            </w:r>
            <w:proofErr w:type="spellEnd"/>
            <w:proofErr w:type="gramEnd"/>
            <w:r w:rsidR="00D83C21">
              <w:rPr>
                <w:vertAlign w:val="subscript"/>
              </w:rPr>
              <w:t xml:space="preserve"> </w:t>
            </w:r>
            <w:r>
              <w:t>= the number of children and young people at stage of education n, in year t, in any proficiency level in subject s.</w:t>
            </w:r>
          </w:p>
          <w:p w14:paraId="48823878" w14:textId="2933D022" w:rsidR="00497C4D" w:rsidRDefault="00497C4D" w:rsidP="001F4F46">
            <w:pPr>
              <w:pStyle w:val="MText"/>
            </w:pPr>
            <w:r>
              <w:t>n</w:t>
            </w:r>
            <w:r w:rsidR="00D83C21">
              <w:t xml:space="preserve"> </w:t>
            </w:r>
            <w:r>
              <w:t>= the stage of education that was assessed</w:t>
            </w:r>
          </w:p>
          <w:p w14:paraId="14D79041" w14:textId="13665F1D" w:rsidR="007C63C4" w:rsidRPr="00497C4D" w:rsidRDefault="00497C4D" w:rsidP="001F4F46">
            <w:pPr>
              <w:pStyle w:val="MText"/>
            </w:pPr>
            <w:r>
              <w:t>s</w:t>
            </w:r>
            <w:r w:rsidR="00D83C21">
              <w:t xml:space="preserve"> </w:t>
            </w:r>
            <w:r>
              <w:t>= the subject that was assessed (reading or mathematics).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8425E50" w14:textId="77777777" w:rsidR="00D83C21" w:rsidRDefault="00D83C21" w:rsidP="00154806">
            <w:pPr>
              <w:pStyle w:val="MSubHeader"/>
            </w:pPr>
            <w:r>
              <w:t>Treatment of missing values:</w:t>
            </w:r>
          </w:p>
          <w:p w14:paraId="3D955CF5" w14:textId="609A3E79" w:rsidR="00D83C21" w:rsidRDefault="00D83C21" w:rsidP="00D83C21">
            <w:pPr>
              <w:numPr>
                <w:ilvl w:val="0"/>
                <w:numId w:val="22"/>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154806">
              <w:rPr>
                <w:rFonts w:eastAsia="Times New Roman" w:cs="Times New Roman"/>
                <w:color w:val="1C75BC"/>
                <w:sz w:val="21"/>
                <w:szCs w:val="21"/>
                <w:lang w:eastAsia="en-GB"/>
              </w:rPr>
              <w:t>:</w:t>
            </w:r>
          </w:p>
          <w:p w14:paraId="261BF175" w14:textId="77777777" w:rsidR="00D83C21" w:rsidRDefault="00D83C21" w:rsidP="00154806">
            <w:pPr>
              <w:pStyle w:val="MText"/>
            </w:pPr>
            <w:r>
              <w:t>Missing values are not imputed.</w:t>
            </w:r>
          </w:p>
          <w:p w14:paraId="190ACFCD" w14:textId="77777777" w:rsidR="00D83C21" w:rsidRDefault="00D83C21" w:rsidP="00D83C21">
            <w:pPr>
              <w:shd w:val="clear" w:color="auto" w:fill="FFFFFF"/>
              <w:spacing w:after="0"/>
              <w:ind w:left="360"/>
              <w:rPr>
                <w:rFonts w:eastAsia="Times New Roman" w:cs="Times New Roman"/>
                <w:color w:val="4A4A4A"/>
                <w:sz w:val="21"/>
                <w:szCs w:val="21"/>
                <w:lang w:eastAsia="en-GB"/>
              </w:rPr>
            </w:pPr>
          </w:p>
          <w:p w14:paraId="4ED2AB16" w14:textId="185B9548" w:rsidR="00D83C21" w:rsidRDefault="00D83C21" w:rsidP="00D83C21">
            <w:pPr>
              <w:numPr>
                <w:ilvl w:val="0"/>
                <w:numId w:val="22"/>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154806">
              <w:rPr>
                <w:rFonts w:eastAsia="Times New Roman" w:cs="Times New Roman"/>
                <w:color w:val="1C75BC"/>
                <w:sz w:val="21"/>
                <w:szCs w:val="21"/>
                <w:lang w:eastAsia="en-GB"/>
              </w:rPr>
              <w:t>:</w:t>
            </w:r>
          </w:p>
          <w:p w14:paraId="11763FCE" w14:textId="50AAD132" w:rsidR="007C63C4" w:rsidRPr="00AE00B6" w:rsidRDefault="00D83C21" w:rsidP="00154806">
            <w:pPr>
              <w:pStyle w:val="MText"/>
            </w:pPr>
            <w:r>
              <w:t>Missing values are not imputed.</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50A4FA2" w14:textId="77777777" w:rsidR="00351E63" w:rsidRDefault="00351E63" w:rsidP="00154806">
            <w:pPr>
              <w:pStyle w:val="MSubHeader"/>
            </w:pPr>
            <w:r>
              <w:t>Regional aggregates:</w:t>
            </w:r>
          </w:p>
          <w:p w14:paraId="6E65421B" w14:textId="1A2EE0F2" w:rsidR="007C63C4" w:rsidRPr="00351E63" w:rsidRDefault="00351E63" w:rsidP="00154806">
            <w:pPr>
              <w:pStyle w:val="MText"/>
            </w:pPr>
            <w:r>
              <w:t>Not yet applicable. Data are reported at the national level only.</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4.h. Methods and guidance available to countries for the </w:t>
            </w:r>
            <w:r w:rsidRPr="00C94E79">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3469D128" w14:textId="77777777" w:rsidR="009D6C93" w:rsidRDefault="00FD6C86" w:rsidP="00154806">
            <w:pPr>
              <w:pStyle w:val="MSubHeader"/>
            </w:pPr>
            <w:r>
              <w:lastRenderedPageBreak/>
              <w:t>Methods and guidance available to countries for the compilation of the data at the national level:</w:t>
            </w:r>
          </w:p>
          <w:p w14:paraId="68FA19D3" w14:textId="0C8DBBC9" w:rsidR="007C63C4" w:rsidRPr="00FD6C86" w:rsidRDefault="00FD6C86" w:rsidP="00154806">
            <w:pPr>
              <w:pStyle w:val="MText"/>
              <w:rPr>
                <w:color w:val="4A86E8"/>
                <w:sz w:val="20"/>
                <w:szCs w:val="20"/>
              </w:rPr>
            </w:pPr>
            <w:r>
              <w:lastRenderedPageBreak/>
              <w:t>Information not available.</w:t>
            </w:r>
          </w:p>
        </w:tc>
      </w:tr>
      <w:tr w:rsidR="00785BA8" w:rsidRPr="004D68B6" w14:paraId="39FADD1D" w14:textId="77777777" w:rsidTr="007C63C4">
        <w:tc>
          <w:tcPr>
            <w:tcW w:w="1739" w:type="pct"/>
            <w:tcBorders>
              <w:top w:val="nil"/>
              <w:left w:val="nil"/>
              <w:bottom w:val="single" w:sz="4" w:space="0" w:color="auto"/>
              <w:right w:val="single" w:sz="4" w:space="0" w:color="auto"/>
            </w:tcBorders>
            <w:shd w:val="clear" w:color="auto" w:fill="E7E6E6" w:themeFill="background2"/>
          </w:tcPr>
          <w:p w14:paraId="46624268" w14:textId="1DAD008D" w:rsidR="00785BA8" w:rsidRPr="00C94E79" w:rsidRDefault="00785BA8"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429A7157" w14:textId="77777777" w:rsidR="00785BA8" w:rsidRDefault="00785BA8" w:rsidP="00154806">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DE1BB22"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85BA8">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69B9137F" w14:textId="0BFF32D1" w:rsidR="00AE00B6" w:rsidRDefault="00AE00B6" w:rsidP="00154806">
            <w:pPr>
              <w:pStyle w:val="MSubHeader"/>
            </w:pPr>
            <w:r>
              <w:t>Quality assurance</w:t>
            </w:r>
            <w:r w:rsidR="00154806">
              <w:t>:</w:t>
            </w:r>
          </w:p>
          <w:p w14:paraId="72EE23D6" w14:textId="250C08EF" w:rsidR="007C63C4" w:rsidRPr="00AE00B6" w:rsidRDefault="00AE00B6" w:rsidP="00154806">
            <w:pPr>
              <w:pStyle w:val="MText"/>
              <w:rPr>
                <w:color w:val="4A86E8"/>
                <w:sz w:val="20"/>
                <w:szCs w:val="20"/>
              </w:rPr>
            </w:pPr>
            <w:r>
              <w:t>Information not available.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457429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85BA8">
              <w:rPr>
                <w:rFonts w:ascii="Calibri" w:eastAsia="Times New Roman" w:hAnsi="Calibri" w:cs="Calibri"/>
              </w:rPr>
              <w:t xml:space="preserve">k. </w:t>
            </w:r>
            <w:r w:rsidRPr="00F862A7">
              <w:rPr>
                <w:rFonts w:ascii="Calibri" w:eastAsia="Times New Roman" w:hAnsi="Calibri" w:cs="Calibri"/>
              </w:rPr>
              <w:t>Q</w:t>
            </w:r>
            <w:r w:rsidR="00785BA8">
              <w:rPr>
                <w:rFonts w:ascii="Calibri" w:eastAsia="Times New Roman" w:hAnsi="Calibri" w:cs="Calibri"/>
              </w:rPr>
              <w:t>uality 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22E42251" w14:textId="77777777" w:rsidR="00154806" w:rsidRDefault="00154806"/>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8" w:name="_Toc36655613"/>
            <w:bookmarkStart w:id="29" w:name="_Toc36812576"/>
            <w:bookmarkStart w:id="30" w:name="_Toc36812689"/>
            <w:bookmarkStart w:id="31" w:name="_Toc36813076"/>
            <w:r w:rsidRPr="001A0E35">
              <w:t>5</w:t>
            </w:r>
            <w:r w:rsidR="00952376" w:rsidRPr="001A0E35">
              <w:t>. Data availability and disaggregation</w:t>
            </w:r>
            <w:bookmarkEnd w:id="28"/>
            <w:bookmarkEnd w:id="29"/>
            <w:bookmarkEnd w:id="30"/>
            <w:bookmarkEnd w:id="31"/>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BD609EF" w14:textId="38353494" w:rsidR="003876C4" w:rsidRDefault="003876C4" w:rsidP="00C241F6">
            <w:pPr>
              <w:pStyle w:val="MHeader"/>
            </w:pPr>
            <w:r>
              <w:t xml:space="preserve">Data </w:t>
            </w:r>
            <w:r w:rsidR="009D6C93">
              <w:t>a</w:t>
            </w:r>
            <w:r>
              <w:t>vailability</w:t>
            </w:r>
          </w:p>
          <w:p w14:paraId="6960B9D8" w14:textId="77777777" w:rsidR="003876C4" w:rsidRDefault="003876C4" w:rsidP="00C241F6">
            <w:pPr>
              <w:pStyle w:val="MSubHeader"/>
            </w:pPr>
            <w:r>
              <w:t>Description:</w:t>
            </w:r>
          </w:p>
          <w:p w14:paraId="3EC68A88" w14:textId="77777777" w:rsidR="003876C4" w:rsidRDefault="003876C4" w:rsidP="003876C4">
            <w:pPr>
              <w:pStyle w:val="MSubHeader"/>
              <w:jc w:val="center"/>
            </w:pPr>
            <w:r>
              <w:t>Figure 1. Availability of data for indicator 4.1.1 (a), by grade</w:t>
            </w:r>
          </w:p>
          <w:p w14:paraId="61BD4EEF" w14:textId="7E20C125" w:rsidR="003876C4" w:rsidRDefault="003876C4" w:rsidP="003876C4">
            <w:pPr>
              <w:shd w:val="clear" w:color="auto" w:fill="FFFFFF"/>
              <w:spacing w:after="0"/>
              <w:rPr>
                <w:rFonts w:eastAsia="Times New Roman" w:cs="Times New Roman"/>
                <w:color w:val="4A4A4A"/>
                <w:sz w:val="21"/>
                <w:szCs w:val="21"/>
                <w:lang w:eastAsia="en-GB"/>
              </w:rPr>
            </w:pPr>
            <w:r>
              <w:rPr>
                <w:rFonts w:ascii="Open Sans" w:hAnsi="Open Sans" w:cs="Open Sans"/>
                <w:noProof/>
                <w:sz w:val="20"/>
                <w:szCs w:val="20"/>
              </w:rPr>
              <w:drawing>
                <wp:inline distT="0" distB="0" distL="0" distR="0" wp14:anchorId="045970C4" wp14:editId="1746470F">
                  <wp:extent cx="3689985" cy="29514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985" cy="2951480"/>
                          </a:xfrm>
                          <a:prstGeom prst="rect">
                            <a:avLst/>
                          </a:prstGeom>
                          <a:noFill/>
                          <a:ln>
                            <a:noFill/>
                          </a:ln>
                        </pic:spPr>
                      </pic:pic>
                    </a:graphicData>
                  </a:graphic>
                </wp:inline>
              </w:drawing>
            </w:r>
          </w:p>
          <w:p w14:paraId="368A0443" w14:textId="77777777" w:rsidR="003876C4" w:rsidRDefault="003876C4" w:rsidP="003876C4">
            <w:pPr>
              <w:shd w:val="clear" w:color="auto" w:fill="FFFFFF"/>
              <w:spacing w:after="0"/>
              <w:rPr>
                <w:rFonts w:eastAsia="Times New Roman" w:cs="Times New Roman"/>
                <w:color w:val="4A4A4A"/>
                <w:sz w:val="21"/>
                <w:szCs w:val="21"/>
                <w:lang w:eastAsia="en-GB"/>
              </w:rPr>
            </w:pPr>
          </w:p>
          <w:tbl>
            <w:tblPr>
              <w:tblW w:w="5130" w:type="dxa"/>
              <w:jc w:val="center"/>
              <w:tblLayout w:type="fixed"/>
              <w:tblLook w:val="04A0" w:firstRow="1" w:lastRow="0" w:firstColumn="1" w:lastColumn="0" w:noHBand="0" w:noVBand="1"/>
            </w:tblPr>
            <w:tblGrid>
              <w:gridCol w:w="2920"/>
              <w:gridCol w:w="2210"/>
            </w:tblGrid>
            <w:tr w:rsidR="003876C4" w14:paraId="59D118A7" w14:textId="77777777" w:rsidTr="003876C4">
              <w:trPr>
                <w:trHeight w:val="300"/>
                <w:jc w:val="center"/>
              </w:trPr>
              <w:tc>
                <w:tcPr>
                  <w:tcW w:w="2920" w:type="dxa"/>
                  <w:vMerge w:val="restart"/>
                  <w:tcBorders>
                    <w:top w:val="single" w:sz="4" w:space="0" w:color="auto"/>
                    <w:left w:val="single" w:sz="4" w:space="0" w:color="auto"/>
                    <w:bottom w:val="single" w:sz="4" w:space="0" w:color="auto"/>
                    <w:right w:val="single" w:sz="4" w:space="0" w:color="auto"/>
                  </w:tcBorders>
                  <w:noWrap/>
                  <w:vAlign w:val="center"/>
                  <w:hideMark/>
                </w:tcPr>
                <w:p w14:paraId="67D24538" w14:textId="77777777" w:rsidR="003876C4" w:rsidRDefault="003876C4" w:rsidP="003876C4">
                  <w:pPr>
                    <w:pStyle w:val="MText"/>
                    <w:rPr>
                      <w:b/>
                      <w:bCs/>
                    </w:rPr>
                  </w:pPr>
                  <w:r>
                    <w:rPr>
                      <w:b/>
                      <w:bCs/>
                    </w:rPr>
                    <w:t>Regions</w:t>
                  </w:r>
                </w:p>
              </w:tc>
              <w:tc>
                <w:tcPr>
                  <w:tcW w:w="2210" w:type="dxa"/>
                  <w:tcBorders>
                    <w:top w:val="single" w:sz="4" w:space="0" w:color="auto"/>
                    <w:left w:val="nil"/>
                    <w:bottom w:val="single" w:sz="4" w:space="0" w:color="auto"/>
                    <w:right w:val="single" w:sz="4" w:space="0" w:color="auto"/>
                  </w:tcBorders>
                  <w:noWrap/>
                  <w:vAlign w:val="center"/>
                  <w:hideMark/>
                </w:tcPr>
                <w:p w14:paraId="08B66F1B" w14:textId="77777777" w:rsidR="003876C4" w:rsidRDefault="003876C4" w:rsidP="003876C4">
                  <w:pPr>
                    <w:pStyle w:val="MText"/>
                    <w:rPr>
                      <w:b/>
                      <w:bCs/>
                    </w:rPr>
                  </w:pPr>
                  <w:r>
                    <w:rPr>
                      <w:b/>
                      <w:bCs/>
                    </w:rPr>
                    <w:t>Number of countries</w:t>
                  </w:r>
                </w:p>
              </w:tc>
            </w:tr>
            <w:tr w:rsidR="003876C4" w14:paraId="040D4044" w14:textId="77777777" w:rsidTr="003876C4">
              <w:trPr>
                <w:trHeight w:val="300"/>
                <w:jc w:val="center"/>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45ABA133" w14:textId="77777777" w:rsidR="003876C4" w:rsidRDefault="003876C4" w:rsidP="003876C4">
                  <w:pPr>
                    <w:spacing w:after="0"/>
                    <w:rPr>
                      <w:rFonts w:eastAsia="Times New Roman" w:cs="Times New Roman"/>
                      <w:b/>
                      <w:bCs/>
                      <w:color w:val="4A4A4A"/>
                      <w:sz w:val="21"/>
                      <w:szCs w:val="21"/>
                      <w:lang w:val="en-GB" w:eastAsia="en-GB"/>
                    </w:rPr>
                  </w:pPr>
                </w:p>
              </w:tc>
              <w:tc>
                <w:tcPr>
                  <w:tcW w:w="2210" w:type="dxa"/>
                  <w:tcBorders>
                    <w:top w:val="nil"/>
                    <w:left w:val="nil"/>
                    <w:bottom w:val="single" w:sz="4" w:space="0" w:color="auto"/>
                    <w:right w:val="single" w:sz="4" w:space="0" w:color="auto"/>
                  </w:tcBorders>
                  <w:noWrap/>
                  <w:vAlign w:val="center"/>
                  <w:hideMark/>
                </w:tcPr>
                <w:p w14:paraId="6453F5E5" w14:textId="77777777" w:rsidR="003876C4" w:rsidRDefault="003876C4" w:rsidP="003876C4">
                  <w:pPr>
                    <w:pStyle w:val="MText"/>
                    <w:rPr>
                      <w:b/>
                      <w:bCs/>
                    </w:rPr>
                  </w:pPr>
                  <w:r>
                    <w:rPr>
                      <w:b/>
                      <w:bCs/>
                    </w:rPr>
                    <w:t>with available data</w:t>
                  </w:r>
                </w:p>
              </w:tc>
            </w:tr>
            <w:tr w:rsidR="003876C4" w14:paraId="59E9EE81"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0B671DAA" w14:textId="77777777" w:rsidR="003876C4" w:rsidRDefault="003876C4" w:rsidP="003876C4">
                  <w:pPr>
                    <w:pStyle w:val="MText"/>
                  </w:pPr>
                  <w:r>
                    <w:t>Africa (Northern)</w:t>
                  </w:r>
                </w:p>
              </w:tc>
              <w:tc>
                <w:tcPr>
                  <w:tcW w:w="2210" w:type="dxa"/>
                  <w:tcBorders>
                    <w:top w:val="nil"/>
                    <w:left w:val="nil"/>
                    <w:bottom w:val="single" w:sz="4" w:space="0" w:color="auto"/>
                    <w:right w:val="single" w:sz="4" w:space="0" w:color="auto"/>
                  </w:tcBorders>
                  <w:noWrap/>
                  <w:vAlign w:val="center"/>
                  <w:hideMark/>
                </w:tcPr>
                <w:p w14:paraId="0DE9B5A3" w14:textId="77777777" w:rsidR="003876C4" w:rsidRDefault="003876C4" w:rsidP="003876C4">
                  <w:pPr>
                    <w:pStyle w:val="MText"/>
                  </w:pPr>
                  <w:r>
                    <w:t>4</w:t>
                  </w:r>
                </w:p>
              </w:tc>
            </w:tr>
            <w:tr w:rsidR="003876C4" w14:paraId="54ED7EBB"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7E6F9EDB" w14:textId="77777777" w:rsidR="003876C4" w:rsidRDefault="003876C4" w:rsidP="003876C4">
                  <w:pPr>
                    <w:pStyle w:val="MText"/>
                  </w:pPr>
                  <w:r>
                    <w:t xml:space="preserve">Africa (Sub-Saharan) </w:t>
                  </w:r>
                </w:p>
              </w:tc>
              <w:tc>
                <w:tcPr>
                  <w:tcW w:w="2210" w:type="dxa"/>
                  <w:tcBorders>
                    <w:top w:val="nil"/>
                    <w:left w:val="nil"/>
                    <w:bottom w:val="single" w:sz="4" w:space="0" w:color="auto"/>
                    <w:right w:val="single" w:sz="4" w:space="0" w:color="auto"/>
                  </w:tcBorders>
                  <w:noWrap/>
                  <w:vAlign w:val="center"/>
                  <w:hideMark/>
                </w:tcPr>
                <w:p w14:paraId="1B2E2927" w14:textId="77777777" w:rsidR="003876C4" w:rsidRDefault="003876C4" w:rsidP="003876C4">
                  <w:pPr>
                    <w:pStyle w:val="MText"/>
                  </w:pPr>
                  <w:r>
                    <w:t>19</w:t>
                  </w:r>
                </w:p>
              </w:tc>
            </w:tr>
            <w:tr w:rsidR="003876C4" w14:paraId="7EDB3CF0"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3623A34D" w14:textId="77777777" w:rsidR="003876C4" w:rsidRDefault="003876C4" w:rsidP="003876C4">
                  <w:pPr>
                    <w:pStyle w:val="MText"/>
                  </w:pPr>
                  <w:r>
                    <w:t>Asia (Central and Southern)</w:t>
                  </w:r>
                </w:p>
              </w:tc>
              <w:tc>
                <w:tcPr>
                  <w:tcW w:w="2210" w:type="dxa"/>
                  <w:tcBorders>
                    <w:top w:val="nil"/>
                    <w:left w:val="nil"/>
                    <w:bottom w:val="single" w:sz="4" w:space="0" w:color="auto"/>
                    <w:right w:val="single" w:sz="4" w:space="0" w:color="auto"/>
                  </w:tcBorders>
                  <w:noWrap/>
                  <w:vAlign w:val="center"/>
                  <w:hideMark/>
                </w:tcPr>
                <w:p w14:paraId="103C92DF" w14:textId="77777777" w:rsidR="003876C4" w:rsidRDefault="003876C4" w:rsidP="003876C4">
                  <w:pPr>
                    <w:pStyle w:val="MText"/>
                  </w:pPr>
                  <w:r>
                    <w:t>3</w:t>
                  </w:r>
                </w:p>
              </w:tc>
            </w:tr>
            <w:tr w:rsidR="003876C4" w14:paraId="47821544"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3BBDD1C7" w14:textId="77777777" w:rsidR="003876C4" w:rsidRDefault="003876C4" w:rsidP="003876C4">
                  <w:pPr>
                    <w:pStyle w:val="MText"/>
                  </w:pPr>
                  <w:r>
                    <w:t>Asia (Eastern and South-eastern)</w:t>
                  </w:r>
                </w:p>
              </w:tc>
              <w:tc>
                <w:tcPr>
                  <w:tcW w:w="2210" w:type="dxa"/>
                  <w:tcBorders>
                    <w:top w:val="nil"/>
                    <w:left w:val="nil"/>
                    <w:bottom w:val="single" w:sz="4" w:space="0" w:color="auto"/>
                    <w:right w:val="single" w:sz="4" w:space="0" w:color="auto"/>
                  </w:tcBorders>
                  <w:noWrap/>
                  <w:vAlign w:val="center"/>
                  <w:hideMark/>
                </w:tcPr>
                <w:p w14:paraId="7C258C3E" w14:textId="77777777" w:rsidR="003876C4" w:rsidRDefault="003876C4" w:rsidP="003876C4">
                  <w:pPr>
                    <w:pStyle w:val="MText"/>
                  </w:pPr>
                  <w:r>
                    <w:t>12</w:t>
                  </w:r>
                </w:p>
              </w:tc>
            </w:tr>
            <w:tr w:rsidR="003876C4" w14:paraId="695F21C4"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6476BD86" w14:textId="77777777" w:rsidR="003876C4" w:rsidRDefault="003876C4" w:rsidP="003876C4">
                  <w:pPr>
                    <w:pStyle w:val="MText"/>
                  </w:pPr>
                  <w:r>
                    <w:t>Asia (Western)</w:t>
                  </w:r>
                </w:p>
              </w:tc>
              <w:tc>
                <w:tcPr>
                  <w:tcW w:w="2210" w:type="dxa"/>
                  <w:tcBorders>
                    <w:top w:val="nil"/>
                    <w:left w:val="nil"/>
                    <w:bottom w:val="single" w:sz="4" w:space="0" w:color="auto"/>
                    <w:right w:val="single" w:sz="4" w:space="0" w:color="auto"/>
                  </w:tcBorders>
                  <w:noWrap/>
                  <w:vAlign w:val="center"/>
                  <w:hideMark/>
                </w:tcPr>
                <w:p w14:paraId="3A51A621" w14:textId="77777777" w:rsidR="003876C4" w:rsidRDefault="003876C4" w:rsidP="003876C4">
                  <w:pPr>
                    <w:pStyle w:val="MText"/>
                  </w:pPr>
                  <w:r>
                    <w:t>11</w:t>
                  </w:r>
                </w:p>
              </w:tc>
            </w:tr>
            <w:tr w:rsidR="003876C4" w14:paraId="488B923C"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019F5DFC" w14:textId="77777777" w:rsidR="003876C4" w:rsidRDefault="003876C4" w:rsidP="003876C4">
                  <w:pPr>
                    <w:pStyle w:val="MText"/>
                  </w:pPr>
                  <w:r>
                    <w:t>Europe</w:t>
                  </w:r>
                </w:p>
              </w:tc>
              <w:tc>
                <w:tcPr>
                  <w:tcW w:w="2210" w:type="dxa"/>
                  <w:tcBorders>
                    <w:top w:val="nil"/>
                    <w:left w:val="nil"/>
                    <w:bottom w:val="single" w:sz="4" w:space="0" w:color="auto"/>
                    <w:right w:val="single" w:sz="4" w:space="0" w:color="auto"/>
                  </w:tcBorders>
                  <w:noWrap/>
                  <w:vAlign w:val="center"/>
                  <w:hideMark/>
                </w:tcPr>
                <w:p w14:paraId="59E530BC" w14:textId="77777777" w:rsidR="003876C4" w:rsidRDefault="003876C4" w:rsidP="003876C4">
                  <w:pPr>
                    <w:pStyle w:val="MText"/>
                  </w:pPr>
                  <w:r>
                    <w:t>21</w:t>
                  </w:r>
                </w:p>
              </w:tc>
            </w:tr>
            <w:tr w:rsidR="003876C4" w14:paraId="74E9A797"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2D75E95B" w14:textId="77777777" w:rsidR="003876C4" w:rsidRDefault="003876C4" w:rsidP="003876C4">
                  <w:pPr>
                    <w:pStyle w:val="MText"/>
                  </w:pPr>
                  <w:r>
                    <w:t>Latin America and the Caribbean</w:t>
                  </w:r>
                </w:p>
              </w:tc>
              <w:tc>
                <w:tcPr>
                  <w:tcW w:w="2210" w:type="dxa"/>
                  <w:tcBorders>
                    <w:top w:val="nil"/>
                    <w:left w:val="nil"/>
                    <w:bottom w:val="single" w:sz="4" w:space="0" w:color="auto"/>
                    <w:right w:val="single" w:sz="4" w:space="0" w:color="auto"/>
                  </w:tcBorders>
                  <w:noWrap/>
                  <w:vAlign w:val="center"/>
                  <w:hideMark/>
                </w:tcPr>
                <w:p w14:paraId="1F860E92" w14:textId="77777777" w:rsidR="003876C4" w:rsidRDefault="003876C4" w:rsidP="003876C4">
                  <w:pPr>
                    <w:pStyle w:val="MText"/>
                  </w:pPr>
                  <w:r>
                    <w:t>25</w:t>
                  </w:r>
                </w:p>
              </w:tc>
            </w:tr>
            <w:tr w:rsidR="003876C4" w14:paraId="66235824"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42CF40AB" w14:textId="77777777" w:rsidR="003876C4" w:rsidRDefault="003876C4" w:rsidP="003876C4">
                  <w:pPr>
                    <w:pStyle w:val="MText"/>
                  </w:pPr>
                  <w:r>
                    <w:lastRenderedPageBreak/>
                    <w:t xml:space="preserve">Northern America </w:t>
                  </w:r>
                </w:p>
              </w:tc>
              <w:tc>
                <w:tcPr>
                  <w:tcW w:w="2210" w:type="dxa"/>
                  <w:tcBorders>
                    <w:top w:val="nil"/>
                    <w:left w:val="nil"/>
                    <w:bottom w:val="single" w:sz="4" w:space="0" w:color="auto"/>
                    <w:right w:val="single" w:sz="4" w:space="0" w:color="auto"/>
                  </w:tcBorders>
                  <w:noWrap/>
                  <w:vAlign w:val="center"/>
                  <w:hideMark/>
                </w:tcPr>
                <w:p w14:paraId="23F0C0DB" w14:textId="77777777" w:rsidR="003876C4" w:rsidRDefault="003876C4" w:rsidP="003876C4">
                  <w:pPr>
                    <w:pStyle w:val="MText"/>
                  </w:pPr>
                  <w:r>
                    <w:t>2</w:t>
                  </w:r>
                </w:p>
              </w:tc>
            </w:tr>
            <w:tr w:rsidR="003876C4" w14:paraId="7E3B807A"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74F93AF6" w14:textId="77777777" w:rsidR="003876C4" w:rsidRDefault="003876C4" w:rsidP="003876C4">
                  <w:pPr>
                    <w:pStyle w:val="MText"/>
                  </w:pPr>
                  <w:r>
                    <w:t>Oceania</w:t>
                  </w:r>
                </w:p>
              </w:tc>
              <w:tc>
                <w:tcPr>
                  <w:tcW w:w="2210" w:type="dxa"/>
                  <w:tcBorders>
                    <w:top w:val="nil"/>
                    <w:left w:val="nil"/>
                    <w:bottom w:val="single" w:sz="4" w:space="0" w:color="auto"/>
                    <w:right w:val="single" w:sz="4" w:space="0" w:color="auto"/>
                  </w:tcBorders>
                  <w:noWrap/>
                  <w:vAlign w:val="center"/>
                  <w:hideMark/>
                </w:tcPr>
                <w:p w14:paraId="1857E010" w14:textId="77777777" w:rsidR="003876C4" w:rsidRDefault="003876C4" w:rsidP="003876C4">
                  <w:pPr>
                    <w:pStyle w:val="MText"/>
                  </w:pPr>
                  <w:r>
                    <w:t>3</w:t>
                  </w:r>
                </w:p>
              </w:tc>
            </w:tr>
            <w:tr w:rsidR="003876C4" w14:paraId="70BA3D40" w14:textId="77777777" w:rsidTr="003876C4">
              <w:trPr>
                <w:trHeight w:val="300"/>
                <w:jc w:val="center"/>
              </w:trPr>
              <w:tc>
                <w:tcPr>
                  <w:tcW w:w="2920" w:type="dxa"/>
                  <w:tcBorders>
                    <w:top w:val="nil"/>
                    <w:left w:val="single" w:sz="4" w:space="0" w:color="auto"/>
                    <w:bottom w:val="single" w:sz="4" w:space="0" w:color="auto"/>
                    <w:right w:val="single" w:sz="4" w:space="0" w:color="auto"/>
                  </w:tcBorders>
                  <w:noWrap/>
                  <w:vAlign w:val="center"/>
                  <w:hideMark/>
                </w:tcPr>
                <w:p w14:paraId="4BBCD124" w14:textId="77777777" w:rsidR="003876C4" w:rsidRDefault="003876C4" w:rsidP="003876C4">
                  <w:pPr>
                    <w:pStyle w:val="MText"/>
                    <w:rPr>
                      <w:b/>
                      <w:bCs/>
                    </w:rPr>
                  </w:pPr>
                  <w:r>
                    <w:rPr>
                      <w:b/>
                      <w:bCs/>
                    </w:rPr>
                    <w:t>World</w:t>
                  </w:r>
                </w:p>
              </w:tc>
              <w:tc>
                <w:tcPr>
                  <w:tcW w:w="2210" w:type="dxa"/>
                  <w:tcBorders>
                    <w:top w:val="nil"/>
                    <w:left w:val="nil"/>
                    <w:bottom w:val="single" w:sz="4" w:space="0" w:color="auto"/>
                    <w:right w:val="single" w:sz="4" w:space="0" w:color="auto"/>
                  </w:tcBorders>
                  <w:noWrap/>
                  <w:vAlign w:val="center"/>
                  <w:hideMark/>
                </w:tcPr>
                <w:p w14:paraId="25B01FA1" w14:textId="77777777" w:rsidR="003876C4" w:rsidRDefault="003876C4" w:rsidP="003876C4">
                  <w:pPr>
                    <w:pStyle w:val="MText"/>
                    <w:rPr>
                      <w:b/>
                      <w:bCs/>
                    </w:rPr>
                  </w:pPr>
                  <w:r>
                    <w:rPr>
                      <w:b/>
                      <w:bCs/>
                    </w:rPr>
                    <w:t>100</w:t>
                  </w:r>
                </w:p>
              </w:tc>
            </w:tr>
          </w:tbl>
          <w:p w14:paraId="33CCB151" w14:textId="77777777" w:rsidR="003876C4" w:rsidRDefault="003876C4" w:rsidP="003876C4">
            <w:pPr>
              <w:shd w:val="clear" w:color="auto" w:fill="FFFFFF"/>
              <w:spacing w:after="0"/>
              <w:rPr>
                <w:rFonts w:eastAsia="Times New Roman" w:cs="Times New Roman"/>
                <w:color w:val="4A4A4A"/>
                <w:sz w:val="21"/>
                <w:szCs w:val="21"/>
                <w:lang w:val="en-GB" w:eastAsia="en-GB"/>
              </w:rPr>
            </w:pPr>
          </w:p>
          <w:p w14:paraId="02AC9DEA" w14:textId="77777777" w:rsidR="003876C4" w:rsidRDefault="003876C4" w:rsidP="003876C4">
            <w:pPr>
              <w:shd w:val="clear" w:color="auto" w:fill="FFFFFF"/>
              <w:spacing w:after="0"/>
              <w:rPr>
                <w:rFonts w:eastAsia="Times New Roman" w:cs="Times New Roman"/>
                <w:color w:val="4A4A4A"/>
                <w:sz w:val="21"/>
                <w:szCs w:val="21"/>
                <w:lang w:eastAsia="en-GB"/>
              </w:rPr>
            </w:pPr>
          </w:p>
          <w:p w14:paraId="3332BECC" w14:textId="77777777" w:rsidR="003876C4" w:rsidRDefault="003876C4" w:rsidP="003876C4">
            <w:pPr>
              <w:pStyle w:val="MSubHeader"/>
              <w:jc w:val="center"/>
            </w:pPr>
            <w:r>
              <w:t>Figure 2. Population coverage in countries where data for the indicator are available</w:t>
            </w:r>
          </w:p>
          <w:p w14:paraId="3CCE7912" w14:textId="3A69CE93" w:rsidR="003876C4" w:rsidRDefault="003876C4" w:rsidP="003876C4">
            <w:pPr>
              <w:keepNext/>
              <w:keepLines/>
              <w:shd w:val="clear" w:color="auto" w:fill="FFFFFF"/>
              <w:spacing w:after="0"/>
              <w:rPr>
                <w:rFonts w:eastAsia="Times New Roman" w:cs="Times New Roman"/>
                <w:b/>
                <w:bCs/>
                <w:color w:val="4A4A4A"/>
                <w:sz w:val="21"/>
                <w:szCs w:val="21"/>
                <w:lang w:eastAsia="en-GB"/>
              </w:rPr>
            </w:pPr>
            <w:r>
              <w:rPr>
                <w:rFonts w:ascii="Open Sans" w:hAnsi="Open Sans" w:cs="Open Sans"/>
                <w:noProof/>
                <w:color w:val="000000"/>
              </w:rPr>
              <w:drawing>
                <wp:inline distT="0" distB="0" distL="0" distR="0" wp14:anchorId="7647CED0" wp14:editId="2D65EE0A">
                  <wp:extent cx="3689985" cy="27660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985" cy="2766060"/>
                          </a:xfrm>
                          <a:prstGeom prst="rect">
                            <a:avLst/>
                          </a:prstGeom>
                          <a:noFill/>
                          <a:ln>
                            <a:noFill/>
                          </a:ln>
                        </pic:spPr>
                      </pic:pic>
                    </a:graphicData>
                  </a:graphic>
                </wp:inline>
              </w:drawing>
            </w:r>
          </w:p>
          <w:p w14:paraId="580773AA" w14:textId="77777777" w:rsidR="003876C4" w:rsidRDefault="003876C4" w:rsidP="003876C4">
            <w:pPr>
              <w:pStyle w:val="MText"/>
            </w:pPr>
            <w:r>
              <w:t>Note: In terms of population, countries for which results for the SDG 4.1.1 (a) are available for grades 2, 3, or 4 represent the 76% of the school age population at primary education. If only learning assessments for grades 2 and 3 are considered, that coverage is 39%.</w:t>
            </w:r>
          </w:p>
          <w:p w14:paraId="30ED2F94" w14:textId="77777777" w:rsidR="003876C4" w:rsidRDefault="003876C4" w:rsidP="003876C4">
            <w:pPr>
              <w:keepNext/>
              <w:keepLines/>
              <w:shd w:val="clear" w:color="auto" w:fill="FFFFFF"/>
              <w:spacing w:after="0"/>
              <w:rPr>
                <w:rFonts w:eastAsia="Times New Roman" w:cs="Times New Roman"/>
                <w:b/>
                <w:bCs/>
                <w:color w:val="4A4A4A"/>
                <w:sz w:val="21"/>
                <w:szCs w:val="21"/>
                <w:lang w:eastAsia="en-GB"/>
              </w:rPr>
            </w:pPr>
          </w:p>
          <w:p w14:paraId="16470D0C" w14:textId="77777777" w:rsidR="003876C4" w:rsidRDefault="003876C4" w:rsidP="00C241F6">
            <w:pPr>
              <w:pStyle w:val="MSubHeader"/>
            </w:pPr>
            <w:r>
              <w:t>Time series:</w:t>
            </w:r>
          </w:p>
          <w:p w14:paraId="3ECC3564" w14:textId="77777777" w:rsidR="003876C4" w:rsidRDefault="003876C4" w:rsidP="00C241F6">
            <w:pPr>
              <w:pStyle w:val="MText"/>
            </w:pPr>
            <w:r>
              <w:t>Data available since 2000. The indicator will be reported annually.</w:t>
            </w:r>
          </w:p>
          <w:p w14:paraId="3BD6F3E7" w14:textId="77777777" w:rsidR="003876C4" w:rsidRDefault="003876C4" w:rsidP="003066A5">
            <w:pPr>
              <w:shd w:val="clear" w:color="auto" w:fill="FFFFFF"/>
              <w:spacing w:after="0"/>
              <w:rPr>
                <w:rFonts w:eastAsia="Times New Roman" w:cs="Times New Roman"/>
                <w:b/>
                <w:bCs/>
                <w:color w:val="4A4A4A"/>
                <w:sz w:val="21"/>
                <w:szCs w:val="21"/>
                <w:lang w:eastAsia="en-GB"/>
              </w:rPr>
            </w:pPr>
          </w:p>
          <w:p w14:paraId="64097923" w14:textId="08659377" w:rsidR="003066A5" w:rsidRDefault="003066A5" w:rsidP="00C241F6">
            <w:pPr>
              <w:pStyle w:val="MSubHeader"/>
            </w:pPr>
            <w:r>
              <w:t>Disaggregation:</w:t>
            </w:r>
          </w:p>
          <w:p w14:paraId="606721A7" w14:textId="5A7914AC" w:rsidR="00202B2D" w:rsidRPr="003066A5" w:rsidRDefault="003066A5" w:rsidP="00C241F6">
            <w:pPr>
              <w:pStyle w:val="MText"/>
              <w:rPr>
                <w:rFonts w:cstheme="minorHAnsi"/>
              </w:rPr>
            </w:pPr>
            <w:r w:rsidRPr="003066A5">
              <w:t>Indicator 4.1.1.a must be disaggregated by domain (reading and mathematics) and sex.</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2" w:name="_Toc36655614"/>
            <w:bookmarkStart w:id="33" w:name="_Toc36812577"/>
            <w:bookmarkStart w:id="34" w:name="_Toc36812690"/>
            <w:bookmarkStart w:id="35" w:name="_Toc36813077"/>
            <w:bookmarkStart w:id="36"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2"/>
            <w:bookmarkEnd w:id="33"/>
            <w:bookmarkEnd w:id="34"/>
            <w:bookmarkEnd w:id="35"/>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7A9658BB" w14:textId="77777777" w:rsidR="00351E63" w:rsidRDefault="00351E63" w:rsidP="00711BEB">
            <w:pPr>
              <w:pStyle w:val="MSubHeader"/>
            </w:pPr>
            <w:r>
              <w:t>Sources of discrepancies:</w:t>
            </w:r>
          </w:p>
          <w:p w14:paraId="13CF0B2D" w14:textId="4EAB9599" w:rsidR="004F4616" w:rsidRPr="00351E63" w:rsidRDefault="00351E63" w:rsidP="00711BEB">
            <w:pPr>
              <w:pStyle w:val="MText"/>
            </w:pPr>
            <w:r>
              <w:t>Not yet applicable. Data are reported at the national level only.</w:t>
            </w:r>
          </w:p>
        </w:tc>
      </w:tr>
      <w:bookmarkEnd w:id="36"/>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7" w:name="_Toc36655615"/>
            <w:bookmarkStart w:id="38" w:name="_Toc36812578"/>
            <w:bookmarkStart w:id="39" w:name="_Toc36812691"/>
            <w:bookmarkStart w:id="40" w:name="_Toc36813078"/>
            <w:r w:rsidRPr="001A0E35">
              <w:lastRenderedPageBreak/>
              <w:t>7. References and documentation</w:t>
            </w:r>
            <w:bookmarkEnd w:id="37"/>
            <w:bookmarkEnd w:id="38"/>
            <w:bookmarkEnd w:id="39"/>
            <w:bookmarkEnd w:id="40"/>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24ADDA6A" w14:textId="77777777" w:rsidR="007C0F00" w:rsidRDefault="007C0F00" w:rsidP="00711BEB">
            <w:pPr>
              <w:pStyle w:val="MHeader"/>
            </w:pPr>
            <w:r>
              <w:t>References</w:t>
            </w:r>
          </w:p>
          <w:p w14:paraId="3CA0D0AD" w14:textId="77777777" w:rsidR="007C0F00" w:rsidRDefault="007C0F00" w:rsidP="007C0F00">
            <w:pPr>
              <w:pStyle w:val="MText"/>
            </w:pPr>
            <w:r>
              <w:t>UIS (2018). Quick Guide to Education Indicators for SDG 4.</w:t>
            </w:r>
          </w:p>
          <w:p w14:paraId="00725139" w14:textId="2F653DDD" w:rsidR="007C0F00" w:rsidRDefault="00711BEB" w:rsidP="007C0F00">
            <w:pPr>
              <w:pStyle w:val="MText"/>
            </w:pPr>
            <w:hyperlink r:id="rId10" w:history="1">
              <w:r w:rsidR="007C0F00" w:rsidRPr="007C0F00">
                <w:rPr>
                  <w:rStyle w:val="Hyperlink"/>
                </w:rPr>
                <w:t>http://uis.unesco.org/sites/default/files/documents/quick-guide-education-indicators-sdg4-2018-en.pdf</w:t>
              </w:r>
            </w:hyperlink>
          </w:p>
          <w:p w14:paraId="3CA2990D" w14:textId="77777777" w:rsidR="007C0F00" w:rsidRDefault="007C0F00" w:rsidP="007C0F00">
            <w:pPr>
              <w:pStyle w:val="MText"/>
            </w:pPr>
          </w:p>
          <w:p w14:paraId="44D65B0B" w14:textId="77777777" w:rsidR="007C0F00" w:rsidRDefault="007C0F00" w:rsidP="007C0F00">
            <w:pPr>
              <w:pStyle w:val="MText"/>
            </w:pPr>
            <w:r>
              <w:t>UIS (2017). Proposal of a Protocol for reporting Indicator 4.1.1.</w:t>
            </w:r>
          </w:p>
          <w:p w14:paraId="6E6F99B2" w14:textId="0A4FEBCB" w:rsidR="007C0F00" w:rsidRDefault="00711BEB" w:rsidP="007C0F00">
            <w:pPr>
              <w:pStyle w:val="MText"/>
            </w:pPr>
            <w:hyperlink r:id="rId11" w:history="1">
              <w:r w:rsidR="007C0F00" w:rsidRPr="007C0F00">
                <w:rPr>
                  <w:rStyle w:val="Hyperlink"/>
                </w:rPr>
                <w:t>http://uis.unesco.org/sites/default/files/documents/gaml4-sdg4-reporting-proposal-protocol-reporting-indicator4.1.1.pdf</w:t>
              </w:r>
            </w:hyperlink>
          </w:p>
          <w:p w14:paraId="4A6846A9" w14:textId="77777777" w:rsidR="007C0F00" w:rsidRDefault="007C0F00" w:rsidP="007C0F00">
            <w:pPr>
              <w:pStyle w:val="MText"/>
            </w:pPr>
          </w:p>
          <w:p w14:paraId="75668AC2" w14:textId="537223CA" w:rsidR="007B2E39" w:rsidRPr="007C0F00" w:rsidRDefault="007C0F00" w:rsidP="007C0F00">
            <w:pPr>
              <w:pStyle w:val="MText"/>
              <w:rPr>
                <w:b/>
                <w:bCs/>
              </w:rPr>
            </w:pPr>
            <w:r>
              <w:t>UIS (2018). Request for reclassification of SDG indicator 4.1.</w:t>
            </w:r>
            <w:proofErr w:type="gramStart"/>
            <w:r>
              <w:t>1.a.</w:t>
            </w:r>
            <w:proofErr w:type="gramEnd"/>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D293CEE"/>
    <w:multiLevelType w:val="hybridMultilevel"/>
    <w:tmpl w:val="4C8C01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333E123C"/>
    <w:multiLevelType w:val="hybridMultilevel"/>
    <w:tmpl w:val="7572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32FB5"/>
    <w:multiLevelType w:val="hybridMultilevel"/>
    <w:tmpl w:val="15BA00BE"/>
    <w:lvl w:ilvl="0" w:tplc="08090001">
      <w:start w:val="1"/>
      <w:numFmt w:val="bullet"/>
      <w:lvlText w:val=""/>
      <w:lvlJc w:val="left"/>
      <w:pPr>
        <w:ind w:left="-1080" w:hanging="360"/>
      </w:pPr>
      <w:rPr>
        <w:rFonts w:ascii="Symbol" w:hAnsi="Symbol" w:hint="default"/>
      </w:rPr>
    </w:lvl>
    <w:lvl w:ilvl="1" w:tplc="D1006B26">
      <w:numFmt w:val="bullet"/>
      <w:lvlText w:val="-"/>
      <w:lvlJc w:val="left"/>
      <w:pPr>
        <w:ind w:left="0" w:hanging="720"/>
      </w:pPr>
      <w:rPr>
        <w:rFonts w:ascii="Calibri" w:eastAsia="Times New Roman" w:hAnsi="Calibri" w:cs="Calibri" w:hint="default"/>
      </w:rPr>
    </w:lvl>
    <w:lvl w:ilvl="2" w:tplc="08090005">
      <w:start w:val="1"/>
      <w:numFmt w:val="bullet"/>
      <w:lvlText w:val=""/>
      <w:lvlJc w:val="left"/>
      <w:pPr>
        <w:ind w:left="360" w:hanging="360"/>
      </w:pPr>
      <w:rPr>
        <w:rFonts w:ascii="Wingdings" w:hAnsi="Wingdings" w:hint="default"/>
      </w:rPr>
    </w:lvl>
    <w:lvl w:ilvl="3" w:tplc="08090001">
      <w:start w:val="1"/>
      <w:numFmt w:val="bullet"/>
      <w:lvlText w:val=""/>
      <w:lvlJc w:val="left"/>
      <w:pPr>
        <w:ind w:left="1080" w:hanging="360"/>
      </w:pPr>
      <w:rPr>
        <w:rFonts w:ascii="Symbol" w:hAnsi="Symbol" w:hint="default"/>
      </w:rPr>
    </w:lvl>
    <w:lvl w:ilvl="4" w:tplc="08090003">
      <w:start w:val="1"/>
      <w:numFmt w:val="bullet"/>
      <w:lvlText w:val="o"/>
      <w:lvlJc w:val="left"/>
      <w:pPr>
        <w:ind w:left="1800" w:hanging="360"/>
      </w:pPr>
      <w:rPr>
        <w:rFonts w:ascii="Courier New" w:hAnsi="Courier New" w:cs="Courier New" w:hint="default"/>
      </w:rPr>
    </w:lvl>
    <w:lvl w:ilvl="5" w:tplc="08090005">
      <w:start w:val="1"/>
      <w:numFmt w:val="bullet"/>
      <w:lvlText w:val=""/>
      <w:lvlJc w:val="left"/>
      <w:pPr>
        <w:ind w:left="2520" w:hanging="360"/>
      </w:pPr>
      <w:rPr>
        <w:rFonts w:ascii="Wingdings" w:hAnsi="Wingdings" w:hint="default"/>
      </w:rPr>
    </w:lvl>
    <w:lvl w:ilvl="6" w:tplc="08090001">
      <w:start w:val="1"/>
      <w:numFmt w:val="bullet"/>
      <w:lvlText w:val=""/>
      <w:lvlJc w:val="left"/>
      <w:pPr>
        <w:ind w:left="3240" w:hanging="360"/>
      </w:pPr>
      <w:rPr>
        <w:rFonts w:ascii="Symbol" w:hAnsi="Symbol" w:hint="default"/>
      </w:rPr>
    </w:lvl>
    <w:lvl w:ilvl="7" w:tplc="08090003">
      <w:start w:val="1"/>
      <w:numFmt w:val="bullet"/>
      <w:lvlText w:val="o"/>
      <w:lvlJc w:val="left"/>
      <w:pPr>
        <w:ind w:left="3960" w:hanging="360"/>
      </w:pPr>
      <w:rPr>
        <w:rFonts w:ascii="Courier New" w:hAnsi="Courier New" w:cs="Courier New" w:hint="default"/>
      </w:rPr>
    </w:lvl>
    <w:lvl w:ilvl="8" w:tplc="08090005">
      <w:start w:val="1"/>
      <w:numFmt w:val="bullet"/>
      <w:lvlText w:val=""/>
      <w:lvlJc w:val="left"/>
      <w:pPr>
        <w:ind w:left="4680" w:hanging="360"/>
      </w:pPr>
      <w:rPr>
        <w:rFonts w:ascii="Wingdings" w:hAnsi="Wingdings" w:hint="default"/>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11"/>
  </w:num>
  <w:num w:numId="5">
    <w:abstractNumId w:val="19"/>
  </w:num>
  <w:num w:numId="6">
    <w:abstractNumId w:val="5"/>
  </w:num>
  <w:num w:numId="7">
    <w:abstractNumId w:val="17"/>
  </w:num>
  <w:num w:numId="8">
    <w:abstractNumId w:val="0"/>
  </w:num>
  <w:num w:numId="9">
    <w:abstractNumId w:val="16"/>
  </w:num>
  <w:num w:numId="10">
    <w:abstractNumId w:val="15"/>
  </w:num>
  <w:num w:numId="11">
    <w:abstractNumId w:val="21"/>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6"/>
  </w:num>
  <w:num w:numId="18">
    <w:abstractNumId w:val="18"/>
  </w:num>
  <w:num w:numId="19">
    <w:abstractNumId w:val="1"/>
  </w:num>
  <w:num w:numId="20">
    <w:abstractNumId w:val="2"/>
  </w:num>
  <w:num w:numId="21">
    <w:abstractNumId w:val="3"/>
  </w:num>
  <w:num w:numId="22">
    <w:abstractNumId w:val="12"/>
  </w:num>
  <w:num w:numId="23">
    <w:abstractNumId w:val="20"/>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67546"/>
    <w:rsid w:val="00073907"/>
    <w:rsid w:val="00077DCF"/>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4806"/>
    <w:rsid w:val="00155BC5"/>
    <w:rsid w:val="0018734D"/>
    <w:rsid w:val="001A0E35"/>
    <w:rsid w:val="001C1BC2"/>
    <w:rsid w:val="001C3E19"/>
    <w:rsid w:val="001F0C55"/>
    <w:rsid w:val="001F31C6"/>
    <w:rsid w:val="001F4F46"/>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A5"/>
    <w:rsid w:val="003161D6"/>
    <w:rsid w:val="00325D2B"/>
    <w:rsid w:val="00334DB3"/>
    <w:rsid w:val="00344199"/>
    <w:rsid w:val="00351E63"/>
    <w:rsid w:val="00352386"/>
    <w:rsid w:val="003525CD"/>
    <w:rsid w:val="003700A1"/>
    <w:rsid w:val="00380958"/>
    <w:rsid w:val="003876C4"/>
    <w:rsid w:val="00394ADD"/>
    <w:rsid w:val="003A176C"/>
    <w:rsid w:val="003A3746"/>
    <w:rsid w:val="003A60DA"/>
    <w:rsid w:val="003B00B3"/>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97C4D"/>
    <w:rsid w:val="004C0570"/>
    <w:rsid w:val="004C1C86"/>
    <w:rsid w:val="004C665C"/>
    <w:rsid w:val="004D68B6"/>
    <w:rsid w:val="004E4C58"/>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93AB3"/>
    <w:rsid w:val="005B657A"/>
    <w:rsid w:val="005C091C"/>
    <w:rsid w:val="005C76A1"/>
    <w:rsid w:val="005D1328"/>
    <w:rsid w:val="005F652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11BEB"/>
    <w:rsid w:val="00736C4F"/>
    <w:rsid w:val="00737374"/>
    <w:rsid w:val="00741B79"/>
    <w:rsid w:val="00785BA8"/>
    <w:rsid w:val="0079591F"/>
    <w:rsid w:val="007A078A"/>
    <w:rsid w:val="007A2617"/>
    <w:rsid w:val="007A28BA"/>
    <w:rsid w:val="007B2E39"/>
    <w:rsid w:val="007C0F00"/>
    <w:rsid w:val="007C63C4"/>
    <w:rsid w:val="007E2E6A"/>
    <w:rsid w:val="007E4EE0"/>
    <w:rsid w:val="007F4449"/>
    <w:rsid w:val="00800BB8"/>
    <w:rsid w:val="00814E37"/>
    <w:rsid w:val="0083759C"/>
    <w:rsid w:val="00846F04"/>
    <w:rsid w:val="00854588"/>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C93"/>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00B6"/>
    <w:rsid w:val="00AE7A74"/>
    <w:rsid w:val="00AF0A41"/>
    <w:rsid w:val="00B137EE"/>
    <w:rsid w:val="00B26EF8"/>
    <w:rsid w:val="00B27325"/>
    <w:rsid w:val="00B55293"/>
    <w:rsid w:val="00B61457"/>
    <w:rsid w:val="00B6605A"/>
    <w:rsid w:val="00B71AEA"/>
    <w:rsid w:val="00B74489"/>
    <w:rsid w:val="00B9140F"/>
    <w:rsid w:val="00B97297"/>
    <w:rsid w:val="00BB553B"/>
    <w:rsid w:val="00C152FE"/>
    <w:rsid w:val="00C210B4"/>
    <w:rsid w:val="00C229A8"/>
    <w:rsid w:val="00C22A2E"/>
    <w:rsid w:val="00C22F94"/>
    <w:rsid w:val="00C241F6"/>
    <w:rsid w:val="00C325E3"/>
    <w:rsid w:val="00C35C43"/>
    <w:rsid w:val="00C605D4"/>
    <w:rsid w:val="00C67407"/>
    <w:rsid w:val="00C7123B"/>
    <w:rsid w:val="00C94E79"/>
    <w:rsid w:val="00CA6252"/>
    <w:rsid w:val="00CC5969"/>
    <w:rsid w:val="00CF504E"/>
    <w:rsid w:val="00D11228"/>
    <w:rsid w:val="00D12D35"/>
    <w:rsid w:val="00D17114"/>
    <w:rsid w:val="00D563BD"/>
    <w:rsid w:val="00D82137"/>
    <w:rsid w:val="00D83C21"/>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A6E73"/>
    <w:rsid w:val="00EC064B"/>
    <w:rsid w:val="00ED7DAE"/>
    <w:rsid w:val="00F00FDD"/>
    <w:rsid w:val="00F07040"/>
    <w:rsid w:val="00F07E48"/>
    <w:rsid w:val="00F2310E"/>
    <w:rsid w:val="00F45F1F"/>
    <w:rsid w:val="00F67599"/>
    <w:rsid w:val="00F75853"/>
    <w:rsid w:val="00F807A5"/>
    <w:rsid w:val="00F8144F"/>
    <w:rsid w:val="00F81CDD"/>
    <w:rsid w:val="00F862A7"/>
    <w:rsid w:val="00F93763"/>
    <w:rsid w:val="00F939A2"/>
    <w:rsid w:val="00F96E8D"/>
    <w:rsid w:val="00FA20D9"/>
    <w:rsid w:val="00FB03D0"/>
    <w:rsid w:val="00FD6C86"/>
    <w:rsid w:val="00FE4FD2"/>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22913530">
      <w:bodyDiv w:val="1"/>
      <w:marLeft w:val="0"/>
      <w:marRight w:val="0"/>
      <w:marTop w:val="0"/>
      <w:marBottom w:val="0"/>
      <w:divBdr>
        <w:top w:val="none" w:sz="0" w:space="0" w:color="auto"/>
        <w:left w:val="none" w:sz="0" w:space="0" w:color="auto"/>
        <w:bottom w:val="none" w:sz="0" w:space="0" w:color="auto"/>
        <w:right w:val="none" w:sz="0" w:space="0" w:color="auto"/>
      </w:divBdr>
    </w:div>
    <w:div w:id="225264925">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11980648">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4870320">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27315538">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30846578">
      <w:bodyDiv w:val="1"/>
      <w:marLeft w:val="0"/>
      <w:marRight w:val="0"/>
      <w:marTop w:val="0"/>
      <w:marBottom w:val="0"/>
      <w:divBdr>
        <w:top w:val="none" w:sz="0" w:space="0" w:color="auto"/>
        <w:left w:val="none" w:sz="0" w:space="0" w:color="auto"/>
        <w:bottom w:val="none" w:sz="0" w:space="0" w:color="auto"/>
        <w:right w:val="none" w:sz="0" w:space="0" w:color="auto"/>
      </w:divBdr>
    </w:div>
    <w:div w:id="546990691">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27667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691148833">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22548040">
      <w:bodyDiv w:val="1"/>
      <w:marLeft w:val="0"/>
      <w:marRight w:val="0"/>
      <w:marTop w:val="0"/>
      <w:marBottom w:val="0"/>
      <w:divBdr>
        <w:top w:val="none" w:sz="0" w:space="0" w:color="auto"/>
        <w:left w:val="none" w:sz="0" w:space="0" w:color="auto"/>
        <w:bottom w:val="none" w:sz="0" w:space="0" w:color="auto"/>
        <w:right w:val="none" w:sz="0" w:space="0" w:color="auto"/>
      </w:divBdr>
    </w:div>
    <w:div w:id="826553853">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74676750">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0405237">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9201636">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54944799">
      <w:bodyDiv w:val="1"/>
      <w:marLeft w:val="0"/>
      <w:marRight w:val="0"/>
      <w:marTop w:val="0"/>
      <w:marBottom w:val="0"/>
      <w:divBdr>
        <w:top w:val="none" w:sz="0" w:space="0" w:color="auto"/>
        <w:left w:val="none" w:sz="0" w:space="0" w:color="auto"/>
        <w:bottom w:val="none" w:sz="0" w:space="0" w:color="auto"/>
        <w:right w:val="none" w:sz="0" w:space="0" w:color="auto"/>
      </w:divBdr>
    </w:div>
    <w:div w:id="1677150849">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0767412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6145075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27826932">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88376519">
      <w:bodyDiv w:val="1"/>
      <w:marLeft w:val="0"/>
      <w:marRight w:val="0"/>
      <w:marTop w:val="0"/>
      <w:marBottom w:val="0"/>
      <w:divBdr>
        <w:top w:val="none" w:sz="0" w:space="0" w:color="auto"/>
        <w:left w:val="none" w:sz="0" w:space="0" w:color="auto"/>
        <w:bottom w:val="none" w:sz="0" w:space="0" w:color="auto"/>
        <w:right w:val="none" w:sz="0" w:space="0" w:color="auto"/>
      </w:divBdr>
    </w:div>
    <w:div w:id="2091416801">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is.unesco.org/sites/default/files/documents/gaml4-sdg4-reporting-proposal-protocol-reporting-indicator4.1.1.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uis.unesco.org/sites/default/files/documents/quick-guide-education-indicators-sdg4-2018-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9DB7EC011840B78B8B29BA265DE978"/>
        <w:category>
          <w:name w:val="General"/>
          <w:gallery w:val="placeholder"/>
        </w:category>
        <w:types>
          <w:type w:val="bbPlcHdr"/>
        </w:types>
        <w:behaviors>
          <w:behavior w:val="content"/>
        </w:behaviors>
        <w:guid w:val="{B5E65DE2-4AA9-4C93-964F-9C6FB9DBE087}"/>
      </w:docPartPr>
      <w:docPartBody>
        <w:p w:rsidR="00000000" w:rsidRDefault="008763D3" w:rsidP="008763D3">
          <w:pPr>
            <w:pStyle w:val="3F9DB7EC011840B78B8B29BA265DE978"/>
          </w:pPr>
          <w:r w:rsidRPr="00D2076D">
            <w:rPr>
              <w:rStyle w:val="PlaceholderText"/>
            </w:rPr>
            <w:t>Choose an item.</w:t>
          </w:r>
        </w:p>
      </w:docPartBody>
    </w:docPart>
    <w:docPart>
      <w:docPartPr>
        <w:name w:val="E886E7E352554935B7063A5DF4E6525D"/>
        <w:category>
          <w:name w:val="General"/>
          <w:gallery w:val="placeholder"/>
        </w:category>
        <w:types>
          <w:type w:val="bbPlcHdr"/>
        </w:types>
        <w:behaviors>
          <w:behavior w:val="content"/>
        </w:behaviors>
        <w:guid w:val="{4726C575-B745-4388-BBD7-1F1670757E4B}"/>
      </w:docPartPr>
      <w:docPartBody>
        <w:p w:rsidR="00000000" w:rsidRDefault="008763D3" w:rsidP="008763D3">
          <w:pPr>
            <w:pStyle w:val="E886E7E352554935B7063A5DF4E6525D"/>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D3"/>
    <w:rsid w:val="0087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3D3"/>
    <w:rPr>
      <w:color w:val="808080"/>
    </w:rPr>
  </w:style>
  <w:style w:type="paragraph" w:customStyle="1" w:styleId="3F9DB7EC011840B78B8B29BA265DE978">
    <w:name w:val="3F9DB7EC011840B78B8B29BA265DE978"/>
    <w:rsid w:val="008763D3"/>
  </w:style>
  <w:style w:type="paragraph" w:customStyle="1" w:styleId="E886E7E352554935B7063A5DF4E6525D">
    <w:name w:val="E886E7E352554935B7063A5DF4E6525D"/>
    <w:rsid w:val="00876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61E86-AB90-45F0-AF06-B1876557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27</cp:revision>
  <cp:lastPrinted>2020-04-10T17:02:00Z</cp:lastPrinted>
  <dcterms:created xsi:type="dcterms:W3CDTF">2020-04-14T17:37:00Z</dcterms:created>
  <dcterms:modified xsi:type="dcterms:W3CDTF">2020-04-17T16:03:00Z</dcterms:modified>
</cp:coreProperties>
</file>