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704E10A8" w:rsidR="00281303" w:rsidRDefault="00195CB9" w:rsidP="00281303">
          <w:r>
            <w:t>7.1.1  Proportion of population with access to electricity</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4438E950" w:rsidR="009C300C" w:rsidRPr="00BE72CB" w:rsidRDefault="00195CB9" w:rsidP="00EB297A">
            <w:pPr>
              <w:pStyle w:val="MGTHeader"/>
            </w:pPr>
            <w:r w:rsidRPr="00084BD0">
              <w:t>Goal 7: Ensure access to affordable, reliable, sustainable and modern energy for all</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36629B3A" w:rsidR="009C300C" w:rsidRPr="00EB297A" w:rsidRDefault="00195CB9" w:rsidP="00EB297A">
            <w:pPr>
              <w:pStyle w:val="MGTHeader"/>
              <w:rPr>
                <w:b/>
              </w:rPr>
            </w:pPr>
            <w:r w:rsidRPr="00084BD0">
              <w:t>Target 7.1: By 2030, ensure universal access to affordable, reliable and modern energy services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2E72F500" w:rsidR="009C300C" w:rsidRPr="00907E48" w:rsidRDefault="00195CB9" w:rsidP="00BE72CB">
            <w:pPr>
              <w:pStyle w:val="MIndHeader"/>
              <w:rPr>
                <w:b/>
              </w:rPr>
            </w:pPr>
            <w:bookmarkStart w:id="7" w:name="_Toc455354710"/>
            <w:r w:rsidRPr="00084BD0">
              <w:t>Indicator 7.1.1: Proportion of population with access to electricity</w:t>
            </w:r>
            <w:bookmarkEnd w:id="7"/>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1F2959A3" w14:textId="48AFA584" w:rsidR="00195CB9" w:rsidRPr="00084BD0" w:rsidRDefault="00195CB9" w:rsidP="00907E48">
            <w:pPr>
              <w:pStyle w:val="Header"/>
              <w:rPr>
                <w:color w:val="404040" w:themeColor="text1" w:themeTint="BF"/>
                <w:sz w:val="18"/>
              </w:rPr>
            </w:pPr>
            <w:bookmarkStart w:id="8" w:name="_Hlk506197003"/>
            <w:bookmarkStart w:id="9" w:name="_Hlk506197004"/>
            <w:bookmarkStart w:id="10" w:name="_Hlk506197005"/>
            <w:bookmarkStart w:id="11" w:name="_Hlk516233502"/>
            <w:bookmarkStart w:id="12" w:name="_Hlk516233503"/>
            <w:bookmarkStart w:id="13" w:name="_Hlk516233504"/>
            <w:bookmarkStart w:id="14" w:name="_Hlk532729630"/>
            <w:r w:rsidRPr="00084BD0">
              <w:rPr>
                <w:color w:val="404040" w:themeColor="text1" w:themeTint="BF"/>
                <w:sz w:val="18"/>
              </w:rPr>
              <w:t xml:space="preserve">Last updated: </w:t>
            </w:r>
            <w:r w:rsidRPr="00757E8A">
              <w:rPr>
                <w:color w:val="404040" w:themeColor="text1" w:themeTint="BF"/>
                <w:sz w:val="18"/>
                <w:szCs w:val="18"/>
              </w:rPr>
              <w:fldChar w:fldCharType="begin"/>
            </w:r>
            <w:r w:rsidRPr="00757E8A">
              <w:rPr>
                <w:color w:val="404040" w:themeColor="text1" w:themeTint="BF"/>
                <w:sz w:val="18"/>
                <w:szCs w:val="18"/>
              </w:rPr>
              <w:instrText xml:space="preserve"> DATE \@ "dd MMMM yyyy" </w:instrText>
            </w:r>
            <w:r w:rsidRPr="00757E8A">
              <w:rPr>
                <w:color w:val="404040" w:themeColor="text1" w:themeTint="BF"/>
                <w:sz w:val="18"/>
                <w:szCs w:val="18"/>
              </w:rPr>
              <w:fldChar w:fldCharType="separate"/>
            </w:r>
            <w:r w:rsidR="00A0263D">
              <w:rPr>
                <w:noProof/>
                <w:color w:val="404040" w:themeColor="text1" w:themeTint="BF"/>
                <w:sz w:val="18"/>
                <w:szCs w:val="18"/>
              </w:rPr>
              <w:t>19 November 2020</w:t>
            </w:r>
            <w:r w:rsidRPr="00757E8A">
              <w:rPr>
                <w:color w:val="404040" w:themeColor="text1" w:themeTint="BF"/>
                <w:sz w:val="18"/>
                <w:szCs w:val="18"/>
              </w:rPr>
              <w:fldChar w:fldCharType="end"/>
            </w:r>
            <w:bookmarkEnd w:id="8"/>
            <w:bookmarkEnd w:id="9"/>
            <w:bookmarkEnd w:id="10"/>
            <w:bookmarkEnd w:id="11"/>
            <w:bookmarkEnd w:id="12"/>
            <w:bookmarkEnd w:id="13"/>
            <w:bookmarkEnd w:id="14"/>
          </w:p>
          <w:p w14:paraId="6876F9D1" w14:textId="5516BB5D" w:rsidR="009C300C" w:rsidRPr="001A2A7E" w:rsidRDefault="009C300C" w:rsidP="001A2A7E">
            <w:pPr>
              <w:pStyle w:val="Header"/>
              <w:rPr>
                <w:color w:val="404040" w:themeColor="text1" w:themeTint="BF"/>
                <w:sz w:val="18"/>
                <w:szCs w:val="18"/>
              </w:rPr>
            </w:pP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5005AE75" w14:textId="77777777" w:rsidR="00D60DEF" w:rsidRPr="00573631" w:rsidRDefault="00D60DEF" w:rsidP="008F7040">
            <w:pPr>
              <w:pStyle w:val="MHeader"/>
            </w:pPr>
            <w:r w:rsidRPr="00573631">
              <w:t>Related indicators as of February 2020</w:t>
            </w:r>
          </w:p>
          <w:p w14:paraId="6EA656A1" w14:textId="66FAA040" w:rsidR="009C300C" w:rsidRPr="009F305C" w:rsidRDefault="00D60DEF" w:rsidP="008F7040">
            <w:pPr>
              <w:pStyle w:val="MText"/>
            </w:pPr>
            <w:r>
              <w:t>SDG7</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53AB99E0" w14:textId="77777777" w:rsidR="00195CB9" w:rsidRPr="008F7040" w:rsidRDefault="00195CB9" w:rsidP="008F7040">
            <w:pPr>
              <w:pStyle w:val="MHeader"/>
            </w:pPr>
            <w:r w:rsidRPr="008F7040">
              <w:t>Institutional information</w:t>
            </w:r>
          </w:p>
          <w:p w14:paraId="6B6F4284" w14:textId="77777777" w:rsidR="00195CB9" w:rsidRPr="008F7040" w:rsidRDefault="00195CB9" w:rsidP="008F7040">
            <w:pPr>
              <w:pStyle w:val="MSubHeader"/>
            </w:pPr>
            <w:r w:rsidRPr="008F7040">
              <w:t>Organization(s):</w:t>
            </w:r>
          </w:p>
          <w:p w14:paraId="4B06110B" w14:textId="7C06F800" w:rsidR="009C300C" w:rsidRPr="00803258" w:rsidRDefault="00195CB9" w:rsidP="008F7040">
            <w:pPr>
              <w:pStyle w:val="MText"/>
            </w:pPr>
            <w:r w:rsidRPr="00B8112E">
              <w:t xml:space="preserve">World Bank </w:t>
            </w:r>
            <w:r>
              <w:t>Group</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5" w:name="_Toc36655609"/>
            <w:bookmarkStart w:id="16" w:name="_Toc36812572"/>
            <w:bookmarkStart w:id="17" w:name="_Toc36812685"/>
            <w:bookmarkStart w:id="18" w:name="_Toc36813072"/>
            <w:bookmarkStart w:id="19" w:name="_Toc37932744"/>
            <w:r w:rsidRPr="00AF2FE1">
              <w:lastRenderedPageBreak/>
              <w:t>1. Data reporter</w:t>
            </w:r>
            <w:bookmarkEnd w:id="15"/>
            <w:bookmarkEnd w:id="16"/>
            <w:bookmarkEnd w:id="17"/>
            <w:bookmarkEnd w:id="18"/>
            <w:bookmarkEnd w:id="19"/>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20" w:name="_Toc36655610"/>
            <w:bookmarkStart w:id="21" w:name="_Toc36812573"/>
            <w:bookmarkStart w:id="22" w:name="_Toc36812686"/>
            <w:bookmarkStart w:id="23" w:name="_Toc36813073"/>
            <w:bookmarkStart w:id="24" w:name="_Toc37932745"/>
            <w:r w:rsidRPr="00AF2FE1">
              <w:t>2. Definition, concepts, and classifications</w:t>
            </w:r>
            <w:bookmarkEnd w:id="20"/>
            <w:bookmarkEnd w:id="21"/>
            <w:bookmarkEnd w:id="22"/>
            <w:bookmarkEnd w:id="23"/>
            <w:bookmarkEnd w:id="24"/>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62C3EFE2" w14:textId="77777777" w:rsidR="00BE35DF" w:rsidRPr="00084BD0" w:rsidRDefault="00BE35DF" w:rsidP="008F7040">
            <w:pPr>
              <w:pStyle w:val="MHeader"/>
              <w:rPr>
                <w:b/>
                <w:bCs/>
              </w:rPr>
            </w:pPr>
            <w:r w:rsidRPr="00084BD0">
              <w:t>Concepts and definitions</w:t>
            </w:r>
          </w:p>
          <w:p w14:paraId="739C37AB" w14:textId="77777777" w:rsidR="00BE35DF" w:rsidRPr="00D92572" w:rsidRDefault="00BE35DF" w:rsidP="008F7040">
            <w:pPr>
              <w:pStyle w:val="MSubHeader"/>
            </w:pPr>
            <w:r w:rsidRPr="00084BD0">
              <w:t>Definition:</w:t>
            </w:r>
          </w:p>
          <w:p w14:paraId="5834A4B0" w14:textId="77777777" w:rsidR="00BE35DF" w:rsidRPr="00D92572" w:rsidRDefault="00BE35DF" w:rsidP="008F7040">
            <w:pPr>
              <w:pStyle w:val="MText"/>
            </w:pPr>
            <w:r w:rsidRPr="00D92572">
              <w:t>Proportion of population with access to electricity</w:t>
            </w:r>
            <w:r w:rsidRPr="00D92572" w:rsidDel="00467B7F">
              <w:t xml:space="preserve"> </w:t>
            </w:r>
            <w:r w:rsidRPr="00D92572">
              <w:t>is the percentage of population with access to electricity.</w:t>
            </w:r>
          </w:p>
          <w:p w14:paraId="769ED365" w14:textId="77777777" w:rsidR="00BE35DF" w:rsidRPr="00084BD0" w:rsidRDefault="00BE35DF" w:rsidP="008F7040">
            <w:pPr>
              <w:pStyle w:val="MText"/>
            </w:pPr>
          </w:p>
          <w:p w14:paraId="4620B344" w14:textId="77777777" w:rsidR="00BE35DF" w:rsidRPr="00961F42" w:rsidRDefault="00BE35DF" w:rsidP="008F7040">
            <w:pPr>
              <w:pStyle w:val="MText"/>
            </w:pPr>
            <w:r w:rsidRPr="00961F42">
              <w:t xml:space="preserve">SDG7 ensures access to affordable, reliable, sustainable and modern energy for all. Specifically, Indicator 7.1.1 refers to the proportion of population with access to electricity. This is expressed in percentage figures and is disaggregated by total, urban and rural access rates per country, as well as by UN regional and global classifications. </w:t>
            </w:r>
          </w:p>
          <w:p w14:paraId="6F8A0EFE" w14:textId="017AF154" w:rsidR="00BE35DF" w:rsidRDefault="00BE35DF" w:rsidP="00BE35DF">
            <w:pPr>
              <w:spacing w:line="240" w:lineRule="auto"/>
              <w:rPr>
                <w:rFonts w:ascii="Arial" w:hAnsi="Arial" w:cs="Arial"/>
                <w:color w:val="666666"/>
                <w:sz w:val="20"/>
                <w:szCs w:val="20"/>
                <w:lang w:eastAsia="en-US"/>
              </w:rPr>
            </w:pPr>
          </w:p>
          <w:p w14:paraId="6F876D23" w14:textId="77777777" w:rsidR="00BE35DF" w:rsidRPr="00D92572" w:rsidRDefault="00BE35DF" w:rsidP="008F7040">
            <w:pPr>
              <w:pStyle w:val="MSubHeader"/>
            </w:pPr>
            <w:r w:rsidRPr="00084BD0">
              <w:t>Concepts:</w:t>
            </w:r>
          </w:p>
          <w:p w14:paraId="0179B619" w14:textId="77777777" w:rsidR="00BE35DF" w:rsidRDefault="00BE35DF" w:rsidP="008F7040">
            <w:pPr>
              <w:pStyle w:val="MText"/>
            </w:pPr>
            <w:r w:rsidRPr="00B81BED">
              <w:t>Electricity access in this scenario refers to the proportion of population in the considered area (country, region or global context) that has access to consistent sources of electricity</w:t>
            </w:r>
            <w:r>
              <w:t>.</w:t>
            </w:r>
          </w:p>
          <w:p w14:paraId="0D507A5A" w14:textId="25E39AAD" w:rsidR="0023460C" w:rsidRPr="009F305C" w:rsidRDefault="00BE35DF" w:rsidP="008F7040">
            <w:pPr>
              <w:pStyle w:val="MText"/>
            </w:pPr>
            <w:r w:rsidRPr="00BA4303">
              <w:t>The World Bank’s Global Electrification Database compiles nationally representative household survey data as well as census data from 1990 to 2018. It also incorporates data from the Socio-Economic Database for Latin America and the Caribbean, the Middle East and North Africa Poverty Database, and the Europe and Central Asia Poverty Database, all of which are based on similar surveys. At the time of this analysis, the Global Electrification Database contained 1,215 surveys from 140 countries, excluding surveys from high-income countries as classified by the United Nations.</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lastRenderedPageBreak/>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5" w:name="_Toc36813074"/>
            <w:bookmarkStart w:id="26" w:name="_Toc37932746"/>
            <w:r w:rsidRPr="00AF2FE1">
              <w:t>3. Data source type and data collection method</w:t>
            </w:r>
            <w:bookmarkEnd w:id="25"/>
            <w:bookmarkEnd w:id="26"/>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65372160" w14:textId="1828FDAE" w:rsidR="00E10BA2" w:rsidRPr="00084BD0" w:rsidRDefault="00E10BA2" w:rsidP="009E42C4">
            <w:pPr>
              <w:pStyle w:val="MHeader"/>
              <w:rPr>
                <w:b/>
                <w:bCs/>
              </w:rPr>
            </w:pPr>
            <w:r w:rsidRPr="00084BD0">
              <w:t xml:space="preserve">Data </w:t>
            </w:r>
            <w:r w:rsidR="009E42C4">
              <w:t>s</w:t>
            </w:r>
            <w:r w:rsidRPr="00084BD0">
              <w:t>ources</w:t>
            </w:r>
          </w:p>
          <w:p w14:paraId="4A52EAE0" w14:textId="77777777" w:rsidR="00E10BA2" w:rsidRPr="00D92572" w:rsidRDefault="00E10BA2" w:rsidP="009E42C4">
            <w:pPr>
              <w:pStyle w:val="MSubHeader"/>
            </w:pPr>
            <w:r w:rsidRPr="00084BD0">
              <w:t>Description:</w:t>
            </w:r>
          </w:p>
          <w:p w14:paraId="07566128" w14:textId="77777777" w:rsidR="00E10BA2" w:rsidRPr="00D92572" w:rsidRDefault="00E10BA2" w:rsidP="009E42C4">
            <w:pPr>
              <w:pStyle w:val="MText"/>
            </w:pPr>
            <w:r w:rsidRPr="00D92572">
              <w:t xml:space="preserve">Data for access to electricity </w:t>
            </w:r>
            <w:r>
              <w:t>is</w:t>
            </w:r>
            <w:r w:rsidRPr="00D92572">
              <w:t xml:space="preserve"> collected from household surveys and censuses, tapping into a wide number of different household survey types including: </w:t>
            </w:r>
            <w:r>
              <w:t>Multi-tier Framework (MTF),</w:t>
            </w:r>
            <w:r w:rsidRPr="00D92572">
              <w:t xml:space="preserve"> Demographic and Health Surveys (DHS) and Living Standards Measurement Surveys (LSMS), Multi-Indicator Cluster Surveys (MICS), the World Health Survey (WHS), other nationally developed and implemented surveys, including those by various government agencies (for example, ministries of energy and utilities).</w:t>
            </w:r>
          </w:p>
          <w:p w14:paraId="17D9E5B8" w14:textId="77777777" w:rsidR="00E10BA2" w:rsidRPr="00D92572" w:rsidRDefault="00E10BA2" w:rsidP="009E42C4">
            <w:pPr>
              <w:pStyle w:val="MText"/>
            </w:pPr>
          </w:p>
          <w:p w14:paraId="1D4E8170" w14:textId="77777777" w:rsidR="00E10BA2" w:rsidRPr="00D92572" w:rsidRDefault="00E10BA2" w:rsidP="009E42C4">
            <w:pPr>
              <w:pStyle w:val="MText"/>
            </w:pPr>
            <w:r w:rsidRPr="00D92572">
              <w:t>The World Bank is the agency that has taken responsibility for compiling a meta</w:t>
            </w:r>
            <w:r>
              <w:t>-</w:t>
            </w:r>
            <w:r w:rsidRPr="00D92572">
              <w:t xml:space="preserve">database of statistics on electricity access harvested from the full global body of household surveys. The World Bank Electrification Database covers more than </w:t>
            </w:r>
            <w:r>
              <w:t>22</w:t>
            </w:r>
            <w:r w:rsidRPr="00D92572">
              <w:t>0 countries for the period 1990-201</w:t>
            </w:r>
            <w:r>
              <w:t>8</w:t>
            </w:r>
            <w:r w:rsidRPr="00D92572">
              <w:t xml:space="preserve"> and is updated regularly.</w:t>
            </w:r>
          </w:p>
          <w:p w14:paraId="67C86500" w14:textId="77777777" w:rsidR="00E10BA2" w:rsidRPr="00D92572" w:rsidRDefault="00E10BA2" w:rsidP="00E10BA2">
            <w:pPr>
              <w:pStyle w:val="form-control-static"/>
              <w:shd w:val="clear" w:color="auto" w:fill="FFFFFF"/>
              <w:spacing w:before="0" w:beforeAutospacing="0" w:after="0" w:afterAutospacing="0"/>
              <w:rPr>
                <w:rFonts w:asciiTheme="minorHAnsi" w:hAnsiTheme="minorHAnsi"/>
                <w:color w:val="4A4A4A"/>
                <w:sz w:val="21"/>
                <w:szCs w:val="21"/>
              </w:rPr>
            </w:pPr>
          </w:p>
          <w:p w14:paraId="0DD79D80" w14:textId="77777777" w:rsidR="00E10BA2" w:rsidRPr="00D92572" w:rsidRDefault="00E10BA2" w:rsidP="009E42C4">
            <w:pPr>
              <w:pStyle w:val="MText"/>
            </w:pPr>
            <w:r w:rsidRPr="00D92572">
              <w:t>For more information on compiling access to energy data see Global Tracking Framework report (2013) (Chapter 2, Annex 2, page 127-129).</w:t>
            </w:r>
          </w:p>
          <w:p w14:paraId="23C1EB94" w14:textId="77777777" w:rsidR="00E10BA2" w:rsidRPr="00084BD0" w:rsidRDefault="00E10BA2" w:rsidP="009E42C4">
            <w:pPr>
              <w:pStyle w:val="MText"/>
            </w:pPr>
          </w:p>
          <w:p w14:paraId="02F7E7E5" w14:textId="1D440D91" w:rsidR="009C300C" w:rsidRPr="009F305C" w:rsidRDefault="00E10BA2" w:rsidP="009E42C4">
            <w:pPr>
              <w:pStyle w:val="MText"/>
            </w:pPr>
            <w:r>
              <w:t xml:space="preserve">Reports produced by international agencies such as the UN, World Bank, USAID, National Statistics Offices, as well as country censuses are used to collect data. Though some of the reports might not directly focus on energy access, they tend to include questions regarding access to electricity.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7FD9014B" w14:textId="77777777" w:rsidR="00E10BA2" w:rsidRPr="00573631" w:rsidRDefault="00E10BA2" w:rsidP="00FA7507">
            <w:pPr>
              <w:pStyle w:val="MSubHeader"/>
            </w:pPr>
            <w:r w:rsidRPr="00573631">
              <w:t>Collection process:</w:t>
            </w:r>
          </w:p>
          <w:p w14:paraId="7825E3F0" w14:textId="13A33561" w:rsidR="009C300C" w:rsidRPr="009F305C" w:rsidRDefault="00E10BA2" w:rsidP="00FA7507">
            <w:pPr>
              <w:pStyle w:val="MText"/>
            </w:pPr>
            <w:r>
              <w:t xml:space="preserve">If data sources have any information on electricity access, it is collected and analysed in line with the previous trends and future projections of each country. Data validation is conducted by checking that the figures are reflective of the ground level scenario as well as are in line with country populations, income levels and electrification programs. </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781F9EE0" w14:textId="77777777" w:rsidR="00D60DEF" w:rsidRPr="00084BD0" w:rsidRDefault="00D60DEF" w:rsidP="00FA7507">
            <w:pPr>
              <w:pStyle w:val="MHeader"/>
              <w:rPr>
                <w:b/>
                <w:bCs/>
              </w:rPr>
            </w:pPr>
            <w:r w:rsidRPr="00084BD0">
              <w:t>Calendar</w:t>
            </w:r>
          </w:p>
          <w:p w14:paraId="6EEFFBCE" w14:textId="77777777" w:rsidR="00D60DEF" w:rsidRPr="00573631" w:rsidRDefault="00D60DEF" w:rsidP="00FA7507">
            <w:pPr>
              <w:pStyle w:val="MSubHeader"/>
            </w:pPr>
            <w:r w:rsidRPr="00573631">
              <w:lastRenderedPageBreak/>
              <w:t>Data collection:</w:t>
            </w:r>
          </w:p>
          <w:p w14:paraId="1FF4ADBD" w14:textId="5A7F3C2D" w:rsidR="009C300C" w:rsidRPr="009F305C" w:rsidRDefault="00D60DEF" w:rsidP="00FA7507">
            <w:pPr>
              <w:pStyle w:val="MText"/>
            </w:pPr>
            <w:r>
              <w:t>The next round of data collection is planned for the second half of 2020.</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lastRenderedPageBreak/>
              <w:t>3.d. Data release calendar</w:t>
            </w:r>
          </w:p>
        </w:tc>
        <w:tc>
          <w:tcPr>
            <w:tcW w:w="3246" w:type="pct"/>
            <w:tcBorders>
              <w:top w:val="nil"/>
              <w:left w:val="nil"/>
              <w:bottom w:val="single" w:sz="4" w:space="0" w:color="auto"/>
              <w:right w:val="single" w:sz="4" w:space="0" w:color="auto"/>
            </w:tcBorders>
            <w:shd w:val="clear" w:color="auto" w:fill="auto"/>
          </w:tcPr>
          <w:p w14:paraId="75B836DC" w14:textId="77777777" w:rsidR="00D60DEF" w:rsidRPr="00070471" w:rsidRDefault="00D60DEF" w:rsidP="00070471">
            <w:pPr>
              <w:pStyle w:val="MSubHeader"/>
            </w:pPr>
            <w:r w:rsidRPr="00070471">
              <w:rPr>
                <w:rStyle w:val="MSubHeaderChar"/>
                <w:b/>
                <w:bCs/>
                <w:shd w:val="clear" w:color="auto" w:fill="auto"/>
              </w:rPr>
              <w:t>Data release</w:t>
            </w:r>
            <w:r w:rsidRPr="00070471">
              <w:t>:</w:t>
            </w:r>
          </w:p>
          <w:p w14:paraId="7788C02D" w14:textId="2205F8BB" w:rsidR="009C300C" w:rsidRPr="00856714" w:rsidRDefault="00D60DEF" w:rsidP="00856714">
            <w:pPr>
              <w:pStyle w:val="MText"/>
            </w:pPr>
            <w:r>
              <w:t>The annual release of new data for SDG7.1.1 is usually in the month of May.</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7CB840CC" w14:textId="77777777" w:rsidR="00D60DEF" w:rsidRPr="00084BD0" w:rsidRDefault="00D60DEF" w:rsidP="00070471">
            <w:pPr>
              <w:pStyle w:val="MHeader"/>
              <w:rPr>
                <w:b/>
                <w:bCs/>
              </w:rPr>
            </w:pPr>
            <w:r w:rsidRPr="00084BD0">
              <w:t>Data providers</w:t>
            </w:r>
          </w:p>
          <w:p w14:paraId="0C575E97" w14:textId="7067605B" w:rsidR="009C300C" w:rsidRPr="005E6457" w:rsidRDefault="00D60DEF" w:rsidP="00070471">
            <w:pPr>
              <w:pStyle w:val="MText"/>
            </w:pPr>
            <w:r>
              <w:t>It varies according to the country and its context. Data is collected from national statistics agencies as well as international agencies such as the UN and World Bank.</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29FCC117" w14:textId="77777777" w:rsidR="00D60DEF" w:rsidRPr="00084BD0" w:rsidRDefault="00D60DEF" w:rsidP="00070471">
            <w:pPr>
              <w:pStyle w:val="MHeader"/>
              <w:rPr>
                <w:b/>
                <w:bCs/>
              </w:rPr>
            </w:pPr>
            <w:r w:rsidRPr="00084BD0">
              <w:t>Data compilers</w:t>
            </w:r>
          </w:p>
          <w:p w14:paraId="3015356B" w14:textId="703D8520" w:rsidR="009C300C" w:rsidRPr="005E6457" w:rsidRDefault="00D60DEF" w:rsidP="00070471">
            <w:pPr>
              <w:pStyle w:val="MText"/>
            </w:pPr>
            <w:r w:rsidRPr="00084BD0">
              <w:t>World Bank</w:t>
            </w:r>
            <w:r>
              <w:t xml:space="preserve"> Group</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7" w:name="_Toc36655612"/>
            <w:bookmarkStart w:id="28" w:name="_Toc36812575"/>
            <w:bookmarkStart w:id="29" w:name="_Toc36812688"/>
            <w:bookmarkStart w:id="30" w:name="_Toc36813075"/>
            <w:bookmarkStart w:id="31" w:name="_Toc37932747"/>
            <w:r w:rsidRPr="007F2D9F">
              <w:t>4. Other methodological considerations</w:t>
            </w:r>
            <w:bookmarkEnd w:id="27"/>
            <w:bookmarkEnd w:id="28"/>
            <w:bookmarkEnd w:id="29"/>
            <w:bookmarkEnd w:id="30"/>
            <w:bookmarkEnd w:id="31"/>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43DE1F25" w14:textId="77777777" w:rsidR="00BE35DF" w:rsidRPr="00D92572" w:rsidRDefault="00BE35DF" w:rsidP="00070471">
            <w:pPr>
              <w:pStyle w:val="MSubHeader"/>
            </w:pPr>
            <w:r w:rsidRPr="00084BD0">
              <w:t>Rationale:</w:t>
            </w:r>
          </w:p>
          <w:p w14:paraId="138C1E24" w14:textId="77777777" w:rsidR="00BE35DF" w:rsidRPr="00D92572" w:rsidRDefault="00BE35DF" w:rsidP="00070471">
            <w:pPr>
              <w:pStyle w:val="MText"/>
            </w:pPr>
            <w:r w:rsidRPr="00D92572">
              <w:t>Access to electricity addresses major critical issues in all the dimensions of sustainable development. The target has a wide range of social and economic impacts, including facilitating development of income generating activities and lightening the burden of household tasks.</w:t>
            </w:r>
          </w:p>
          <w:p w14:paraId="016D0899" w14:textId="77777777" w:rsidR="00BE35DF" w:rsidRDefault="00BE35DF" w:rsidP="00BE35DF">
            <w:pPr>
              <w:rPr>
                <w:rFonts w:cs="Times New Roman"/>
              </w:rPr>
            </w:pPr>
          </w:p>
          <w:p w14:paraId="60B3B8DC" w14:textId="5B0D255F" w:rsidR="009C300C" w:rsidRPr="009F305C" w:rsidRDefault="00BE35DF" w:rsidP="00070471">
            <w:pPr>
              <w:pStyle w:val="MText"/>
            </w:pPr>
            <w:r>
              <w:t>Under the global target of equal access to energy, SDG7.1.1 focuses specifically on electricity access available to the global population. In order to gain a clear picture, access rates are only considered if the primary source of lighting is the local electricity provider, solar systems, mini-grids and stand-alone systems. Sources such as generators, candles, batteries, etc., are not considered due to their limited working capacities and since they are usually kept as backup sources for lighting.</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3F3999CC" w14:textId="77777777" w:rsidR="00BE35DF" w:rsidRPr="00D92572" w:rsidRDefault="00BE35DF" w:rsidP="00070471">
            <w:pPr>
              <w:pStyle w:val="MSubHeader"/>
            </w:pPr>
            <w:r w:rsidRPr="00084BD0">
              <w:t>Comments and limitations:</w:t>
            </w:r>
          </w:p>
          <w:p w14:paraId="3D8B7600" w14:textId="77777777" w:rsidR="00BE35DF" w:rsidRDefault="00BE35DF" w:rsidP="002655A0">
            <w:pPr>
              <w:pStyle w:val="MText"/>
            </w:pPr>
            <w:r w:rsidRPr="002655A0">
              <w:rPr>
                <w:rStyle w:val="MTextChar"/>
              </w:rPr>
              <w:t>The World Bank aims to estimate demand side access rates in order to better understand the access levels experienced by the population. This is different from the supply side access rates usually provided by governments, ministries, etc. The data collected is compiled from national household surveys and censuses. But since these are carried out infrequently, it is difficult to understand the ground level trends for short term</w:t>
            </w:r>
            <w:r>
              <w:t xml:space="preserve"> </w:t>
            </w:r>
            <w:r>
              <w:lastRenderedPageBreak/>
              <w:t xml:space="preserve">periods. Collecting data for rural areas as well as last-mile connectivity problems also cause errors in data collection that could skew results. </w:t>
            </w:r>
          </w:p>
          <w:p w14:paraId="2A3AB9A4" w14:textId="77777777" w:rsidR="00BE35DF" w:rsidRPr="00D92572" w:rsidRDefault="00BE35DF" w:rsidP="002655A0">
            <w:pPr>
              <w:pStyle w:val="MText"/>
            </w:pPr>
          </w:p>
          <w:p w14:paraId="29F081AD" w14:textId="77777777" w:rsidR="00BE35DF" w:rsidRPr="00D92572" w:rsidRDefault="00BE35DF" w:rsidP="002655A0">
            <w:pPr>
              <w:pStyle w:val="MText"/>
            </w:pPr>
            <w:r w:rsidRPr="00D92572">
              <w:t>While the existing global household survey evidence base provides a good starting point for tracking household energy access, it also presents several limitations that will need to be addressed over time. In many parts of the world, the presence of an electricity connection in the household does not necessarily guarantee that the energy supplied is adequate in quality and reliability or affordable in cost and it would be desirable to have fuller information about these critical attributes of the service, which have been highlighted in SDG7.</w:t>
            </w:r>
          </w:p>
          <w:p w14:paraId="0AAB8D10" w14:textId="77777777" w:rsidR="00BE35DF" w:rsidRPr="00D92572" w:rsidRDefault="00BE35DF" w:rsidP="00BE35DF">
            <w:pPr>
              <w:pStyle w:val="form-control-static"/>
              <w:shd w:val="clear" w:color="auto" w:fill="FFFFFF"/>
              <w:spacing w:before="0" w:beforeAutospacing="0" w:after="0" w:afterAutospacing="0" w:line="276" w:lineRule="auto"/>
              <w:rPr>
                <w:rFonts w:asciiTheme="minorHAnsi" w:hAnsiTheme="minorHAnsi"/>
                <w:color w:val="4A4A4A"/>
                <w:sz w:val="21"/>
                <w:szCs w:val="21"/>
              </w:rPr>
            </w:pPr>
          </w:p>
          <w:p w14:paraId="724F4FAA" w14:textId="77777777" w:rsidR="00BE35DF" w:rsidRPr="00D92572" w:rsidRDefault="00BE35DF" w:rsidP="002655A0">
            <w:pPr>
              <w:pStyle w:val="MText"/>
            </w:pPr>
            <w:r w:rsidRPr="00D92572">
              <w:t>Substantial progress has already been made toward developing and piloting a new methodology known as the Multi-Tier Framework for Measuring Energy Access (World Bank) which is able to capture these broader dimensions of service quality and would make it possible to go beyond a simple yes/no measure of energy access to a more refined approach that recognizes different levels of energy access, and also takes into account the affordability and reliability of energy access explicitly referenced in the language of SDG7. The methodology for the Multi-Tier Framework for Measuring Energy Access has already been published based on a broad consultative exercise and represents a consensus view across numerous international agencies working in the field. Discussions are also progressing with the World Bank’s Household Survey Technical Working Group regarding the mainstreaming of this methodology into the standardized household questionnaire design that will be applied every three years in all low-income countries between 2015 and 2030 as part of the broader SDG monitoring exercise.</w:t>
            </w:r>
          </w:p>
          <w:p w14:paraId="67B01714" w14:textId="77777777" w:rsidR="00BE35DF" w:rsidRPr="00D92572" w:rsidRDefault="00BE35DF" w:rsidP="00BE35DF">
            <w:pPr>
              <w:pStyle w:val="form-control-static"/>
              <w:shd w:val="clear" w:color="auto" w:fill="FFFFFF"/>
              <w:spacing w:before="0" w:beforeAutospacing="0" w:after="0" w:afterAutospacing="0" w:line="276" w:lineRule="auto"/>
              <w:rPr>
                <w:rFonts w:asciiTheme="minorHAnsi" w:hAnsiTheme="minorHAnsi"/>
                <w:color w:val="4A4A4A"/>
                <w:sz w:val="21"/>
                <w:szCs w:val="21"/>
              </w:rPr>
            </w:pPr>
          </w:p>
          <w:p w14:paraId="697250E0" w14:textId="77777777" w:rsidR="00BE35DF" w:rsidRPr="00D92572" w:rsidRDefault="00BE35DF" w:rsidP="00BE35DF">
            <w:pPr>
              <w:pStyle w:val="form-control-static"/>
              <w:shd w:val="clear" w:color="auto" w:fill="FFFFFF"/>
              <w:spacing w:before="0" w:beforeAutospacing="0" w:after="0" w:afterAutospacing="0" w:line="276" w:lineRule="auto"/>
              <w:rPr>
                <w:rFonts w:asciiTheme="minorHAnsi" w:hAnsiTheme="minorHAnsi"/>
                <w:color w:val="4A4A4A"/>
                <w:sz w:val="21"/>
                <w:szCs w:val="21"/>
              </w:rPr>
            </w:pPr>
            <w:r w:rsidRPr="00D92572">
              <w:rPr>
                <w:rFonts w:asciiTheme="minorHAnsi" w:hAnsiTheme="minorHAnsi"/>
                <w:color w:val="4A4A4A"/>
                <w:sz w:val="21"/>
                <w:szCs w:val="21"/>
              </w:rPr>
              <w:t>The adoption of this methodology will allow – over time – the more refined measurement of energy access, making it possible to report more disaggregated information regarding the type of electricity supply (grid or off-grid), the capacity of electricity supply provided (in Watts), the duration of service (daily hours and evening hours), the reliability of service (in terms of number and length of unplanned service interruptions), the quality of service (in terms of voltage fluctuations), as well as affordability and legality of service.</w:t>
            </w:r>
          </w:p>
          <w:p w14:paraId="61958FD1" w14:textId="77777777" w:rsidR="00BE35DF" w:rsidRPr="00D92572" w:rsidRDefault="00BE35DF" w:rsidP="00BE35DF">
            <w:pPr>
              <w:pStyle w:val="form-control-static"/>
              <w:shd w:val="clear" w:color="auto" w:fill="FFFFFF"/>
              <w:spacing w:before="0" w:beforeAutospacing="0" w:after="0" w:afterAutospacing="0" w:line="276" w:lineRule="auto"/>
              <w:rPr>
                <w:rFonts w:asciiTheme="minorHAnsi" w:hAnsiTheme="minorHAnsi"/>
                <w:color w:val="4A4A4A"/>
                <w:sz w:val="21"/>
                <w:szCs w:val="21"/>
              </w:rPr>
            </w:pPr>
          </w:p>
          <w:p w14:paraId="41BB3B17" w14:textId="77777777" w:rsidR="00BE35DF" w:rsidRPr="00D92572" w:rsidRDefault="00BE35DF" w:rsidP="002655A0">
            <w:pPr>
              <w:pStyle w:val="MText"/>
            </w:pPr>
            <w:r w:rsidRPr="00D92572">
              <w:lastRenderedPageBreak/>
              <w:t>Another advantage of this approach is that they can be applied not only to measuring energy access at the household level, but also its availability to support enterprises and deliver critical community services, such as health and education.</w:t>
            </w:r>
          </w:p>
          <w:p w14:paraId="46D6A5FD" w14:textId="77777777" w:rsidR="00BE35DF" w:rsidRPr="00D92572" w:rsidRDefault="00BE35DF" w:rsidP="002655A0">
            <w:pPr>
              <w:pStyle w:val="MText"/>
            </w:pPr>
          </w:p>
          <w:p w14:paraId="6255836D" w14:textId="5196391C" w:rsidR="009C300C" w:rsidRPr="009F305C" w:rsidRDefault="00BE35DF" w:rsidP="002655A0">
            <w:pPr>
              <w:pStyle w:val="MText"/>
            </w:pPr>
            <w:r w:rsidRPr="00D92572">
              <w:t>Methodological challenges associated with the measurement of energy access are more fully described the Global Tracking Framework (2013) (Chapter 2, Section 1, page 75-82), and in the ESMAP (2015) Report “Beyond Connections: Energy Access Redefined” both of which are referenced below.</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0B40E0CD" w14:textId="77777777" w:rsidR="00B732C7" w:rsidRPr="00084BD0" w:rsidRDefault="00B732C7" w:rsidP="002655A0">
            <w:pPr>
              <w:pStyle w:val="MHeader"/>
              <w:rPr>
                <w:b/>
                <w:bCs/>
              </w:rPr>
            </w:pPr>
            <w:r w:rsidRPr="00084BD0">
              <w:t>Methodology</w:t>
            </w:r>
          </w:p>
          <w:p w14:paraId="49F4BABF" w14:textId="2950ED02" w:rsidR="00B732C7" w:rsidRPr="00D92572" w:rsidRDefault="00B732C7" w:rsidP="002655A0">
            <w:pPr>
              <w:pStyle w:val="MSubHeader"/>
            </w:pPr>
            <w:r w:rsidRPr="00084BD0">
              <w:t xml:space="preserve">Computation </w:t>
            </w:r>
            <w:r w:rsidR="002655A0">
              <w:t>m</w:t>
            </w:r>
            <w:r w:rsidRPr="00084BD0">
              <w:t>ethod:</w:t>
            </w:r>
          </w:p>
          <w:p w14:paraId="26F611D6" w14:textId="77777777" w:rsidR="00B732C7" w:rsidRPr="00BA4303" w:rsidRDefault="00B732C7" w:rsidP="002655A0">
            <w:pPr>
              <w:pStyle w:val="MText"/>
            </w:pPr>
            <w:r w:rsidRPr="00BA4303">
              <w:t>The World Bank’s Global Electrification Database compiles nationally representative household survey data as well as census data from 1990 to 2018. It also incorporates data from the Socio-Economic Database for Latin America and the Caribbean, the Middle East and North Africa Poverty Database, and the Europe and Central Asia Poverty Database, all of which are based on similar surveys. At the time of this analysis, the Global Electrification Database contained 1,215 surveys from 140 countries, excluding surveys from high-income countries as classified by the United Nations.</w:t>
            </w:r>
          </w:p>
          <w:p w14:paraId="49170FF7" w14:textId="77777777" w:rsidR="00B732C7" w:rsidRDefault="00B732C7" w:rsidP="00B732C7">
            <w:pPr>
              <w:textAlignment w:val="baseline"/>
              <w:rPr>
                <w:rFonts w:cs="Times New Roman"/>
              </w:rPr>
            </w:pPr>
          </w:p>
          <w:p w14:paraId="14CC4CAD" w14:textId="0CC0EF7F" w:rsidR="00B732C7" w:rsidRDefault="00B732C7" w:rsidP="002655A0">
            <w:pPr>
              <w:pStyle w:val="MText"/>
            </w:pPr>
            <w:r w:rsidRPr="0080563E">
              <w:t>To estimate values, a multilevel nonparametric modelling approach—developed by the World Health Organization to estimate clean fuel usage—was adapted to predict electricity access and used to fill in the missing data points for the time period between 1990 and 2018. Where data is available, access estimates are weighted by population. Multilevel nonparametric modelling </w:t>
            </w:r>
            <w:r>
              <w:t>considers</w:t>
            </w:r>
            <w:r w:rsidRPr="0080563E">
              <w:t> the hierarchical structure of data (country and regional levels), using the regional classification of the United Nations. </w:t>
            </w:r>
          </w:p>
          <w:p w14:paraId="60B09820" w14:textId="77777777" w:rsidR="002655A0" w:rsidRPr="0080563E" w:rsidRDefault="002655A0" w:rsidP="002655A0">
            <w:pPr>
              <w:pStyle w:val="MText"/>
            </w:pPr>
          </w:p>
          <w:p w14:paraId="7CA6496F" w14:textId="77777777" w:rsidR="00B732C7" w:rsidRPr="0080563E" w:rsidRDefault="00B732C7" w:rsidP="002655A0">
            <w:pPr>
              <w:pStyle w:val="MText"/>
            </w:pPr>
            <w:r w:rsidRPr="0080563E">
              <w:t>The model is applied for all countries with at least one data point. In order to use as much real data as possible, results based on real survey data are reported in their original form for all years available. The statistical model is used to fill in data only for years where they are missing and to conduct global and regional analyses. In the absence of survey data for a given year, information from regional trends was borrowed. The difference between real data points and estimated values is clearly identified in the database.  </w:t>
            </w:r>
          </w:p>
          <w:p w14:paraId="125C1732" w14:textId="74B51C84" w:rsidR="00B732C7" w:rsidRDefault="00B732C7" w:rsidP="002655A0">
            <w:pPr>
              <w:pStyle w:val="MText"/>
            </w:pPr>
            <w:r w:rsidRPr="0080563E">
              <w:lastRenderedPageBreak/>
              <w:t>Countries considered “</w:t>
            </w:r>
            <w:r>
              <w:t>D</w:t>
            </w:r>
            <w:r w:rsidRPr="0080563E">
              <w:t xml:space="preserve">eveloped” by the United Nations and classified as </w:t>
            </w:r>
            <w:r>
              <w:t>“H</w:t>
            </w:r>
            <w:r w:rsidRPr="0080563E">
              <w:t xml:space="preserve">igh </w:t>
            </w:r>
            <w:r>
              <w:t>I</w:t>
            </w:r>
            <w:r w:rsidRPr="0080563E">
              <w:t>ncome</w:t>
            </w:r>
            <w:r>
              <w:t>”</w:t>
            </w:r>
            <w:r w:rsidRPr="0080563E">
              <w:t xml:space="preserve"> are assumed to have electrification rates of 100 percent from the first year the country joined the category. </w:t>
            </w:r>
          </w:p>
          <w:p w14:paraId="6313ED7C" w14:textId="77777777" w:rsidR="002655A0" w:rsidRPr="0080563E" w:rsidRDefault="002655A0" w:rsidP="002655A0">
            <w:pPr>
              <w:pStyle w:val="MText"/>
            </w:pPr>
          </w:p>
          <w:p w14:paraId="71F293FB" w14:textId="77777777" w:rsidR="00B732C7" w:rsidRPr="0080563E" w:rsidRDefault="00B732C7" w:rsidP="002655A0">
            <w:pPr>
              <w:pStyle w:val="MText"/>
            </w:pPr>
            <w:r w:rsidRPr="0080563E">
              <w:t>In the present report, to avoid having electrification trends from 1990 to 2010 overshadow electrification efforts since 2010, the model was run twice: </w:t>
            </w:r>
          </w:p>
          <w:p w14:paraId="0223F495" w14:textId="77777777" w:rsidR="00B732C7" w:rsidRPr="0080563E" w:rsidRDefault="00B732C7" w:rsidP="002655A0">
            <w:pPr>
              <w:pStyle w:val="MText"/>
              <w:numPr>
                <w:ilvl w:val="0"/>
                <w:numId w:val="31"/>
              </w:numPr>
            </w:pPr>
            <w:r w:rsidRPr="0080563E">
              <w:t>With survey data + assumptions from 1990–2018 for model estimates from 1990–2018 </w:t>
            </w:r>
          </w:p>
          <w:p w14:paraId="386A96ED" w14:textId="77777777" w:rsidR="00B732C7" w:rsidRPr="0080563E" w:rsidRDefault="00B732C7" w:rsidP="002655A0">
            <w:pPr>
              <w:pStyle w:val="MText"/>
              <w:numPr>
                <w:ilvl w:val="0"/>
                <w:numId w:val="31"/>
              </w:numPr>
            </w:pPr>
            <w:r w:rsidRPr="0080563E">
              <w:t>With survey data + assumptions from 2010–2018 for model estimates from 2010–2018 </w:t>
            </w:r>
          </w:p>
          <w:p w14:paraId="6C2CCEAD" w14:textId="77777777" w:rsidR="00B732C7" w:rsidRPr="00D92572" w:rsidRDefault="00B732C7" w:rsidP="00B732C7">
            <w:pPr>
              <w:rPr>
                <w:rFonts w:cs="Times New Roman"/>
              </w:rPr>
            </w:pPr>
          </w:p>
          <w:p w14:paraId="2FA3E8F8" w14:textId="59027752" w:rsidR="009C300C" w:rsidRPr="009F305C" w:rsidRDefault="00B732C7" w:rsidP="002655A0">
            <w:pPr>
              <w:pStyle w:val="MText"/>
            </w:pPr>
            <w:r w:rsidRPr="00D92572">
              <w:t>Given the low frequency and the regional distribution of some surveys, several countries have gaps in available data. To develop the historical evolution and starting point of electrification rates, a simple modelling approach was adopted to fill in the missing data points</w:t>
            </w:r>
            <w:r>
              <w:t>.</w:t>
            </w:r>
            <w:r w:rsidRPr="00D92572">
              <w:t xml:space="preserve"> This modelling approach allowed the estimation of electrification rates for 212 countries over these time periods. The SE4ALL Global Tracking Framework Report (2013) referenced below provides more details on the suggested methodology for tracking access to energy (Chapter 2, Section 1, page 82-87).</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3B5ED082" w14:textId="77777777" w:rsidR="00B732C7" w:rsidRPr="00D92572" w:rsidRDefault="00B732C7" w:rsidP="002655A0">
            <w:pPr>
              <w:pStyle w:val="MSubHeader"/>
            </w:pPr>
            <w:r w:rsidRPr="00084BD0">
              <w:t>Treatment of missing values:</w:t>
            </w:r>
          </w:p>
          <w:p w14:paraId="0D3A2833" w14:textId="31C0FF42" w:rsidR="00B732C7" w:rsidRPr="00FD21EA" w:rsidRDefault="00B732C7" w:rsidP="002655A0">
            <w:pPr>
              <w:pStyle w:val="MText"/>
              <w:numPr>
                <w:ilvl w:val="0"/>
                <w:numId w:val="32"/>
              </w:numPr>
              <w:rPr>
                <w:b/>
                <w:bCs/>
                <w:i/>
                <w:iCs/>
              </w:rPr>
            </w:pPr>
            <w:r w:rsidRPr="00FD21EA">
              <w:rPr>
                <w:b/>
                <w:bCs/>
                <w:i/>
                <w:iCs/>
              </w:rPr>
              <w:t>At country level</w:t>
            </w:r>
            <w:r w:rsidR="002655A0" w:rsidRPr="00FD21EA">
              <w:rPr>
                <w:b/>
                <w:bCs/>
                <w:i/>
                <w:iCs/>
              </w:rPr>
              <w:t>:</w:t>
            </w:r>
          </w:p>
          <w:p w14:paraId="20F19531" w14:textId="77777777" w:rsidR="00B732C7" w:rsidRPr="00084BD0" w:rsidRDefault="00B732C7" w:rsidP="0045637D">
            <w:pPr>
              <w:pStyle w:val="MText"/>
            </w:pPr>
            <w:r w:rsidRPr="00084BD0">
              <w:t xml:space="preserve">Given the low frequency and regional distribution of some surveys, </w:t>
            </w:r>
            <w:r>
              <w:t>many</w:t>
            </w:r>
            <w:r w:rsidRPr="00084BD0">
              <w:t xml:space="preserve"> countries have gaps in </w:t>
            </w:r>
            <w:r>
              <w:t xml:space="preserve">data availability. A </w:t>
            </w:r>
            <w:r w:rsidRPr="00084BD0">
              <w:t xml:space="preserve">simple </w:t>
            </w:r>
            <w:r>
              <w:t>modelling</w:t>
            </w:r>
            <w:r w:rsidRPr="00084BD0">
              <w:t xml:space="preserve"> approach was adopted to fill in the missing data points</w:t>
            </w:r>
            <w:r>
              <w:t>,</w:t>
            </w:r>
            <w:r w:rsidRPr="00084BD0">
              <w:t xml:space="preserve"> in </w:t>
            </w:r>
            <w:r>
              <w:t xml:space="preserve">order to develop the historical evolution and starting point of the electrification rates. The estimation is conducted </w:t>
            </w:r>
            <w:r w:rsidRPr="00084BD0">
              <w:t>using a model with region, country and time variables. The model keeps the original observation if data is available</w:t>
            </w:r>
            <w:r>
              <w:t xml:space="preserve">. </w:t>
            </w:r>
            <w:r w:rsidRPr="0080563E">
              <w:t>The statistical model is used to fill in data only</w:t>
            </w:r>
            <w:r w:rsidRPr="00084BD0">
              <w:t xml:space="preserve"> for </w:t>
            </w:r>
            <w:r w:rsidRPr="0080563E">
              <w:t>years where they are missing and to</w:t>
            </w:r>
            <w:r>
              <w:t xml:space="preserve"> help</w:t>
            </w:r>
            <w:r w:rsidRPr="0080563E">
              <w:t xml:space="preserve"> conduct global and regional analyses. In the absence of survey data for a given year, information from regional trends was borrowed. The estimated values </w:t>
            </w:r>
            <w:r>
              <w:t>are</w:t>
            </w:r>
            <w:r w:rsidRPr="0080563E">
              <w:t xml:space="preserve"> clearly identified</w:t>
            </w:r>
            <w:r>
              <w:t xml:space="preserve"> (“</w:t>
            </w:r>
            <w:r w:rsidRPr="00084BD0">
              <w:t>Estimate</w:t>
            </w:r>
            <w:r>
              <w:t>”)</w:t>
            </w:r>
            <w:r w:rsidRPr="0080563E">
              <w:t xml:space="preserve"> in the database.  </w:t>
            </w:r>
          </w:p>
          <w:p w14:paraId="6EF54440" w14:textId="77777777" w:rsidR="00B732C7" w:rsidRPr="00084BD0" w:rsidRDefault="00B732C7" w:rsidP="00B732C7">
            <w:pPr>
              <w:ind w:left="495"/>
            </w:pPr>
          </w:p>
          <w:p w14:paraId="52484814" w14:textId="7C5E4178" w:rsidR="00B732C7" w:rsidRPr="00FD21EA" w:rsidRDefault="00B732C7" w:rsidP="0045637D">
            <w:pPr>
              <w:pStyle w:val="MText"/>
              <w:numPr>
                <w:ilvl w:val="0"/>
                <w:numId w:val="32"/>
              </w:numPr>
              <w:rPr>
                <w:b/>
                <w:bCs/>
              </w:rPr>
            </w:pPr>
            <w:r w:rsidRPr="00FD21EA">
              <w:rPr>
                <w:b/>
                <w:bCs/>
              </w:rPr>
              <w:t>At regional and global levels</w:t>
            </w:r>
            <w:r w:rsidR="0045637D" w:rsidRPr="00FD21EA">
              <w:rPr>
                <w:b/>
                <w:bCs/>
              </w:rPr>
              <w:t>:</w:t>
            </w:r>
          </w:p>
          <w:p w14:paraId="3FD951A2" w14:textId="0A3D592A" w:rsidR="009C300C" w:rsidRPr="009F305C" w:rsidRDefault="00B732C7" w:rsidP="00937F08">
            <w:pPr>
              <w:pStyle w:val="MText"/>
            </w:pPr>
            <w:r>
              <w:t xml:space="preserve">Values for regional and global levels are calculated by incorporating all survey data along with model-estimated values </w:t>
            </w:r>
            <w:r>
              <w:lastRenderedPageBreak/>
              <w:t>substituting missing values. Regional and global classifications are based on the UN M49 series for statistical use.</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301EC0E6" w14:textId="77777777" w:rsidR="00B732C7" w:rsidRPr="00573631" w:rsidRDefault="00B732C7" w:rsidP="0045637D">
            <w:pPr>
              <w:pStyle w:val="MSubHeader"/>
            </w:pPr>
            <w:r w:rsidRPr="00573631">
              <w:t>Regional aggregates:</w:t>
            </w:r>
          </w:p>
          <w:p w14:paraId="3D5B0C72" w14:textId="5A233D0C" w:rsidR="009C300C" w:rsidRPr="009F305C" w:rsidRDefault="00B732C7" w:rsidP="00323BE1">
            <w:pPr>
              <w:pStyle w:val="MText"/>
            </w:pPr>
            <w:r w:rsidRPr="00D92572">
              <w:t>Global coverage is available through the World Bank Global Electrification Database 201</w:t>
            </w:r>
            <w:r>
              <w:t>9</w:t>
            </w:r>
            <w:r w:rsidRPr="00D92572">
              <w:t>.</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F185BFE" w14:textId="77777777" w:rsidR="00D2737C" w:rsidRPr="00D54F29" w:rsidRDefault="00D2737C" w:rsidP="00323BE1">
            <w:pPr>
              <w:pStyle w:val="MSubHeader"/>
            </w:pPr>
            <w:r w:rsidRPr="00D54F29">
              <w:t>Methods and guidance</w:t>
            </w:r>
            <w:r>
              <w:t xml:space="preserve"> available to countries</w:t>
            </w:r>
            <w:r w:rsidRPr="00D54F29">
              <w:t xml:space="preserve"> for the compilation of the data at the national level:</w:t>
            </w:r>
          </w:p>
          <w:p w14:paraId="0FB501B7" w14:textId="549293AB" w:rsidR="009C300C" w:rsidRPr="006126A9" w:rsidRDefault="00D2737C" w:rsidP="00323BE1">
            <w:pPr>
              <w:pStyle w:val="MText"/>
            </w:pPr>
            <w:r w:rsidRPr="000A5079">
              <w:t xml:space="preserve">Countries generally use internationally accepted methods of conducting censuses and national surveys. There is some level of disparity between countries and regional methodologies, but the efforts to harmonize data is improving. </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3E120FF" w14:textId="684A6917" w:rsidR="00A13028" w:rsidRPr="00D54F29" w:rsidRDefault="00A13028" w:rsidP="00440A6B">
            <w:pPr>
              <w:pStyle w:val="MSubHeader"/>
            </w:pPr>
            <w:r w:rsidRPr="00D54F29">
              <w:t>Quality assurance</w:t>
            </w:r>
            <w:r w:rsidR="00323BE1">
              <w:t>:</w:t>
            </w:r>
          </w:p>
          <w:p w14:paraId="03BB4F7C" w14:textId="77777777" w:rsidR="00A13028" w:rsidRPr="001D60C8" w:rsidRDefault="00A13028" w:rsidP="00440A6B">
            <w:pPr>
              <w:pStyle w:val="MText"/>
            </w:pPr>
            <w:r>
              <w:t>A m</w:t>
            </w:r>
            <w:r w:rsidRPr="001D60C8">
              <w:t>ulti-level review process in collaboration with industry experts,</w:t>
            </w:r>
            <w:r>
              <w:t xml:space="preserve"> national statistical offices,</w:t>
            </w:r>
            <w:r w:rsidRPr="001D60C8">
              <w:t xml:space="preserve"> country and regional experts as well as partnering international agencies and UN bodies</w:t>
            </w:r>
            <w:r>
              <w:t xml:space="preserve"> is conducted before finalizing the data</w:t>
            </w:r>
            <w:r w:rsidRPr="001D60C8">
              <w:t>.</w:t>
            </w:r>
          </w:p>
          <w:p w14:paraId="43E4FA53" w14:textId="77777777" w:rsidR="00A13028" w:rsidRDefault="00A13028" w:rsidP="00440A6B">
            <w:pPr>
              <w:pStyle w:val="MText"/>
              <w:rPr>
                <w:highlight w:val="yellow"/>
              </w:rPr>
            </w:pPr>
          </w:p>
          <w:p w14:paraId="5D471804" w14:textId="2483BE10" w:rsidR="009C300C" w:rsidRPr="009F305C" w:rsidRDefault="00A13028" w:rsidP="009862DA">
            <w:pPr>
              <w:pStyle w:val="MText"/>
            </w:pPr>
            <w:r w:rsidRPr="00B034AF">
              <w:t>Before finalizing electricity access data, the World Bank team contacts the relevant</w:t>
            </w:r>
            <w:r>
              <w:t xml:space="preserve"> national</w:t>
            </w:r>
            <w:r w:rsidRPr="00B034AF">
              <w:t xml:space="preserve"> </w:t>
            </w:r>
            <w:r>
              <w:t xml:space="preserve">statistical offices as well as the UN regional commissions </w:t>
            </w:r>
            <w:r w:rsidRPr="00B034AF">
              <w:t xml:space="preserve">asking for reviews and suggestions for the prepared figures. The data also goes through multiple rounds of vetting process internally through departments. </w:t>
            </w:r>
            <w:r>
              <w:t>The relevant links are provided</w:t>
            </w:r>
            <w:r w:rsidRPr="00084BD0">
              <w:t xml:space="preserve"> below</w:t>
            </w:r>
            <w:r>
              <w:t xml:space="preserve"> under References</w:t>
            </w:r>
            <w:r w:rsidRPr="00084BD0">
              <w:t>.</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2" w:name="_Toc36655613"/>
            <w:bookmarkStart w:id="33" w:name="_Toc36812576"/>
            <w:bookmarkStart w:id="34" w:name="_Toc36812689"/>
            <w:bookmarkStart w:id="35" w:name="_Toc36813076"/>
            <w:bookmarkStart w:id="36" w:name="_Toc37932748"/>
            <w:r w:rsidRPr="00776312">
              <w:t>5. Data availability and disaggregation</w:t>
            </w:r>
            <w:bookmarkEnd w:id="32"/>
            <w:bookmarkEnd w:id="33"/>
            <w:bookmarkEnd w:id="34"/>
            <w:bookmarkEnd w:id="35"/>
            <w:bookmarkEnd w:id="36"/>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F3C1311" w14:textId="608CAE32" w:rsidR="00B2628A" w:rsidRPr="00084BD0" w:rsidRDefault="00B2628A" w:rsidP="00440A6B">
            <w:pPr>
              <w:pStyle w:val="MHeader"/>
              <w:rPr>
                <w:b/>
                <w:bCs/>
              </w:rPr>
            </w:pPr>
            <w:r w:rsidRPr="00084BD0">
              <w:t xml:space="preserve">Data </w:t>
            </w:r>
            <w:r w:rsidR="00440A6B">
              <w:t>a</w:t>
            </w:r>
            <w:r w:rsidRPr="00084BD0">
              <w:t>vailability</w:t>
            </w:r>
          </w:p>
          <w:p w14:paraId="06A21CA1" w14:textId="77777777" w:rsidR="00B2628A" w:rsidRPr="00573631" w:rsidRDefault="00B2628A" w:rsidP="00440A6B">
            <w:pPr>
              <w:pStyle w:val="MSubHeader"/>
            </w:pPr>
            <w:r w:rsidRPr="00573631">
              <w:t>Description:</w:t>
            </w:r>
          </w:p>
          <w:p w14:paraId="35740871" w14:textId="77777777" w:rsidR="00B2628A" w:rsidRPr="00D92572" w:rsidRDefault="00B2628A" w:rsidP="00440A6B">
            <w:pPr>
              <w:pStyle w:val="MText"/>
            </w:pPr>
            <w:r w:rsidRPr="00440A6B">
              <w:rPr>
                <w:rStyle w:val="MTextChar"/>
              </w:rPr>
              <w:t>Data is currently collected for 140 countries from 1990 to 2018, excluding “High Income” or “Developed” countries as classified by the United Nations</w:t>
            </w:r>
            <w:r w:rsidRPr="00983862">
              <w:t xml:space="preserve">. </w:t>
            </w:r>
          </w:p>
          <w:p w14:paraId="3F74965E" w14:textId="77777777" w:rsidR="00B2628A" w:rsidRPr="00573631" w:rsidRDefault="00B2628A" w:rsidP="00B2628A">
            <w:pPr>
              <w:rPr>
                <w:rFonts w:cs="Times New Roman"/>
              </w:rPr>
            </w:pPr>
          </w:p>
          <w:p w14:paraId="76B95A47" w14:textId="77777777" w:rsidR="00B2628A" w:rsidRPr="00573631" w:rsidRDefault="00B2628A" w:rsidP="00440A6B">
            <w:pPr>
              <w:pStyle w:val="MSubHeader"/>
            </w:pPr>
            <w:r w:rsidRPr="00573631">
              <w:t>Time series:</w:t>
            </w:r>
          </w:p>
          <w:p w14:paraId="2A0BE85A" w14:textId="77777777" w:rsidR="00B2628A" w:rsidRPr="00D92572" w:rsidRDefault="00B2628A" w:rsidP="00440A6B">
            <w:pPr>
              <w:pStyle w:val="MText"/>
            </w:pPr>
            <w:r>
              <w:t xml:space="preserve">Data for countries have been compiled for the 1990-2018 </w:t>
            </w:r>
            <w:r w:rsidRPr="00084BD0">
              <w:t>period</w:t>
            </w:r>
            <w:r>
              <w:t>, though there are gaps in accurate data availability</w:t>
            </w:r>
            <w:r w:rsidRPr="00084BD0">
              <w:t>.</w:t>
            </w:r>
          </w:p>
          <w:p w14:paraId="1AF3BF5B" w14:textId="77777777" w:rsidR="00010E42" w:rsidRDefault="00010E42" w:rsidP="00010E42">
            <w:pPr>
              <w:pStyle w:val="MText"/>
            </w:pPr>
          </w:p>
          <w:p w14:paraId="1400CAEC" w14:textId="77777777" w:rsidR="00B732C7" w:rsidRPr="00FD21EA" w:rsidRDefault="00B732C7" w:rsidP="00FD21EA">
            <w:pPr>
              <w:pStyle w:val="MSubHeader"/>
            </w:pPr>
            <w:r w:rsidRPr="00FD21EA">
              <w:rPr>
                <w:rStyle w:val="MSubHeaderChar"/>
                <w:b/>
                <w:bCs/>
                <w:shd w:val="clear" w:color="auto" w:fill="auto"/>
              </w:rPr>
              <w:t>Disaggregation</w:t>
            </w:r>
            <w:r w:rsidRPr="00FD21EA">
              <w:t>:</w:t>
            </w:r>
          </w:p>
          <w:p w14:paraId="19A064E0" w14:textId="2DFBA323" w:rsidR="00B732C7" w:rsidRPr="009F305C" w:rsidRDefault="00B732C7" w:rsidP="00440A6B">
            <w:pPr>
              <w:pStyle w:val="MText"/>
            </w:pPr>
            <w:r w:rsidRPr="00E05354">
              <w:t xml:space="preserve">Electricity access rates are disaggregated by geographic location into total, urban and rural rates. Countries that are classified as </w:t>
            </w:r>
            <w:r>
              <w:t>“</w:t>
            </w:r>
            <w:r w:rsidRPr="00E05354">
              <w:t>Developed</w:t>
            </w:r>
            <w:r>
              <w:t>”</w:t>
            </w:r>
            <w:r w:rsidRPr="00E05354">
              <w:t xml:space="preserve"> or </w:t>
            </w:r>
            <w:r>
              <w:t>“</w:t>
            </w:r>
            <w:r w:rsidRPr="00E05354">
              <w:t>High Income</w:t>
            </w:r>
            <w:r>
              <w:t>”</w:t>
            </w:r>
            <w:r w:rsidRPr="00E05354">
              <w:t xml:space="preserve"> are assumed to have 100 percent </w:t>
            </w:r>
            <w:r w:rsidRPr="00E05354">
              <w:lastRenderedPageBreak/>
              <w:t xml:space="preserve">from the first year it was added to the category. </w:t>
            </w:r>
            <w:r w:rsidRPr="00D92572">
              <w:t>Disaggregation of access to electricity by rural or urban place of residence is possible for all countries.</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38CE6ADF" w14:textId="77777777" w:rsidR="00D2737C" w:rsidRPr="00573631" w:rsidRDefault="00D2737C" w:rsidP="00440A6B">
            <w:pPr>
              <w:pStyle w:val="MSubHeader"/>
            </w:pPr>
            <w:r w:rsidRPr="00573631">
              <w:t>Sources of discrepancies:</w:t>
            </w:r>
          </w:p>
          <w:p w14:paraId="6984D79D" w14:textId="0ABA6B51" w:rsidR="00D2737C" w:rsidRDefault="00D2737C" w:rsidP="00440A6B">
            <w:pPr>
              <w:pStyle w:val="MText"/>
            </w:pPr>
            <w:r>
              <w:t xml:space="preserve">The </w:t>
            </w:r>
            <w:r w:rsidRPr="00084BD0">
              <w:t>World Bank</w:t>
            </w:r>
            <w:r>
              <w:t xml:space="preserve"> database compiles electricity usage data, while many international agencies and national ministries report electricity production data. This is the main cause for data discrepancies.</w:t>
            </w:r>
          </w:p>
          <w:p w14:paraId="2CB3C4D0" w14:textId="77777777" w:rsidR="00440A6B" w:rsidRDefault="00440A6B" w:rsidP="00440A6B">
            <w:pPr>
              <w:pStyle w:val="MText"/>
            </w:pPr>
          </w:p>
          <w:p w14:paraId="1002F624" w14:textId="220F81B5" w:rsidR="009C300C" w:rsidRPr="009F305C" w:rsidRDefault="00D2737C" w:rsidP="00440A6B">
            <w:pPr>
              <w:pStyle w:val="MText"/>
            </w:pPr>
            <w:r>
              <w:t xml:space="preserve">The quality and accuracy of population data can also lead to differences in assessing electrification. </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47F81C54" w14:textId="77777777" w:rsidR="00D60DEF" w:rsidRPr="00084BD0" w:rsidRDefault="00D60DEF" w:rsidP="00AD1C4B">
            <w:pPr>
              <w:pStyle w:val="MHeader"/>
              <w:rPr>
                <w:b/>
                <w:bCs/>
              </w:rPr>
            </w:pPr>
            <w:r w:rsidRPr="00084BD0">
              <w:t>References</w:t>
            </w:r>
          </w:p>
          <w:p w14:paraId="4E46ABA6" w14:textId="77777777" w:rsidR="00D60DEF" w:rsidRPr="00084BD0" w:rsidRDefault="00D60DEF" w:rsidP="00AD1C4B">
            <w:pPr>
              <w:pStyle w:val="MSubHeader"/>
            </w:pPr>
            <w:r w:rsidRPr="00084BD0">
              <w:t>URL:</w:t>
            </w:r>
          </w:p>
          <w:p w14:paraId="4ADE726E" w14:textId="77777777" w:rsidR="00D60DEF" w:rsidRDefault="00FD21EA" w:rsidP="00D60DEF">
            <w:pPr>
              <w:rPr>
                <w:rFonts w:cs="Times New Roman"/>
                <w:b/>
                <w:bCs/>
              </w:rPr>
            </w:pPr>
            <w:hyperlink r:id="rId6" w:history="1">
              <w:r w:rsidR="00D60DEF">
                <w:rPr>
                  <w:rStyle w:val="Hyperlink"/>
                </w:rPr>
                <w:t>https://databank.worldbank.org/source/world-development-indicators</w:t>
              </w:r>
            </w:hyperlink>
          </w:p>
          <w:p w14:paraId="52D8B323" w14:textId="77777777" w:rsidR="00D60DEF" w:rsidRPr="00573631" w:rsidRDefault="00FD21EA" w:rsidP="00D60DEF">
            <w:pPr>
              <w:rPr>
                <w:rFonts w:cs="Times New Roman"/>
              </w:rPr>
            </w:pPr>
            <w:hyperlink r:id="rId7" w:history="1">
              <w:r w:rsidR="00D60DEF">
                <w:rPr>
                  <w:rStyle w:val="Hyperlink"/>
                </w:rPr>
                <w:t>https://trackingsdg7.esmap.org/</w:t>
              </w:r>
            </w:hyperlink>
          </w:p>
          <w:p w14:paraId="5E5D2300" w14:textId="77777777" w:rsidR="00D60DEF" w:rsidRPr="00573631" w:rsidRDefault="00D60DEF" w:rsidP="00D60DEF">
            <w:pPr>
              <w:rPr>
                <w:rFonts w:cs="Times New Roman"/>
              </w:rPr>
            </w:pPr>
          </w:p>
          <w:p w14:paraId="3614964F" w14:textId="77777777" w:rsidR="00D60DEF" w:rsidRPr="00084BD0" w:rsidRDefault="00D60DEF" w:rsidP="00AD1C4B">
            <w:pPr>
              <w:pStyle w:val="MSubHeader"/>
            </w:pPr>
            <w:r w:rsidRPr="00084BD0">
              <w:t>References:</w:t>
            </w:r>
            <w:r>
              <w:t xml:space="preserve"> </w:t>
            </w:r>
          </w:p>
          <w:p w14:paraId="306632B4" w14:textId="50875E5F" w:rsidR="00D60DEF" w:rsidRDefault="00D60DEF" w:rsidP="00AD1C4B">
            <w:pPr>
              <w:pStyle w:val="MText"/>
              <w:numPr>
                <w:ilvl w:val="0"/>
                <w:numId w:val="32"/>
              </w:numPr>
            </w:pPr>
            <w:r w:rsidRPr="00D92572">
              <w:t>Multi-Tier Framework for Measuring Energy Access</w:t>
            </w:r>
            <w:r w:rsidRPr="001D32A7">
              <w:t xml:space="preserve"> </w:t>
            </w:r>
            <w:hyperlink r:id="rId8" w:history="1">
              <w:r w:rsidR="00AD1C4B" w:rsidRPr="0040192A">
                <w:rPr>
                  <w:rStyle w:val="Hyperlink"/>
                </w:rPr>
                <w:t>https://www.esmap.org/node/55526</w:t>
              </w:r>
            </w:hyperlink>
          </w:p>
          <w:p w14:paraId="5BB3E69A" w14:textId="06C2F8FC" w:rsidR="00D60DEF" w:rsidRDefault="00D60DEF" w:rsidP="00AD1C4B">
            <w:pPr>
              <w:pStyle w:val="MText"/>
              <w:numPr>
                <w:ilvl w:val="0"/>
                <w:numId w:val="32"/>
              </w:numPr>
            </w:pPr>
            <w:r w:rsidRPr="00D92572">
              <w:t>Global Tracking Framework Report (2013)</w:t>
            </w:r>
            <w:r w:rsidRPr="00430A42">
              <w:t xml:space="preserve"> </w:t>
            </w:r>
            <w:hyperlink r:id="rId9" w:history="1">
              <w:r w:rsidR="00AD1C4B" w:rsidRPr="0040192A">
                <w:rPr>
                  <w:rStyle w:val="Hyperlink"/>
                </w:rPr>
                <w:t>http://trackingenergy4all.worldbank.org</w:t>
              </w:r>
            </w:hyperlink>
          </w:p>
          <w:p w14:paraId="38BF89A0" w14:textId="5217A82C" w:rsidR="009C300C" w:rsidRPr="009F305C" w:rsidRDefault="00D60DEF" w:rsidP="00E06BAD">
            <w:pPr>
              <w:pStyle w:val="MText"/>
              <w:numPr>
                <w:ilvl w:val="0"/>
                <w:numId w:val="32"/>
              </w:numPr>
            </w:pPr>
            <w:r w:rsidRPr="00D92572">
              <w:t>Global Tracking Framework Report (2015)</w:t>
            </w:r>
            <w:r w:rsidRPr="00430A42">
              <w:t xml:space="preserve"> </w:t>
            </w:r>
            <w:hyperlink r:id="rId10" w:history="1">
              <w:r w:rsidR="00AD1C4B" w:rsidRPr="0040192A">
                <w:rPr>
                  <w:rStyle w:val="Hyperlink"/>
                </w:rPr>
                <w:t>http://trackingenergy4all.worldbank.org</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8A7722"/>
    <w:multiLevelType w:val="hybridMultilevel"/>
    <w:tmpl w:val="60983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C131D"/>
    <w:multiLevelType w:val="hybridMultilevel"/>
    <w:tmpl w:val="EEFCE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FEF5814"/>
    <w:multiLevelType w:val="multilevel"/>
    <w:tmpl w:val="641E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C9762E"/>
    <w:multiLevelType w:val="hybridMultilevel"/>
    <w:tmpl w:val="A2261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19"/>
  </w:num>
  <w:num w:numId="4">
    <w:abstractNumId w:val="13"/>
  </w:num>
  <w:num w:numId="5">
    <w:abstractNumId w:val="27"/>
  </w:num>
  <w:num w:numId="6">
    <w:abstractNumId w:val="2"/>
  </w:num>
  <w:num w:numId="7">
    <w:abstractNumId w:val="1"/>
  </w:num>
  <w:num w:numId="8">
    <w:abstractNumId w:val="23"/>
  </w:num>
  <w:num w:numId="9">
    <w:abstractNumId w:val="5"/>
  </w:num>
  <w:num w:numId="10">
    <w:abstractNumId w:val="28"/>
  </w:num>
  <w:num w:numId="11">
    <w:abstractNumId w:val="16"/>
  </w:num>
  <w:num w:numId="12">
    <w:abstractNumId w:val="9"/>
  </w:num>
  <w:num w:numId="13">
    <w:abstractNumId w:val="29"/>
  </w:num>
  <w:num w:numId="14">
    <w:abstractNumId w:val="0"/>
  </w:num>
  <w:num w:numId="15">
    <w:abstractNumId w:val="12"/>
  </w:num>
  <w:num w:numId="16">
    <w:abstractNumId w:val="21"/>
  </w:num>
  <w:num w:numId="17">
    <w:abstractNumId w:val="24"/>
  </w:num>
  <w:num w:numId="18">
    <w:abstractNumId w:val="15"/>
  </w:num>
  <w:num w:numId="19">
    <w:abstractNumId w:val="25"/>
  </w:num>
  <w:num w:numId="20">
    <w:abstractNumId w:val="31"/>
  </w:num>
  <w:num w:numId="21">
    <w:abstractNumId w:val="11"/>
  </w:num>
  <w:num w:numId="22">
    <w:abstractNumId w:val="14"/>
  </w:num>
  <w:num w:numId="23">
    <w:abstractNumId w:val="8"/>
  </w:num>
  <w:num w:numId="24">
    <w:abstractNumId w:val="17"/>
  </w:num>
  <w:num w:numId="25">
    <w:abstractNumId w:val="7"/>
  </w:num>
  <w:num w:numId="26">
    <w:abstractNumId w:val="26"/>
  </w:num>
  <w:num w:numId="27">
    <w:abstractNumId w:val="3"/>
  </w:num>
  <w:num w:numId="28">
    <w:abstractNumId w:val="6"/>
  </w:num>
  <w:num w:numId="29">
    <w:abstractNumId w:val="18"/>
  </w:num>
  <w:num w:numId="30">
    <w:abstractNumId w:val="30"/>
  </w:num>
  <w:num w:numId="31">
    <w:abstractNumId w:val="4"/>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0471"/>
    <w:rsid w:val="00072FC0"/>
    <w:rsid w:val="000A1682"/>
    <w:rsid w:val="00195CB9"/>
    <w:rsid w:val="001A2A7E"/>
    <w:rsid w:val="0020364C"/>
    <w:rsid w:val="0020532C"/>
    <w:rsid w:val="0023460C"/>
    <w:rsid w:val="00246C95"/>
    <w:rsid w:val="002655A0"/>
    <w:rsid w:val="00281303"/>
    <w:rsid w:val="00323BE1"/>
    <w:rsid w:val="00327BB9"/>
    <w:rsid w:val="0034737E"/>
    <w:rsid w:val="00355B4E"/>
    <w:rsid w:val="003C163D"/>
    <w:rsid w:val="00416A79"/>
    <w:rsid w:val="00440A6B"/>
    <w:rsid w:val="0045637D"/>
    <w:rsid w:val="004614FB"/>
    <w:rsid w:val="00473168"/>
    <w:rsid w:val="004D11AE"/>
    <w:rsid w:val="004E6A35"/>
    <w:rsid w:val="00513CD4"/>
    <w:rsid w:val="00583CC6"/>
    <w:rsid w:val="00587481"/>
    <w:rsid w:val="005A15CC"/>
    <w:rsid w:val="005E1F5E"/>
    <w:rsid w:val="005E6457"/>
    <w:rsid w:val="006126A9"/>
    <w:rsid w:val="00633333"/>
    <w:rsid w:val="006445B3"/>
    <w:rsid w:val="00656B67"/>
    <w:rsid w:val="00712078"/>
    <w:rsid w:val="00791AA9"/>
    <w:rsid w:val="00803258"/>
    <w:rsid w:val="00856714"/>
    <w:rsid w:val="00870DFF"/>
    <w:rsid w:val="008D1210"/>
    <w:rsid w:val="008F7040"/>
    <w:rsid w:val="00907E48"/>
    <w:rsid w:val="00937F08"/>
    <w:rsid w:val="00975E06"/>
    <w:rsid w:val="00984D84"/>
    <w:rsid w:val="009862DA"/>
    <w:rsid w:val="009B768A"/>
    <w:rsid w:val="009C300C"/>
    <w:rsid w:val="009E42C4"/>
    <w:rsid w:val="009F157A"/>
    <w:rsid w:val="00A0263D"/>
    <w:rsid w:val="00A10855"/>
    <w:rsid w:val="00A13028"/>
    <w:rsid w:val="00A13F90"/>
    <w:rsid w:val="00A1738D"/>
    <w:rsid w:val="00A66924"/>
    <w:rsid w:val="00A71707"/>
    <w:rsid w:val="00AD1C4B"/>
    <w:rsid w:val="00B2628A"/>
    <w:rsid w:val="00B732C7"/>
    <w:rsid w:val="00BA6FEF"/>
    <w:rsid w:val="00BB1074"/>
    <w:rsid w:val="00BC2F94"/>
    <w:rsid w:val="00BD17B1"/>
    <w:rsid w:val="00BE2604"/>
    <w:rsid w:val="00BE35DF"/>
    <w:rsid w:val="00BE72CB"/>
    <w:rsid w:val="00C0524B"/>
    <w:rsid w:val="00C25BBC"/>
    <w:rsid w:val="00CA0300"/>
    <w:rsid w:val="00CB32D9"/>
    <w:rsid w:val="00CF0023"/>
    <w:rsid w:val="00D22B94"/>
    <w:rsid w:val="00D2737C"/>
    <w:rsid w:val="00D60DEF"/>
    <w:rsid w:val="00D7322D"/>
    <w:rsid w:val="00D976E4"/>
    <w:rsid w:val="00DD2A65"/>
    <w:rsid w:val="00DE2E54"/>
    <w:rsid w:val="00E06BAD"/>
    <w:rsid w:val="00E10BA2"/>
    <w:rsid w:val="00E62D18"/>
    <w:rsid w:val="00E85E03"/>
    <w:rsid w:val="00EB297A"/>
    <w:rsid w:val="00F31B13"/>
    <w:rsid w:val="00F41CE1"/>
    <w:rsid w:val="00FA7507"/>
    <w:rsid w:val="00FD2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195CB9"/>
    <w:pPr>
      <w:keepNext/>
      <w:keepLines/>
      <w:shd w:val="clear" w:color="auto" w:fill="auto"/>
      <w:spacing w:before="40" w:line="276" w:lineRule="auto"/>
      <w:outlineLvl w:val="4"/>
    </w:pPr>
    <w:rPr>
      <w:rFonts w:asciiTheme="majorHAnsi" w:eastAsiaTheme="majorEastAsia" w:hAnsiTheme="majorHAnsi" w:cstheme="majorBidi"/>
      <w:color w:val="2F5496" w:themeColor="accent1" w:themeShade="BF"/>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character" w:customStyle="1" w:styleId="Heading5Char">
    <w:name w:val="Heading 5 Char"/>
    <w:basedOn w:val="DefaultParagraphFont"/>
    <w:link w:val="Heading5"/>
    <w:uiPriority w:val="9"/>
    <w:semiHidden/>
    <w:rsid w:val="00195CB9"/>
    <w:rPr>
      <w:rFonts w:asciiTheme="majorHAnsi" w:eastAsiaTheme="majorEastAsia" w:hAnsiTheme="majorHAnsi" w:cstheme="majorBidi"/>
      <w:color w:val="2F5496" w:themeColor="accent1" w:themeShade="BF"/>
      <w:lang w:val="en-GB" w:eastAsia="zh-CN"/>
    </w:rPr>
  </w:style>
  <w:style w:type="paragraph" w:customStyle="1" w:styleId="form-control-static">
    <w:name w:val="form-control-static"/>
    <w:basedOn w:val="Normal"/>
    <w:rsid w:val="00BE35DF"/>
    <w:pPr>
      <w:shd w:val="clear" w:color="auto" w:fill="auto"/>
      <w:spacing w:before="100" w:beforeAutospacing="1" w:after="100" w:afterAutospacing="1" w:line="240" w:lineRule="auto"/>
    </w:pPr>
    <w:rPr>
      <w:rFonts w:ascii="Times New Roman" w:hAnsi="Times New Roman" w:cs="Times New Roman"/>
      <w:color w:val="auto"/>
      <w:sz w:val="24"/>
      <w:szCs w:val="24"/>
      <w:lang w:val="en-GB"/>
    </w:rPr>
  </w:style>
  <w:style w:type="paragraph" w:customStyle="1" w:styleId="paragraph">
    <w:name w:val="paragraph"/>
    <w:basedOn w:val="Normal"/>
    <w:rsid w:val="00BE35DF"/>
    <w:pPr>
      <w:shd w:val="clear" w:color="auto" w:fill="auto"/>
      <w:spacing w:before="100" w:beforeAutospacing="1" w:after="100" w:afterAutospacing="1" w:line="240" w:lineRule="auto"/>
    </w:pPr>
    <w:rPr>
      <w:rFonts w:ascii="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map.org/node/5552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ackingsdg7.esmap.org/"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nk.worldbank.org/source/world-development-indicators" TargetMode="Externa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hyperlink" Target="http://trackingenergy4all.worldbank.org" TargetMode="External"/><Relationship Id="rId4" Type="http://schemas.openxmlformats.org/officeDocument/2006/relationships/webSettings" Target="webSettings.xml"/><Relationship Id="rId9" Type="http://schemas.openxmlformats.org/officeDocument/2006/relationships/hyperlink" Target="http://trackingenergy4all.worldbank.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D729EF"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D729EF"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D729EF"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D729EF"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D7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Pages>9</Pages>
  <Words>2499</Words>
  <Characters>14247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19</cp:revision>
  <dcterms:created xsi:type="dcterms:W3CDTF">2020-10-22T21:03:00Z</dcterms:created>
  <dcterms:modified xsi:type="dcterms:W3CDTF">2020-11-19T18:44:00Z</dcterms:modified>
</cp:coreProperties>
</file>