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DD7AF8E" w:rsidR="00281303" w:rsidRDefault="00B36A98"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A77AA4D" w:rsidR="009C300C" w:rsidRPr="00BE72CB" w:rsidRDefault="00B36A98" w:rsidP="00B146BE">
            <w:pPr>
              <w:pStyle w:val="MGTHeader"/>
            </w:pPr>
            <w:r w:rsidRPr="0018642E">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D07142D" w:rsidR="009C300C" w:rsidRPr="009F305C" w:rsidRDefault="00B36A98" w:rsidP="00B146BE">
            <w:pPr>
              <w:pStyle w:val="MGTHeader"/>
            </w:pPr>
            <w:r w:rsidRPr="0018642E">
              <w:t>Target: 7.</w:t>
            </w:r>
            <w:r>
              <w:t>b</w:t>
            </w:r>
            <w:r w:rsidRPr="0018642E">
              <w:t xml:space="preserve">. </w:t>
            </w:r>
            <w:r w:rsidRPr="00B547CB">
              <w:t xml:space="preserve">By 2030, expand infrastructure and upgrade technology for supplying </w:t>
            </w:r>
            <w:bookmarkStart w:id="7" w:name="_Hlk14647163"/>
            <w:r w:rsidRPr="00B547CB">
              <w:t>modern and sustainable energy services</w:t>
            </w:r>
            <w:bookmarkEnd w:id="7"/>
            <w:r w:rsidRPr="00B547CB">
              <w:t xml:space="preserve"> for all in developing countries, in particular least developed countries, small island developing </w:t>
            </w:r>
            <w:r>
              <w:t>s</w:t>
            </w:r>
            <w:r w:rsidRPr="00B547CB">
              <w:t>tates and landlocked developing countries, in accordance with their respective programmes of support</w:t>
            </w:r>
            <w:r w:rsidRPr="0018642E">
              <w: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AB498BB" w:rsidR="009C300C" w:rsidRPr="00BE72CB" w:rsidRDefault="00B36A98" w:rsidP="009C46D0">
            <w:pPr>
              <w:pStyle w:val="MIndHeader"/>
            </w:pPr>
            <w:r w:rsidRPr="00234CA8">
              <w:t xml:space="preserve">Indicator: 7.b.1: Installed </w:t>
            </w:r>
            <w:bookmarkStart w:id="8" w:name="_Hlk14638876"/>
            <w:r w:rsidRPr="00234CA8">
              <w:t xml:space="preserve">renewable </w:t>
            </w:r>
            <w:r>
              <w:t>energy-</w:t>
            </w:r>
            <w:r w:rsidRPr="00234CA8">
              <w:t xml:space="preserve">generating capacity </w:t>
            </w:r>
            <w:bookmarkEnd w:id="8"/>
            <w:r w:rsidRPr="00234CA8">
              <w:t xml:space="preserve">in developing countries (in </w:t>
            </w:r>
            <w:r>
              <w:t>w</w:t>
            </w:r>
            <w:r w:rsidRPr="00234CA8">
              <w:t>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18CD2F5" w:rsidR="009C300C" w:rsidRPr="00B36A98" w:rsidRDefault="00B36A98" w:rsidP="00B146BE">
            <w:pPr>
              <w:pStyle w:val="Header"/>
              <w:rPr>
                <w:sz w:val="18"/>
                <w:szCs w:val="18"/>
              </w:rPr>
            </w:pPr>
            <w:r>
              <w:rPr>
                <w:sz w:val="18"/>
                <w:szCs w:val="18"/>
              </w:rPr>
              <w:t>Last updated: May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A274DE4" w14:textId="77777777" w:rsidR="00833C58" w:rsidRPr="00573631" w:rsidRDefault="00833C58" w:rsidP="00B146BE">
            <w:pPr>
              <w:pStyle w:val="MHeader"/>
            </w:pPr>
            <w:r w:rsidRPr="00573631">
              <w:t>Related indicators</w:t>
            </w:r>
          </w:p>
          <w:p w14:paraId="6EA656A1" w14:textId="51E865EC" w:rsidR="009C300C" w:rsidRPr="009F305C" w:rsidRDefault="00833C58" w:rsidP="00B146BE">
            <w:r>
              <w:rPr>
                <w:rFonts w:cs="Times New Roman"/>
              </w:rPr>
              <w:t>Not applicable.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9" w:name="_Toc36655609"/>
            <w:bookmarkStart w:id="10" w:name="_Toc36812572"/>
            <w:bookmarkStart w:id="11" w:name="_Toc36812685"/>
            <w:bookmarkStart w:id="12" w:name="_Toc36813072"/>
            <w:bookmarkStart w:id="13" w:name="_Toc37932744"/>
            <w:r w:rsidRPr="00AF2FE1">
              <w:t>1. Data reporter</w:t>
            </w:r>
            <w:bookmarkEnd w:id="9"/>
            <w:bookmarkEnd w:id="10"/>
            <w:bookmarkEnd w:id="11"/>
            <w:bookmarkEnd w:id="12"/>
            <w:bookmarkEnd w:id="13"/>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4" w:name="_Toc36655610"/>
            <w:bookmarkStart w:id="15" w:name="_Toc36812573"/>
            <w:bookmarkStart w:id="16" w:name="_Toc36812686"/>
            <w:bookmarkStart w:id="17" w:name="_Toc36813073"/>
            <w:bookmarkStart w:id="18" w:name="_Toc37932745"/>
            <w:r w:rsidRPr="00AF2FE1">
              <w:t>2. Definition, concepts, and classifications</w:t>
            </w:r>
            <w:bookmarkEnd w:id="14"/>
            <w:bookmarkEnd w:id="15"/>
            <w:bookmarkEnd w:id="16"/>
            <w:bookmarkEnd w:id="17"/>
            <w:bookmarkEnd w:id="18"/>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9" w:name="_Hlk14638896"/>
            <w:r>
              <w:t xml:space="preserve">Electricity capacity is defined in the International Recommendations for Energy Statistics or IRES (UN, 2018) as the </w:t>
            </w:r>
            <w:bookmarkEnd w:id="19"/>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lastRenderedPageBreak/>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77777777" w:rsidR="00DA6558" w:rsidRDefault="00DA6558" w:rsidP="00117BE7">
            <w:pPr>
              <w:pStyle w:val="MText"/>
            </w:pPr>
            <w:r>
              <w:lastRenderedPageBreak/>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r>
          </w:p>
          <w:p w14:paraId="571CC4FE" w14:textId="77777777" w:rsidR="00DA6558" w:rsidRDefault="00DA6558" w:rsidP="00117BE7">
            <w:pPr>
              <w:pStyle w:val="MText"/>
            </w:pPr>
          </w:p>
          <w:p w14:paraId="05BE3006" w14:textId="77777777" w:rsidR="00DA6558" w:rsidRDefault="00DA6558" w:rsidP="00117BE7">
            <w:pPr>
              <w:pStyle w:val="MText"/>
            </w:pPr>
            <w:r>
              <w:t>The World Bank publishes more information about this indicator in their metadata:</w:t>
            </w:r>
          </w:p>
          <w:p w14:paraId="7825E3F0" w14:textId="62ED69F6" w:rsidR="009C300C" w:rsidRPr="00DA6558" w:rsidRDefault="009C46D0" w:rsidP="00A13F90">
            <w:pPr>
              <w:rPr>
                <w:rFonts w:cs="Times New Roman"/>
              </w:rPr>
            </w:pPr>
            <w:hyperlink r:id="rId6" w:history="1">
              <w:r w:rsidR="00DA6558" w:rsidRPr="009B0446">
                <w:rPr>
                  <w:rStyle w:val="Hyperlink"/>
                </w:rPr>
                <w:t>https://databank.worldbank.org/reports.aspx?source=2&amp;type=metadata&amp;series=SP.POP.TOTL</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2D7910C" w14:textId="77777777" w:rsidR="003001AD" w:rsidRPr="00B67C29" w:rsidRDefault="003001AD" w:rsidP="008A2D6A">
            <w:pPr>
              <w:pStyle w:val="MText"/>
            </w:pPr>
            <w:r>
              <w:t>The World Bank consolidates and publishes population data coming from the following data providers:</w:t>
            </w:r>
          </w:p>
          <w:p w14:paraId="22E42BA3" w14:textId="77777777" w:rsidR="003001AD" w:rsidRDefault="003001AD" w:rsidP="008A2D6A">
            <w:pPr>
              <w:pStyle w:val="MText"/>
              <w:numPr>
                <w:ilvl w:val="0"/>
                <w:numId w:val="32"/>
              </w:numPr>
            </w:pPr>
            <w:r w:rsidRPr="00B67C29">
              <w:t xml:space="preserve">United Nations Population Division. World Population Prospects. </w:t>
            </w:r>
          </w:p>
          <w:p w14:paraId="266AE17D" w14:textId="77777777" w:rsidR="003001AD" w:rsidRDefault="003001AD" w:rsidP="008A2D6A">
            <w:pPr>
              <w:pStyle w:val="MText"/>
              <w:numPr>
                <w:ilvl w:val="0"/>
                <w:numId w:val="32"/>
              </w:numPr>
            </w:pPr>
            <w:r w:rsidRPr="00B67C29">
              <w:t>Census reports and other statistical publications from national statistical offices</w:t>
            </w:r>
          </w:p>
          <w:p w14:paraId="6D5937A6" w14:textId="77777777" w:rsidR="003001AD" w:rsidRDefault="003001AD" w:rsidP="008A2D6A">
            <w:pPr>
              <w:pStyle w:val="MText"/>
              <w:numPr>
                <w:ilvl w:val="0"/>
                <w:numId w:val="32"/>
              </w:numPr>
            </w:pPr>
            <w:r w:rsidRPr="00B67C29">
              <w:t>Eurostat: Demographic Statistics</w:t>
            </w:r>
          </w:p>
          <w:p w14:paraId="12B8C0D6" w14:textId="77777777" w:rsidR="003001AD" w:rsidRDefault="003001AD" w:rsidP="008A2D6A">
            <w:pPr>
              <w:pStyle w:val="MText"/>
              <w:numPr>
                <w:ilvl w:val="0"/>
                <w:numId w:val="32"/>
              </w:numPr>
            </w:pPr>
            <w:r w:rsidRPr="00B67C29">
              <w:t>United Nations Statistical Division. Population and Vital Statistics Rep</w:t>
            </w:r>
            <w:r>
              <w:t>ort</w:t>
            </w:r>
          </w:p>
          <w:p w14:paraId="54CA8A03" w14:textId="77777777" w:rsidR="003001AD" w:rsidRDefault="003001AD" w:rsidP="008A2D6A">
            <w:pPr>
              <w:pStyle w:val="MText"/>
              <w:numPr>
                <w:ilvl w:val="0"/>
                <w:numId w:val="32"/>
              </w:numPr>
            </w:pPr>
            <w:r>
              <w:t>U</w:t>
            </w:r>
            <w:r w:rsidRPr="00B67C29">
              <w:t>.S. Census Bureau: International Database</w:t>
            </w:r>
          </w:p>
          <w:p w14:paraId="0C575E97" w14:textId="6EFB5024" w:rsidR="003001AD" w:rsidRPr="005E6457" w:rsidRDefault="003001AD" w:rsidP="005E6457">
            <w:pPr>
              <w:pStyle w:val="MText"/>
              <w:numPr>
                <w:ilvl w:val="0"/>
                <w:numId w:val="32"/>
              </w:numPr>
            </w:pPr>
            <w:r w:rsidRPr="00B67C29">
              <w:t>Secretariat of the Pacific Community: Statistics and Demography Programme.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lastRenderedPageBreak/>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lastRenderedPageBreak/>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2B27B930" w:rsidR="009C300C" w:rsidRPr="009F305C" w:rsidRDefault="00B36A98" w:rsidP="00331324">
            <w:pPr>
              <w:pStyle w:val="MText"/>
            </w:pPr>
            <w:r>
              <w:t>For each country and year, the renewable electricity generating capacity at the end of the year is divided by the total population of the country in that year.</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577B21" w:rsidRDefault="00B36A98" w:rsidP="00577B21">
            <w:pPr>
              <w:pStyle w:val="MText"/>
              <w:numPr>
                <w:ilvl w:val="0"/>
                <w:numId w:val="33"/>
              </w:numPr>
              <w:rPr>
                <w:b/>
                <w:bCs/>
              </w:rPr>
            </w:pPr>
            <w:r w:rsidRPr="00577B21">
              <w:rPr>
                <w:b/>
                <w:bCs/>
              </w:rPr>
              <w:t>At country level</w:t>
            </w:r>
            <w:r w:rsidR="00577B21">
              <w:rPr>
                <w:b/>
                <w:b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lastRenderedPageBreak/>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61C288AD" w:rsidR="00B36A98" w:rsidRPr="00117796" w:rsidRDefault="00117796" w:rsidP="00117796">
            <w:pPr>
              <w:pStyle w:val="MText"/>
            </w:pPr>
            <w:r>
              <w:t xml:space="preserve">2. </w:t>
            </w:r>
            <w:r w:rsidR="00B36A98" w:rsidRPr="00117796">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7200FD6B" w14:textId="77777777" w:rsidR="00B36A98" w:rsidRPr="00573631" w:rsidRDefault="00B36A98" w:rsidP="00B36A98">
            <w:pPr>
              <w:ind w:left="495"/>
              <w:rPr>
                <w:rFonts w:cs="Times New Roman"/>
              </w:rPr>
            </w:pPr>
          </w:p>
          <w:p w14:paraId="2B06ECFB" w14:textId="6EEA18BA" w:rsidR="00B36A98" w:rsidRPr="00117796" w:rsidRDefault="00B36A98" w:rsidP="00117796">
            <w:pPr>
              <w:pStyle w:val="MText"/>
              <w:numPr>
                <w:ilvl w:val="0"/>
                <w:numId w:val="33"/>
              </w:numPr>
              <w:rPr>
                <w:b/>
                <w:bCs/>
              </w:rPr>
            </w:pPr>
            <w:r w:rsidRPr="00117796">
              <w:rPr>
                <w:b/>
                <w:bCs/>
              </w:rPr>
              <w:t>At regional and global levels</w:t>
            </w:r>
            <w:r w:rsidR="00117796" w:rsidRPr="00117796">
              <w:rPr>
                <w:b/>
                <w:bCs/>
              </w:rPr>
              <w:t>:</w:t>
            </w:r>
          </w:p>
          <w:p w14:paraId="3FD951A2" w14:textId="0C2CA3C0" w:rsidR="009C300C" w:rsidRPr="009F305C" w:rsidRDefault="00B36A98" w:rsidP="00117796">
            <w:pPr>
              <w:pStyle w:val="MText"/>
            </w:pPr>
            <w:r>
              <w:t xml:space="preserve">See above. Regional and global totals 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3D5B0C72" w14:textId="40D9218C" w:rsidR="009C300C" w:rsidRPr="009F305C" w:rsidRDefault="00B36A98" w:rsidP="000F6F7C">
            <w:pPr>
              <w:pStyle w:val="MText"/>
            </w:pPr>
            <w:r>
              <w:t>Regional and global totals are calculated by summing the renewable generating capacity for a region or the World and dividing that by the corresponding figure for total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lastRenderedPageBreak/>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lastRenderedPageBreak/>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7C5D"/>
    <w:rsid w:val="000473AF"/>
    <w:rsid w:val="00072FC0"/>
    <w:rsid w:val="000A1682"/>
    <w:rsid w:val="000F6F7C"/>
    <w:rsid w:val="00117796"/>
    <w:rsid w:val="00117BE7"/>
    <w:rsid w:val="001A2A7E"/>
    <w:rsid w:val="0020364C"/>
    <w:rsid w:val="0020532C"/>
    <w:rsid w:val="0023460C"/>
    <w:rsid w:val="00246C95"/>
    <w:rsid w:val="00255F1F"/>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77B21"/>
    <w:rsid w:val="00583CC6"/>
    <w:rsid w:val="00587481"/>
    <w:rsid w:val="005E1F5E"/>
    <w:rsid w:val="005E6457"/>
    <w:rsid w:val="006126A9"/>
    <w:rsid w:val="00633333"/>
    <w:rsid w:val="006445B3"/>
    <w:rsid w:val="00656B67"/>
    <w:rsid w:val="00712078"/>
    <w:rsid w:val="00791AA9"/>
    <w:rsid w:val="00803258"/>
    <w:rsid w:val="00833C58"/>
    <w:rsid w:val="00856714"/>
    <w:rsid w:val="008628AA"/>
    <w:rsid w:val="00870DFF"/>
    <w:rsid w:val="008A2D6A"/>
    <w:rsid w:val="008D1210"/>
    <w:rsid w:val="00937F08"/>
    <w:rsid w:val="00975E06"/>
    <w:rsid w:val="00984D84"/>
    <w:rsid w:val="009862DA"/>
    <w:rsid w:val="009B768A"/>
    <w:rsid w:val="009C300C"/>
    <w:rsid w:val="009C46D0"/>
    <w:rsid w:val="009F157A"/>
    <w:rsid w:val="00A10855"/>
    <w:rsid w:val="00A13F90"/>
    <w:rsid w:val="00A1738D"/>
    <w:rsid w:val="00A66924"/>
    <w:rsid w:val="00A71707"/>
    <w:rsid w:val="00B146BE"/>
    <w:rsid w:val="00B36A98"/>
    <w:rsid w:val="00BA6FEF"/>
    <w:rsid w:val="00BB1074"/>
    <w:rsid w:val="00BC2F94"/>
    <w:rsid w:val="00BD17B1"/>
    <w:rsid w:val="00BE2604"/>
    <w:rsid w:val="00BE72CB"/>
    <w:rsid w:val="00C0524B"/>
    <w:rsid w:val="00C25BBC"/>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reports.aspx?source=2&amp;type=metadata&amp;series=SP.POP.TOT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2020-09-24T20:36:00Z</dcterms:created>
  <dcterms:modified xsi:type="dcterms:W3CDTF">2020-09-24T21:43:00Z</dcterms:modified>
</cp:coreProperties>
</file>