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DD7AF8E" w:rsidR="00281303" w:rsidRDefault="00B36A98"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A77AA4D" w:rsidR="009C300C" w:rsidRPr="00BE72CB" w:rsidRDefault="00B36A98" w:rsidP="00B146BE">
            <w:pPr>
              <w:pStyle w:val="MGTHeader"/>
            </w:pPr>
            <w:r w:rsidRPr="0018642E">
              <w:t>Goal: 7. Ensure access to affordable, reliable, sustainable and modern energy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D07142D" w:rsidR="009C300C" w:rsidRPr="009F305C" w:rsidRDefault="00B36A98" w:rsidP="00CA7ECF">
            <w:pPr>
              <w:pStyle w:val="MGTHeader"/>
              <w:jc w:val="left"/>
            </w:pPr>
            <w:r w:rsidRPr="0018642E">
              <w:t>Target: 7.</w:t>
            </w:r>
            <w:r>
              <w:t>b</w:t>
            </w:r>
            <w:r w:rsidRPr="0018642E">
              <w:t xml:space="preserve">. </w:t>
            </w:r>
            <w:r w:rsidRPr="00B547CB">
              <w:t xml:space="preserve">By 2030, expand infrastructure and upgrade technology for supplying </w:t>
            </w:r>
            <w:bookmarkStart w:id="7" w:name="_Hlk14647163"/>
            <w:r w:rsidRPr="00B547CB">
              <w:t>modern and sustainable energy services</w:t>
            </w:r>
            <w:bookmarkEnd w:id="7"/>
            <w:r w:rsidRPr="00B547CB">
              <w:t xml:space="preserve"> for all in developing countries, in particular least developed countries, small island developing </w:t>
            </w:r>
            <w:r>
              <w:t>s</w:t>
            </w:r>
            <w:r w:rsidRPr="00B547CB">
              <w:t>tates and landlocked developing countries, in accordance with their respective programmes of support</w:t>
            </w:r>
            <w:r w:rsidRPr="0018642E">
              <w: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AB498BB" w:rsidR="009C300C" w:rsidRPr="00BE72CB" w:rsidRDefault="00B36A98" w:rsidP="009C46D0">
            <w:pPr>
              <w:pStyle w:val="MIndHeader"/>
            </w:pPr>
            <w:r w:rsidRPr="00234CA8">
              <w:t xml:space="preserve">Indicator: 7.b.1: Installed </w:t>
            </w:r>
            <w:bookmarkStart w:id="8" w:name="_Hlk14638876"/>
            <w:r w:rsidRPr="00234CA8">
              <w:t xml:space="preserve">renewable </w:t>
            </w:r>
            <w:r>
              <w:t>energy-</w:t>
            </w:r>
            <w:r w:rsidRPr="00234CA8">
              <w:t xml:space="preserve">generating capacity </w:t>
            </w:r>
            <w:bookmarkEnd w:id="8"/>
            <w:r w:rsidRPr="00234CA8">
              <w:t xml:space="preserve">in developing countries (in </w:t>
            </w:r>
            <w:r>
              <w:t>w</w:t>
            </w:r>
            <w:r w:rsidRPr="00234CA8">
              <w:t>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5766BE28" w:rsidR="009C300C" w:rsidRPr="00B36A98" w:rsidRDefault="00B36A98" w:rsidP="00B146BE">
            <w:pPr>
              <w:pStyle w:val="Header"/>
              <w:rPr>
                <w:sz w:val="18"/>
                <w:szCs w:val="18"/>
              </w:rPr>
            </w:pPr>
            <w:r>
              <w:rPr>
                <w:sz w:val="18"/>
                <w:szCs w:val="18"/>
              </w:rPr>
              <w:t xml:space="preserve">Last updated: </w:t>
            </w:r>
            <w:r w:rsidR="00280DFF">
              <w:rPr>
                <w:sz w:val="18"/>
                <w:szCs w:val="18"/>
              </w:rPr>
              <w:t>September</w:t>
            </w:r>
            <w:r w:rsidR="00280DFF">
              <w:rPr>
                <w:sz w:val="18"/>
                <w:szCs w:val="18"/>
              </w:rPr>
              <w:t xml:space="preserve"> </w:t>
            </w:r>
            <w:r>
              <w:rPr>
                <w:sz w:val="18"/>
                <w:szCs w:val="18"/>
              </w:rPr>
              <w:t>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A274DE4" w14:textId="77777777" w:rsidR="00833C58" w:rsidRPr="00573631" w:rsidRDefault="00833C58" w:rsidP="00B146BE">
            <w:pPr>
              <w:pStyle w:val="MHeader"/>
            </w:pPr>
            <w:r w:rsidRPr="00573631">
              <w:t>Related indicators</w:t>
            </w:r>
          </w:p>
          <w:p w14:paraId="6EA656A1" w14:textId="51E865EC" w:rsidR="009C300C" w:rsidRPr="009F305C" w:rsidRDefault="00833C58" w:rsidP="00B146BE">
            <w:r>
              <w:rPr>
                <w:rFonts w:cs="Times New Roman"/>
              </w:rPr>
              <w:t>Not applicable.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9" w:name="_Toc36655609"/>
            <w:bookmarkStart w:id="10" w:name="_Toc36812572"/>
            <w:bookmarkStart w:id="11" w:name="_Toc36812685"/>
            <w:bookmarkStart w:id="12" w:name="_Toc36813072"/>
            <w:bookmarkStart w:id="13" w:name="_Toc37932744"/>
            <w:r w:rsidRPr="00AF2FE1">
              <w:t>1. Data reporter</w:t>
            </w:r>
            <w:bookmarkEnd w:id="9"/>
            <w:bookmarkEnd w:id="10"/>
            <w:bookmarkEnd w:id="11"/>
            <w:bookmarkEnd w:id="12"/>
            <w:bookmarkEnd w:id="13"/>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4" w:name="_Toc36655610"/>
            <w:bookmarkStart w:id="15" w:name="_Toc36812573"/>
            <w:bookmarkStart w:id="16" w:name="_Toc36812686"/>
            <w:bookmarkStart w:id="17" w:name="_Toc36813073"/>
            <w:bookmarkStart w:id="18" w:name="_Toc37932745"/>
            <w:r w:rsidRPr="00AF2FE1">
              <w:t>2. Definition, concepts, and classifications</w:t>
            </w:r>
            <w:bookmarkEnd w:id="14"/>
            <w:bookmarkEnd w:id="15"/>
            <w:bookmarkEnd w:id="16"/>
            <w:bookmarkEnd w:id="17"/>
            <w:bookmarkEnd w:id="18"/>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9" w:name="_Hlk14638896"/>
            <w:r>
              <w:t xml:space="preserve">Electricity capacity is defined in the International Recommendations for Energy Statistics or IRES (UN, 2018) as the </w:t>
            </w:r>
            <w:bookmarkEnd w:id="19"/>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lastRenderedPageBreak/>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1D607F1D" w:rsidR="00DA6558" w:rsidRDefault="00DA6558" w:rsidP="00117BE7">
            <w:pPr>
              <w:pStyle w:val="MText"/>
            </w:pPr>
            <w:r>
              <w:lastRenderedPageBreak/>
              <w:t>For the population part of this indicator, IRENA uses</w:t>
            </w:r>
            <w:r w:rsidR="007B308A">
              <w:t xml:space="preserve"> </w:t>
            </w:r>
            <w:r w:rsidR="007B308A">
              <w:t>population data from the United Nations World Population Prospects</w:t>
            </w:r>
            <w:r w:rsidR="007B308A">
              <w:t>.</w:t>
            </w:r>
            <w:r>
              <w:t xml:space="preserve"> The </w:t>
            </w:r>
            <w:r w:rsidR="007B308A">
              <w:t xml:space="preserve">population data </w:t>
            </w:r>
            <w:r>
              <w:t>reflects the residents in a country or area regardless of legal status or citizenship. The values are midyear estimates.</w:t>
            </w:r>
          </w:p>
          <w:p w14:paraId="571CC4FE" w14:textId="4E4B6459" w:rsidR="00DA6558" w:rsidRDefault="00DA6558" w:rsidP="00117BE7">
            <w:pPr>
              <w:pStyle w:val="MText"/>
            </w:pPr>
          </w:p>
          <w:p w14:paraId="16CA65FE" w14:textId="77777777" w:rsidR="007B308A" w:rsidRDefault="007B308A" w:rsidP="007B308A">
            <w:pPr>
              <w:rPr>
                <w:rFonts w:cs="Times New Roman"/>
              </w:rPr>
            </w:pPr>
            <w:r>
              <w:rPr>
                <w:rFonts w:cs="Times New Roman"/>
              </w:rPr>
              <w:t>The United Nations Department of Economic and Social Affairs published information about their methodology on the link below:</w:t>
            </w:r>
          </w:p>
          <w:p w14:paraId="7825E3F0" w14:textId="30180753" w:rsidR="009C300C" w:rsidRPr="00DA6558" w:rsidRDefault="007B308A" w:rsidP="00CA7ECF">
            <w:pPr>
              <w:rPr>
                <w:rFonts w:cs="Times New Roman"/>
              </w:rPr>
            </w:pPr>
            <w:hyperlink r:id="rId6" w:history="1">
              <w:r w:rsidRPr="007B308A">
                <w:rPr>
                  <w:rStyle w:val="Hyperlink"/>
                  <w:rFonts w:cs="Times New Roman"/>
                </w:rPr>
                <w:t>https://population.un.org/wpp/Methodology/</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C575E97" w14:textId="160C8F86" w:rsidR="003001AD" w:rsidRPr="005E6457" w:rsidRDefault="006B373E" w:rsidP="00CA7ECF">
            <w:pPr>
              <w:pStyle w:val="MText"/>
            </w:pPr>
            <w:r w:rsidRPr="00CF4F95">
              <w:t>United Nations Population Division. World Population Prospects.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w:t>
            </w:r>
            <w:r>
              <w:lastRenderedPageBreak/>
              <w:t xml:space="preserve">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w:t>
            </w:r>
            <w:r>
              <w:lastRenderedPageBreak/>
              <w:t xml:space="preserve">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7AEAB96E" w:rsidR="009C300C" w:rsidRPr="009F305C" w:rsidRDefault="00B36A98" w:rsidP="00331324">
            <w:pPr>
              <w:pStyle w:val="MText"/>
            </w:pPr>
            <w:r>
              <w:t xml:space="preserve">For each country and year, the renewable electricity generating capacity at the end of the year is divided by the total population of the country </w:t>
            </w:r>
            <w:r w:rsidR="00280DFF">
              <w:t>as of mid-year (July 1</w:t>
            </w:r>
            <w:r w:rsidR="00280DFF" w:rsidRPr="00CF4F95">
              <w:rPr>
                <w:vertAlign w:val="superscript"/>
              </w:rPr>
              <w:t>st</w:t>
            </w:r>
            <w:r w:rsidR="00280DFF">
              <w:t>)</w:t>
            </w:r>
            <w:r>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182FCB" w:rsidRDefault="00B36A98" w:rsidP="00577B21">
            <w:pPr>
              <w:pStyle w:val="MText"/>
              <w:numPr>
                <w:ilvl w:val="0"/>
                <w:numId w:val="33"/>
              </w:numPr>
              <w:rPr>
                <w:b/>
                <w:bCs/>
                <w:i/>
                <w:iCs/>
              </w:rPr>
            </w:pPr>
            <w:r w:rsidRPr="00182FCB">
              <w:rPr>
                <w:b/>
                <w:bCs/>
                <w:i/>
                <w:iCs/>
              </w:rPr>
              <w:t>At country level</w:t>
            </w:r>
            <w:r w:rsidR="00577B21" w:rsidRPr="00182FCB">
              <w:rPr>
                <w:b/>
                <w:bCs/>
                <w:i/>
                <w:i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65F6BE7F" w:rsidR="00B36A98" w:rsidRDefault="00117796" w:rsidP="00117796">
            <w:pPr>
              <w:pStyle w:val="MText"/>
            </w:pPr>
            <w:r>
              <w:t xml:space="preserve">2. </w:t>
            </w:r>
            <w:r w:rsidR="00B36A98" w:rsidRPr="00117796">
              <w:t xml:space="preserve">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w:t>
            </w:r>
            <w:r w:rsidR="00B36A98" w:rsidRPr="00117796">
              <w:lastRenderedPageBreak/>
              <w:t>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45F6F4CA" w14:textId="2E19D462" w:rsidR="00280DFF" w:rsidRDefault="00280DFF" w:rsidP="00117796">
            <w:pPr>
              <w:pStyle w:val="MText"/>
            </w:pPr>
          </w:p>
          <w:p w14:paraId="76B3A296" w14:textId="77777777" w:rsidR="00280DFF" w:rsidRPr="00CF4F95" w:rsidRDefault="00280DFF" w:rsidP="00280DFF">
            <w:pPr>
              <w:rPr>
                <w:rFonts w:cs="Times New Roman"/>
              </w:rPr>
            </w:pPr>
            <w:r>
              <w:rPr>
                <w:rFonts w:cs="Times New Roman"/>
              </w:rPr>
              <w:t xml:space="preserve">When capacity data is missing, mostly in non-state territories, these are excluded from the dataset. </w:t>
            </w:r>
          </w:p>
          <w:p w14:paraId="7200FD6B" w14:textId="77777777" w:rsidR="00B36A98" w:rsidRPr="00573631" w:rsidRDefault="00B36A98" w:rsidP="00B36A98">
            <w:pPr>
              <w:ind w:left="495"/>
              <w:rPr>
                <w:rFonts w:cs="Times New Roman"/>
              </w:rPr>
            </w:pPr>
          </w:p>
          <w:p w14:paraId="2B06ECFB" w14:textId="6EEA18BA" w:rsidR="00B36A98" w:rsidRPr="00182FCB" w:rsidRDefault="00B36A98" w:rsidP="00117796">
            <w:pPr>
              <w:pStyle w:val="MText"/>
              <w:numPr>
                <w:ilvl w:val="0"/>
                <w:numId w:val="33"/>
              </w:numPr>
              <w:rPr>
                <w:b/>
                <w:bCs/>
                <w:i/>
                <w:iCs/>
              </w:rPr>
            </w:pPr>
            <w:r w:rsidRPr="00182FCB">
              <w:rPr>
                <w:b/>
                <w:bCs/>
                <w:i/>
                <w:iCs/>
              </w:rPr>
              <w:t>At regional and global levels</w:t>
            </w:r>
            <w:r w:rsidR="00117796" w:rsidRPr="00182FCB">
              <w:rPr>
                <w:b/>
                <w:bCs/>
                <w:i/>
                <w:iCs/>
              </w:rPr>
              <w:t>:</w:t>
            </w:r>
          </w:p>
          <w:p w14:paraId="3FD951A2" w14:textId="0C2CA3C0" w:rsidR="009C300C" w:rsidRPr="009F305C" w:rsidRDefault="00B36A98" w:rsidP="00117796">
            <w:pPr>
              <w:pStyle w:val="MText"/>
            </w:pPr>
            <w:r>
              <w:t xml:space="preserve">See above. Regional and global totals 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340AA0BB" w14:textId="19D8A22E" w:rsidR="00280DFF" w:rsidRDefault="00B36A98" w:rsidP="00280DFF">
            <w:pPr>
              <w:rPr>
                <w:rFonts w:cs="Times New Roman"/>
              </w:rPr>
            </w:pPr>
            <w:r>
              <w:t xml:space="preserve">Regional and global </w:t>
            </w:r>
            <w:r w:rsidR="00280DFF">
              <w:t>averages</w:t>
            </w:r>
            <w:r w:rsidR="00280DFF">
              <w:t xml:space="preserve"> </w:t>
            </w:r>
            <w:r>
              <w:t>are calculated by summing the renewable generating capacity for a region or the World and dividing that by the corresponding figure for total population.</w:t>
            </w:r>
            <w:r w:rsidR="00280DFF">
              <w:t xml:space="preserve"> </w:t>
            </w:r>
            <w:r w:rsidR="00280DFF">
              <w:rPr>
                <w:rFonts w:cs="Times New Roman"/>
              </w:rPr>
              <w:t>The indicator is for developing countries only, so these regional aggregates (averages) also reflect only the average for the developing countries in each region.</w:t>
            </w:r>
          </w:p>
          <w:p w14:paraId="16C504DF" w14:textId="77777777" w:rsidR="00280DFF" w:rsidRDefault="00280DFF" w:rsidP="00280DFF">
            <w:pPr>
              <w:rPr>
                <w:rFonts w:cs="Times New Roman"/>
              </w:rPr>
            </w:pPr>
          </w:p>
          <w:p w14:paraId="3D5B0C72" w14:textId="5C136099" w:rsidR="009C300C" w:rsidRPr="009F305C" w:rsidRDefault="00280DFF" w:rsidP="00CA7ECF">
            <w:r>
              <w:rPr>
                <w:rFonts w:cs="Times New Roman"/>
              </w:rPr>
              <w:t>This calculation excludes the population of those countries and/or territories that have missing capacity data. As such, the regional and global population values used in the calculation might differ from those reported in the UN World Population Prospects.</w:t>
            </w:r>
            <w:r w:rsidRPr="00573631">
              <w:rPr>
                <w:rFonts w:cs="Times New Roman"/>
              </w:rPr>
              <w:t xml:space="preserve">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t xml:space="preserve">All countries are invited to provide their capacity data or at least review the data that IRENA has compiled (from other official and </w:t>
            </w:r>
            <w:r>
              <w:lastRenderedPageBreak/>
              <w:t>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t>IRENA</w:t>
            </w:r>
            <w:r>
              <w:t xml:space="preserve">’s renewable capacity data is available for every country and area in the world from the year 2000 onwards. These figures can </w:t>
            </w:r>
            <w:r>
              <w:lastRenderedPageBreak/>
              <w:t>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7C5D"/>
    <w:rsid w:val="000473AF"/>
    <w:rsid w:val="00060318"/>
    <w:rsid w:val="00072FC0"/>
    <w:rsid w:val="000A1682"/>
    <w:rsid w:val="000F6F7C"/>
    <w:rsid w:val="00117796"/>
    <w:rsid w:val="00117BE7"/>
    <w:rsid w:val="00182FCB"/>
    <w:rsid w:val="001A2A7E"/>
    <w:rsid w:val="0020364C"/>
    <w:rsid w:val="0020532C"/>
    <w:rsid w:val="0023460C"/>
    <w:rsid w:val="00246C95"/>
    <w:rsid w:val="00255F1F"/>
    <w:rsid w:val="00280DFF"/>
    <w:rsid w:val="00281303"/>
    <w:rsid w:val="00296056"/>
    <w:rsid w:val="002A21CD"/>
    <w:rsid w:val="002E70FC"/>
    <w:rsid w:val="003001AD"/>
    <w:rsid w:val="00331324"/>
    <w:rsid w:val="0034737E"/>
    <w:rsid w:val="00355B4E"/>
    <w:rsid w:val="003C163D"/>
    <w:rsid w:val="00416A79"/>
    <w:rsid w:val="004614FB"/>
    <w:rsid w:val="00473168"/>
    <w:rsid w:val="004836A9"/>
    <w:rsid w:val="004D11AE"/>
    <w:rsid w:val="004E6A35"/>
    <w:rsid w:val="00513CD4"/>
    <w:rsid w:val="00577B21"/>
    <w:rsid w:val="00583CC6"/>
    <w:rsid w:val="00587481"/>
    <w:rsid w:val="005E1F5E"/>
    <w:rsid w:val="005E6457"/>
    <w:rsid w:val="006126A9"/>
    <w:rsid w:val="00633333"/>
    <w:rsid w:val="006445B3"/>
    <w:rsid w:val="00656B67"/>
    <w:rsid w:val="006B373E"/>
    <w:rsid w:val="00712078"/>
    <w:rsid w:val="00791AA9"/>
    <w:rsid w:val="007B308A"/>
    <w:rsid w:val="00803258"/>
    <w:rsid w:val="00833C58"/>
    <w:rsid w:val="00856714"/>
    <w:rsid w:val="008628AA"/>
    <w:rsid w:val="00870DFF"/>
    <w:rsid w:val="008A2D6A"/>
    <w:rsid w:val="008D1210"/>
    <w:rsid w:val="00937F08"/>
    <w:rsid w:val="00975E06"/>
    <w:rsid w:val="00984D84"/>
    <w:rsid w:val="009862DA"/>
    <w:rsid w:val="009B768A"/>
    <w:rsid w:val="009C300C"/>
    <w:rsid w:val="009C46D0"/>
    <w:rsid w:val="009F157A"/>
    <w:rsid w:val="00A10855"/>
    <w:rsid w:val="00A13F90"/>
    <w:rsid w:val="00A1738D"/>
    <w:rsid w:val="00A66924"/>
    <w:rsid w:val="00A71707"/>
    <w:rsid w:val="00AE4095"/>
    <w:rsid w:val="00B146BE"/>
    <w:rsid w:val="00B36A98"/>
    <w:rsid w:val="00BA6FEF"/>
    <w:rsid w:val="00BB1074"/>
    <w:rsid w:val="00BC2F94"/>
    <w:rsid w:val="00BD17B1"/>
    <w:rsid w:val="00BE2604"/>
    <w:rsid w:val="00BE72CB"/>
    <w:rsid w:val="00C0524B"/>
    <w:rsid w:val="00C25BBC"/>
    <w:rsid w:val="00CA0300"/>
    <w:rsid w:val="00CA7ECF"/>
    <w:rsid w:val="00CB32D9"/>
    <w:rsid w:val="00CC3903"/>
    <w:rsid w:val="00CF0023"/>
    <w:rsid w:val="00D22B94"/>
    <w:rsid w:val="00D27518"/>
    <w:rsid w:val="00D706B9"/>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alloonText">
    <w:name w:val="Balloon Text"/>
    <w:basedOn w:val="Normal"/>
    <w:link w:val="BalloonTextChar"/>
    <w:uiPriority w:val="99"/>
    <w:semiHidden/>
    <w:unhideWhenUsed/>
    <w:rsid w:val="00280D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DFF"/>
    <w:rPr>
      <w:rFonts w:ascii="Segoe UI" w:eastAsia="Times New Roman" w:hAnsi="Segoe UI" w:cs="Segoe UI"/>
      <w:color w:val="4A4A4A"/>
      <w:sz w:val="18"/>
      <w:szCs w:val="18"/>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ulation.un.org/wpp/Methodology/"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 w:val="00EA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4</cp:revision>
  <dcterms:created xsi:type="dcterms:W3CDTF">2021-01-06T19:25:00Z</dcterms:created>
  <dcterms:modified xsi:type="dcterms:W3CDTF">2021-01-06T19:27:00Z</dcterms:modified>
</cp:coreProperties>
</file>