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9D5CD15" w:rsidR="006D23F0" w:rsidRPr="007B3641" w:rsidRDefault="006D23F0" w:rsidP="006D23F0">
      <w:r>
        <w:t>1</w:t>
      </w:r>
      <w:r w:rsidR="00AE60B6">
        <w:t>6</w:t>
      </w:r>
      <w:r>
        <w:t xml:space="preserve"> </w:t>
      </w:r>
      <w:r w:rsidRPr="007B3641">
        <w:t>April 2020</w:t>
      </w:r>
    </w:p>
    <w:p w14:paraId="39620957" w14:textId="77777777" w:rsidR="0047091F" w:rsidRPr="007B3641" w:rsidRDefault="0047091F" w:rsidP="0047091F">
      <w:pPr>
        <w:pStyle w:val="MHeader"/>
        <w:outlineLvl w:val="0"/>
      </w:pPr>
      <w:bookmarkStart w:id="0" w:name="_Toc37932741"/>
      <w:r w:rsidRPr="007B3641">
        <w:t>Metadata Attachment</w:t>
      </w:r>
      <w:bookmarkEnd w:id="0"/>
    </w:p>
    <w:p w14:paraId="010D12A5" w14:textId="77777777" w:rsidR="0047091F" w:rsidRPr="007B3641" w:rsidRDefault="0047091F" w:rsidP="0047091F">
      <w:pPr>
        <w:spacing w:after="0"/>
        <w:rPr>
          <w:sz w:val="26"/>
          <w:szCs w:val="26"/>
        </w:rPr>
      </w:pPr>
      <w:r w:rsidRPr="007B3641">
        <w:rPr>
          <w:sz w:val="26"/>
          <w:szCs w:val="26"/>
        </w:rPr>
        <w:t>Reporting type</w:t>
      </w:r>
    </w:p>
    <w:sdt>
      <w:sdtPr>
        <w:alias w:val="Reporting Type"/>
        <w:tag w:val="Reporting Type"/>
        <w:id w:val="-136573180"/>
        <w:placeholder>
          <w:docPart w:val="C6DDA38F2F394B86AAD97ECBBAC287CE"/>
        </w:placeholder>
        <w:dropDownList>
          <w:listItem w:displayText="Global" w:value="G"/>
          <w:listItem w:displayText="National" w:value="N"/>
        </w:dropDownList>
      </w:sdtPr>
      <w:sdtEndPr/>
      <w:sdtContent>
        <w:p w14:paraId="6D90F4B8" w14:textId="5F7718B2" w:rsidR="0047091F" w:rsidRPr="007B3641" w:rsidRDefault="0047091F" w:rsidP="0047091F">
          <w:r w:rsidRPr="007B3641">
            <w:t>Global</w:t>
          </w:r>
        </w:p>
      </w:sdtContent>
    </w:sdt>
    <w:p w14:paraId="6D091A33" w14:textId="77777777" w:rsidR="0047091F" w:rsidRPr="007B3641" w:rsidRDefault="0047091F" w:rsidP="0047091F">
      <w:pPr>
        <w:spacing w:after="0"/>
        <w:rPr>
          <w:sz w:val="26"/>
          <w:szCs w:val="26"/>
        </w:rPr>
      </w:pPr>
      <w:r w:rsidRPr="007B3641">
        <w:rPr>
          <w:sz w:val="26"/>
          <w:szCs w:val="26"/>
        </w:rPr>
        <w:t>SDG series</w:t>
      </w:r>
    </w:p>
    <w:sdt>
      <w:sdtPr>
        <w:alias w:val="SDG Series"/>
        <w:tag w:val="ddSeries"/>
        <w:id w:val="590363093"/>
        <w:placeholder>
          <w:docPart w:val="8BCDF1C103864E2890028132FDF7FA80"/>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113EF65D" w14:textId="65231D9C" w:rsidR="0047091F" w:rsidRPr="007B3641" w:rsidRDefault="007B3641" w:rsidP="0047091F">
          <w:r w:rsidRPr="007B3641">
            <w:t>8.10.2  Proportion of adults (15 years and older) with an account at a financial institution or mobile-money-service provider (% of adults aged 15 years and older)</w:t>
          </w:r>
        </w:p>
      </w:sdtContent>
    </w:sdt>
    <w:p w14:paraId="377E0D8D" w14:textId="77777777" w:rsidR="0047091F" w:rsidRPr="007B3641" w:rsidRDefault="0047091F" w:rsidP="0047091F">
      <w:pPr>
        <w:spacing w:after="0"/>
        <w:rPr>
          <w:sz w:val="26"/>
          <w:szCs w:val="26"/>
        </w:rPr>
      </w:pPr>
      <w:r w:rsidRPr="007B3641">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79DAA3CD" w14:textId="54FF0F4A" w:rsidR="0047091F" w:rsidRDefault="007B3641" w:rsidP="0047091F">
          <w:r w:rsidRPr="007B3641">
            <w:t>World</w:t>
          </w:r>
        </w:p>
      </w:sdtContent>
    </w:sdt>
    <w:p w14:paraId="5136AB9A" w14:textId="77777777" w:rsidR="0047091F" w:rsidRPr="006D23F0" w:rsidRDefault="0047091F"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BF5649A" w:rsidR="00A36E8B" w:rsidRPr="0083444B" w:rsidRDefault="0083444B" w:rsidP="00AE60B6">
            <w:pPr>
              <w:pStyle w:val="MGTHeader"/>
            </w:pPr>
            <w:r w:rsidRPr="0083444B">
              <w:t>Goal 8: Promote sustained, inclusive and sustainable economic growth, full and productive employment and decent work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4DCA4CD" w:rsidR="00A36E8B" w:rsidRPr="0083444B" w:rsidRDefault="0083444B" w:rsidP="00AE60B6">
            <w:pPr>
              <w:pStyle w:val="MGTHeader"/>
            </w:pPr>
            <w:r w:rsidRPr="0083444B">
              <w:t>Target 8.10: Strengthen the capacity of domestic financial institutions to encourage and expand access to banking, insurance and financial services for all</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40521CF" w:rsidR="00A36E8B" w:rsidRPr="0083444B" w:rsidRDefault="0083444B" w:rsidP="00AE60B6">
            <w:pPr>
              <w:pStyle w:val="MIndHeader"/>
            </w:pPr>
            <w:bookmarkStart w:id="5" w:name="_Toc455354712"/>
            <w:r w:rsidRPr="0083444B">
              <w:t>Indicator 8.10.2: Proportion of adults (15 years and older) with an account at a bank or other financial institution or with a mobile-money-service provider</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AEB52C7" w:rsidR="00A36E8B" w:rsidRPr="007F4449" w:rsidRDefault="0008570B" w:rsidP="0008570B">
            <w:pPr>
              <w:pStyle w:val="Header"/>
              <w:rPr>
                <w:color w:val="595959" w:themeColor="text1" w:themeTint="A6"/>
                <w:sz w:val="18"/>
                <w:szCs w:val="18"/>
              </w:rPr>
            </w:pPr>
            <w:bookmarkStart w:id="6" w:name="_Hlk532743879"/>
            <w:bookmarkStart w:id="7" w:name="_Hlk532743878"/>
            <w:bookmarkStart w:id="8" w:name="_Hlk532743721"/>
            <w:bookmarkStart w:id="9" w:name="_Hlk532743720"/>
            <w:bookmarkStart w:id="10" w:name="_Hlk532743219"/>
            <w:bookmarkStart w:id="11" w:name="_Hlk532743218"/>
            <w:bookmarkStart w:id="12" w:name="_Hlk532741982"/>
            <w:bookmarkStart w:id="13" w:name="_Hlk532741981"/>
            <w:bookmarkStart w:id="14" w:name="_Hlk532729630"/>
            <w:r>
              <w:rPr>
                <w:color w:val="595959" w:themeColor="text1" w:themeTint="A6"/>
                <w:sz w:val="18"/>
                <w:szCs w:val="18"/>
              </w:rPr>
              <w:t>Last updated: 19 July 2016</w:t>
            </w:r>
            <w:bookmarkEnd w:id="6"/>
            <w:bookmarkEnd w:id="7"/>
            <w:bookmarkEnd w:id="8"/>
            <w:bookmarkEnd w:id="9"/>
            <w:bookmarkEnd w:id="10"/>
            <w:bookmarkEnd w:id="11"/>
            <w:bookmarkEnd w:id="12"/>
            <w:bookmarkEnd w:id="13"/>
            <w:bookmarkEnd w:id="14"/>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0FA20800" w14:textId="77777777" w:rsidR="00C2776F" w:rsidRPr="00C2776F" w:rsidRDefault="00C2776F" w:rsidP="00AE60B6">
            <w:pPr>
              <w:pStyle w:val="MHeader"/>
            </w:pPr>
            <w:r w:rsidRPr="00C2776F">
              <w:t>Related indicators</w:t>
            </w:r>
          </w:p>
          <w:p w14:paraId="623BAD4B" w14:textId="309874D1" w:rsidR="00A36E8B" w:rsidRPr="00C2776F" w:rsidRDefault="00C2776F" w:rsidP="00AE60B6">
            <w:pPr>
              <w:pStyle w:val="MText"/>
            </w:pPr>
            <w:r>
              <w:t>1.4, 5.a, 2.3</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893D01E" w14:textId="77777777" w:rsidR="00107C47" w:rsidRPr="00107C47" w:rsidRDefault="00107C47" w:rsidP="00AE60B6">
            <w:pPr>
              <w:pStyle w:val="MHeader"/>
            </w:pPr>
            <w:r w:rsidRPr="00107C47">
              <w:t>Institutional information</w:t>
            </w:r>
          </w:p>
          <w:p w14:paraId="05A20D18" w14:textId="11FC7CEE" w:rsidR="00107C47" w:rsidRPr="00AE60B6" w:rsidRDefault="00107C47" w:rsidP="00AE60B6">
            <w:pPr>
              <w:pStyle w:val="MSubHeader"/>
              <w:rPr>
                <w:rStyle w:val="Strong"/>
                <w:b/>
                <w:bCs/>
              </w:rPr>
            </w:pPr>
            <w:r w:rsidRPr="00AE60B6">
              <w:rPr>
                <w:rStyle w:val="Strong"/>
                <w:b/>
                <w:bCs/>
              </w:rPr>
              <w:t>Organization(s):</w:t>
            </w:r>
          </w:p>
          <w:p w14:paraId="3E0416B7" w14:textId="08E06241" w:rsidR="00A36E8B" w:rsidRPr="00107C47" w:rsidRDefault="00107C47" w:rsidP="00AE60B6">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5" w:name="_Toc36655609"/>
            <w:bookmarkStart w:id="16" w:name="_Toc36812572"/>
            <w:bookmarkStart w:id="17" w:name="_Toc36812685"/>
            <w:bookmarkStart w:id="18" w:name="_Toc36813072"/>
            <w:r w:rsidRPr="000149A9">
              <w:t>1. Data reporter</w:t>
            </w:r>
            <w:bookmarkEnd w:id="15"/>
            <w:bookmarkEnd w:id="16"/>
            <w:bookmarkEnd w:id="17"/>
            <w:bookmarkEnd w:id="1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B003B81" w14:textId="77777777" w:rsidR="005E4F3D" w:rsidRPr="005E4F3D" w:rsidRDefault="005E4F3D" w:rsidP="004228BE">
            <w:pPr>
              <w:pStyle w:val="MHeader"/>
            </w:pPr>
            <w:r w:rsidRPr="005E4F3D">
              <w:t>Concepts and definitions</w:t>
            </w:r>
          </w:p>
          <w:p w14:paraId="5FE2BA24" w14:textId="12EFCECF" w:rsidR="005E4F3D" w:rsidRPr="004228BE" w:rsidRDefault="005E4F3D" w:rsidP="004228BE">
            <w:pPr>
              <w:pStyle w:val="MSubHeader"/>
              <w:rPr>
                <w:rStyle w:val="Strong"/>
                <w:b/>
                <w:bCs/>
              </w:rPr>
            </w:pPr>
            <w:r w:rsidRPr="004228BE">
              <w:rPr>
                <w:rStyle w:val="Strong"/>
                <w:b/>
                <w:bCs/>
              </w:rPr>
              <w:t>Definition:</w:t>
            </w:r>
          </w:p>
          <w:p w14:paraId="02E6B5F5" w14:textId="77777777" w:rsidR="00C152FE" w:rsidRDefault="005E4F3D" w:rsidP="005E4F3D">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percentage of adults (ages 15+) who report having an account (by themselves or together with someone else) at a bank or another type of financial institution or personally using a mobile money service in the past 12 months. </w:t>
            </w:r>
          </w:p>
          <w:p w14:paraId="74FEBD1A" w14:textId="77777777" w:rsidR="00A60B3F" w:rsidRDefault="00A60B3F" w:rsidP="005E4F3D">
            <w:pPr>
              <w:pStyle w:val="form-control-static"/>
              <w:shd w:val="clear" w:color="auto" w:fill="FFFFFF"/>
              <w:spacing w:before="0" w:beforeAutospacing="0" w:after="0" w:afterAutospacing="0"/>
              <w:rPr>
                <w:rFonts w:asciiTheme="minorHAnsi" w:hAnsiTheme="minorHAnsi"/>
                <w:color w:val="4A4A4A"/>
                <w:sz w:val="21"/>
                <w:szCs w:val="21"/>
              </w:rPr>
            </w:pPr>
          </w:p>
          <w:p w14:paraId="1F3FE803" w14:textId="77777777" w:rsidR="00A60B3F" w:rsidRPr="004228BE" w:rsidRDefault="00A60B3F" w:rsidP="004228BE">
            <w:pPr>
              <w:pStyle w:val="MSubHeader"/>
              <w:rPr>
                <w:rFonts w:cstheme="minorHAnsi"/>
              </w:rPr>
            </w:pPr>
            <w:r w:rsidRPr="004228BE">
              <w:rPr>
                <w:rStyle w:val="Strong"/>
                <w:rFonts w:cstheme="minorHAnsi"/>
                <w:b/>
                <w:bCs/>
              </w:rPr>
              <w:t>Concepts:</w:t>
            </w:r>
          </w:p>
          <w:p w14:paraId="7DA6E8AF" w14:textId="5ECB5094" w:rsidR="00A60B3F" w:rsidRPr="005E4F3D" w:rsidRDefault="00A60B3F" w:rsidP="004228BE">
            <w:pPr>
              <w:pStyle w:val="MText"/>
            </w:pPr>
            <w:r>
              <w:t>Account at a financial institution includes respondents who report having an account at a bank or at another type of financial institution, such as a credit union, microfinance institution, cooperative, or the post office (if applicable), or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(GSMA) Mobile Money for the Unbanked (MMU) services in the past 12 months to pay bills or to send or receive money. In addition, it includes respondents who report receiving wages, government transfers, or payments for agricultural products through a mobile phone in the past 12 months.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3" w:name="_Toc36636923"/>
            <w:bookmarkStart w:id="24" w:name="_Toc36655611"/>
            <w:bookmarkStart w:id="25" w:name="_Toc36812574"/>
            <w:bookmarkStart w:id="26" w:name="_Toc36812687"/>
            <w:bookmarkStart w:id="27" w:name="_Toc36813074"/>
            <w:r w:rsidRPr="000149A9">
              <w:t>3</w:t>
            </w:r>
            <w:r w:rsidR="004C665C" w:rsidRPr="000149A9">
              <w:t>. Data source type and data collection method</w:t>
            </w:r>
            <w:bookmarkEnd w:id="23"/>
            <w:bookmarkEnd w:id="24"/>
            <w:bookmarkEnd w:id="25"/>
            <w:bookmarkEnd w:id="26"/>
            <w:bookmarkEnd w:id="2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A79244B" w14:textId="63C2C46D" w:rsidR="006E2F08" w:rsidRDefault="006E2F08" w:rsidP="004228BE">
            <w:pPr>
              <w:pStyle w:val="MHeader"/>
            </w:pPr>
            <w:r>
              <w:t xml:space="preserve">Data </w:t>
            </w:r>
            <w:r w:rsidR="009B231D">
              <w:t>s</w:t>
            </w:r>
            <w:r>
              <w:t>ources</w:t>
            </w:r>
          </w:p>
          <w:p w14:paraId="6F8087E6" w14:textId="77777777" w:rsidR="006E2F08" w:rsidRPr="004228BE" w:rsidRDefault="006E2F08" w:rsidP="004228BE">
            <w:pPr>
              <w:pStyle w:val="MSubHeader"/>
            </w:pPr>
            <w:r w:rsidRPr="004228BE">
              <w:rPr>
                <w:rStyle w:val="Strong"/>
                <w:b/>
                <w:bCs/>
              </w:rPr>
              <w:lastRenderedPageBreak/>
              <w:t>Description:</w:t>
            </w:r>
          </w:p>
          <w:p w14:paraId="2AD315D6" w14:textId="77777777" w:rsidR="006E2F08" w:rsidRDefault="006E2F08" w:rsidP="004228BE">
            <w:pPr>
              <w:pStyle w:val="MText"/>
            </w:pPr>
            <w:r>
              <w:t>The indicators in the 2014 Global Financial Inclusion (Global Findex)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more than 160 economies and in over 140 languages, using randomly selected, nationally representative samples. The target population is the entire civilian, noninstitutionalized population age 15 and above.</w:t>
            </w:r>
            <w:r>
              <w:rPr>
                <w:rStyle w:val="apple-converted-space"/>
              </w:rPr>
              <w:t xml:space="preserve"> </w:t>
            </w:r>
          </w:p>
          <w:p w14:paraId="7EF97413" w14:textId="77777777" w:rsidR="006E2F08" w:rsidRDefault="006E2F08" w:rsidP="006E2F08">
            <w:pPr>
              <w:pStyle w:val="form-control-static"/>
              <w:shd w:val="clear" w:color="auto" w:fill="FFFFFF"/>
              <w:spacing w:before="0" w:beforeAutospacing="0" w:after="0" w:afterAutospacing="0"/>
              <w:rPr>
                <w:rFonts w:asciiTheme="minorHAnsi" w:hAnsiTheme="minorHAnsi"/>
                <w:color w:val="4A4A4A"/>
                <w:sz w:val="21"/>
                <w:szCs w:val="21"/>
              </w:rPr>
            </w:pPr>
          </w:p>
          <w:p w14:paraId="1EE62008" w14:textId="538404D9" w:rsidR="006220A3" w:rsidRPr="006E2F08" w:rsidRDefault="006E2F08" w:rsidP="004228BE">
            <w:pPr>
              <w:pStyle w:val="MText"/>
            </w:pPr>
            <w:r>
              <w:t xml:space="preserve">Methodology, including interview procedures, data preparation, margin of error and notes by country are all available at </w:t>
            </w:r>
            <w:hyperlink r:id="rId8" w:history="1">
              <w:r w:rsidRPr="008668AA">
                <w:rPr>
                  <w:rStyle w:val="Hyperlink"/>
                </w:rPr>
                <w:t>http://www.worldbank.org/content/dam/Worldbank/Research/GlobalFindex/PDF/Methodology.pdf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7345B9B" w14:textId="77777777" w:rsidR="00D221B4" w:rsidRPr="004228BE" w:rsidRDefault="00D221B4" w:rsidP="004228BE">
            <w:pPr>
              <w:pStyle w:val="MSubHeader"/>
            </w:pPr>
            <w:r w:rsidRPr="004228BE">
              <w:rPr>
                <w:rStyle w:val="Strong"/>
                <w:b/>
                <w:bCs/>
              </w:rPr>
              <w:t>Collection process:</w:t>
            </w:r>
          </w:p>
          <w:p w14:paraId="0136E6C1" w14:textId="014F8E03" w:rsidR="00AB65AE" w:rsidRPr="00D221B4" w:rsidRDefault="00D221B4" w:rsidP="004228BE">
            <w:pPr>
              <w:pStyle w:val="MText"/>
            </w:pPr>
            <w:r>
              <w:t>Data are comparable across countries by design.</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CFA5A58" w:rsidR="00AB65AE" w:rsidRPr="004D68B6" w:rsidRDefault="00AB65AE" w:rsidP="00EC064B">
            <w:pPr>
              <w:spacing w:after="0" w:line="240" w:lineRule="auto"/>
              <w:rPr>
                <w:rFonts w:ascii="Calibri" w:eastAsia="Times New Roman" w:hAnsi="Calibri" w:cs="Calibri"/>
                <w:color w:val="000000"/>
              </w:rPr>
            </w:pPr>
            <w:r w:rsidRPr="00FA20D9">
              <w:t>3.</w:t>
            </w:r>
            <w:r w:rsidR="004228BE">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6752EC4" w14:textId="77777777" w:rsidR="00F22D61" w:rsidRPr="00F22D61" w:rsidRDefault="00F22D61" w:rsidP="004228BE">
            <w:pPr>
              <w:pStyle w:val="MHeader"/>
            </w:pPr>
            <w:r w:rsidRPr="00F22D61">
              <w:t>Calendar</w:t>
            </w:r>
          </w:p>
          <w:p w14:paraId="1A9D8803" w14:textId="77777777" w:rsidR="00F22D61" w:rsidRPr="004228BE" w:rsidRDefault="00F22D61" w:rsidP="004228BE">
            <w:pPr>
              <w:pStyle w:val="MSubHeader"/>
            </w:pPr>
            <w:r w:rsidRPr="004228BE">
              <w:rPr>
                <w:rStyle w:val="Strong"/>
                <w:b/>
                <w:bCs/>
              </w:rPr>
              <w:t>Data collection:</w:t>
            </w:r>
          </w:p>
          <w:p w14:paraId="5805C371" w14:textId="18633EF3" w:rsidR="00AB65AE" w:rsidRPr="00F22D61" w:rsidRDefault="00F22D61" w:rsidP="004228BE">
            <w:pPr>
              <w:pStyle w:val="MText"/>
            </w:pPr>
            <w:r>
              <w:t>Next collection round: 2017. Data are collected every three years.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09A10A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03D168E" w14:textId="77777777" w:rsidR="0087481C" w:rsidRPr="006C5913" w:rsidRDefault="0087481C" w:rsidP="006C5913">
            <w:pPr>
              <w:pStyle w:val="MSubHeader"/>
            </w:pPr>
            <w:r w:rsidRPr="006C5913">
              <w:rPr>
                <w:rStyle w:val="Strong"/>
                <w:b/>
                <w:bCs/>
              </w:rPr>
              <w:t>Data release:</w:t>
            </w:r>
          </w:p>
          <w:p w14:paraId="097FA4BD" w14:textId="1A072059" w:rsidR="00AB65AE" w:rsidRPr="0087481C" w:rsidRDefault="0087481C" w:rsidP="006C5913">
            <w:pPr>
              <w:pStyle w:val="MText"/>
            </w:pPr>
            <w:r>
              <w:t>2017</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EA71C1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C7E363D" w14:textId="77777777" w:rsidR="0087481C" w:rsidRPr="0087481C" w:rsidRDefault="0087481C" w:rsidP="006C5913">
            <w:pPr>
              <w:pStyle w:val="MHeader"/>
            </w:pPr>
            <w:r w:rsidRPr="0087481C">
              <w:t>Data providers</w:t>
            </w:r>
          </w:p>
          <w:p w14:paraId="406AF515" w14:textId="717A1481" w:rsidR="00AB65AE" w:rsidRPr="0087481C" w:rsidRDefault="0087481C" w:rsidP="006C5913">
            <w:pPr>
              <w:pStyle w:val="MText"/>
            </w:pPr>
            <w:r>
              <w:t>n/a</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8245C7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4D142C7" w14:textId="77777777" w:rsidR="0087481C" w:rsidRPr="0087481C" w:rsidRDefault="0087481C" w:rsidP="006C5913">
            <w:pPr>
              <w:pStyle w:val="MHeader"/>
            </w:pPr>
            <w:r w:rsidRPr="0087481C">
              <w:t>Data compilers</w:t>
            </w:r>
          </w:p>
          <w:p w14:paraId="39191C53" w14:textId="203CADC1" w:rsidR="00AB65AE" w:rsidRPr="0087481C" w:rsidRDefault="0087481C" w:rsidP="006C5913">
            <w:pPr>
              <w:pStyle w:val="MText"/>
            </w:pPr>
            <w: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24B82DD"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8" w:name="_Toc36655612"/>
            <w:bookmarkStart w:id="29" w:name="_Toc36812575"/>
            <w:bookmarkStart w:id="30" w:name="_Toc36812688"/>
            <w:bookmarkStart w:id="31" w:name="_Toc36813075"/>
            <w:r w:rsidRPr="007A28BA">
              <w:t>4</w:t>
            </w:r>
            <w:r w:rsidR="00F96E8D" w:rsidRPr="007A28BA">
              <w:t>. Other methodological considerations</w:t>
            </w:r>
            <w:bookmarkEnd w:id="28"/>
            <w:bookmarkEnd w:id="29"/>
            <w:bookmarkEnd w:id="30"/>
            <w:bookmarkEnd w:id="3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826E9B" w14:textId="77777777" w:rsidR="00A60B3F" w:rsidRPr="00745CB7" w:rsidRDefault="00A60B3F" w:rsidP="00745CB7">
            <w:pPr>
              <w:pStyle w:val="MSubHeader"/>
            </w:pPr>
            <w:r w:rsidRPr="00745CB7">
              <w:rPr>
                <w:rStyle w:val="Strong"/>
                <w:b/>
                <w:bCs/>
              </w:rPr>
              <w:t>Rationale:</w:t>
            </w:r>
          </w:p>
          <w:p w14:paraId="6F5859B0" w14:textId="3CAF469E" w:rsidR="007C63C4" w:rsidRPr="00745CB7" w:rsidRDefault="00A60B3F" w:rsidP="00745CB7">
            <w:pPr>
              <w:pStyle w:val="MText"/>
            </w:pPr>
            <w:r w:rsidRPr="00745CB7">
              <w:t xml:space="preserve">Access to formal financial services such as savings, insurance, payments, credit and remittances is essential to the ability of people—regardless of income level, gender, age, education or where they live—to manage their lives, build their futures, and </w:t>
            </w:r>
            <w:r w:rsidRPr="00745CB7">
              <w:lastRenderedPageBreak/>
              <w:t xml:space="preserve">grow their businesses. Having access to an account is an important starting point for people to access </w:t>
            </w:r>
            <w:proofErr w:type="spellStart"/>
            <w:r w:rsidRPr="00745CB7">
              <w:t>arange</w:t>
            </w:r>
            <w:proofErr w:type="spellEnd"/>
            <w:r w:rsidRPr="00745CB7">
              <w:t xml:space="preserve"> of financial services</w:t>
            </w:r>
            <w:r w:rsidR="00745CB7">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F47C46B" w14:textId="77777777" w:rsidR="00AD6059" w:rsidRPr="009B231D" w:rsidRDefault="00AD6059" w:rsidP="009B231D">
            <w:pPr>
              <w:pStyle w:val="MSubHeader"/>
              <w:rPr>
                <w:rStyle w:val="Strong"/>
                <w:b/>
                <w:bCs/>
              </w:rPr>
            </w:pPr>
            <w:r w:rsidRPr="009B231D">
              <w:rPr>
                <w:rStyle w:val="Strong"/>
                <w:b/>
                <w:bCs/>
              </w:rPr>
              <w:t>Comments and limitations:</w:t>
            </w:r>
          </w:p>
          <w:p w14:paraId="328C0885" w14:textId="61325DCD" w:rsidR="007C63C4" w:rsidRPr="00AD6059" w:rsidRDefault="00AD6059" w:rsidP="006B0E5A">
            <w:pPr>
              <w:pStyle w:val="MText"/>
            </w:pPr>
            <w:r>
              <w:t>World Bank’s Global Findex database is based on individual level surveys worldwide, conducted every three years. The first round of the survey was done in 2011, and the second in 2014. The third round will be done in 2017. The database covers about 140 countries.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3126D30" w14:textId="77777777" w:rsidR="001141A4" w:rsidRPr="00A22A33" w:rsidRDefault="001141A4" w:rsidP="005D3EAA">
            <w:pPr>
              <w:pStyle w:val="MHeader"/>
            </w:pPr>
            <w:r w:rsidRPr="00A22A33">
              <w:t>Methodology</w:t>
            </w:r>
          </w:p>
          <w:p w14:paraId="5DA23B20" w14:textId="68280AD9" w:rsidR="001141A4" w:rsidRPr="005D3EAA" w:rsidRDefault="001141A4" w:rsidP="005D3EAA">
            <w:pPr>
              <w:pStyle w:val="MSubHeader"/>
            </w:pPr>
            <w:r w:rsidRPr="005D3EAA">
              <w:rPr>
                <w:rStyle w:val="Strong"/>
                <w:b/>
                <w:bCs/>
              </w:rPr>
              <w:t xml:space="preserve">Computation </w:t>
            </w:r>
            <w:r w:rsidR="005D3EAA" w:rsidRPr="005D3EAA">
              <w:rPr>
                <w:rStyle w:val="Strong"/>
                <w:b/>
                <w:bCs/>
              </w:rPr>
              <w:t>m</w:t>
            </w:r>
            <w:r w:rsidRPr="005D3EAA">
              <w:rPr>
                <w:rStyle w:val="Strong"/>
                <w:b/>
                <w:bCs/>
              </w:rPr>
              <w:t>ethod:</w:t>
            </w:r>
          </w:p>
          <w:p w14:paraId="14D79041" w14:textId="58374AB6" w:rsidR="007C63C4" w:rsidRPr="001141A4" w:rsidRDefault="001141A4" w:rsidP="005D3EAA">
            <w:pPr>
              <w:pStyle w:val="MText"/>
            </w:pPr>
            <w:r>
              <w:t>The indicator is based on data collected through individual level surveys in each country with representative samples. Appropriate sampling weights are used in calculating country-level aggregates.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0328947" w14:textId="77777777" w:rsidR="008D0FA3" w:rsidRPr="009B231D" w:rsidRDefault="008D0FA3" w:rsidP="005D3EAA">
            <w:pPr>
              <w:pStyle w:val="MSubHeader"/>
              <w:rPr>
                <w:rStyle w:val="Strong"/>
              </w:rPr>
            </w:pPr>
            <w:r w:rsidRPr="005D3EAA">
              <w:rPr>
                <w:rStyle w:val="Strong"/>
                <w:b/>
                <w:bCs/>
              </w:rPr>
              <w:t>Treatment of missing values:</w:t>
            </w:r>
          </w:p>
          <w:p w14:paraId="703B8DEC" w14:textId="3CE5AAF9" w:rsidR="008D0FA3" w:rsidRDefault="008D0FA3" w:rsidP="009B231D">
            <w:pPr>
              <w:pStyle w:val="Heading5"/>
              <w:keepNext w:val="0"/>
              <w:keepLines w:val="0"/>
              <w:numPr>
                <w:ilvl w:val="0"/>
                <w:numId w:val="15"/>
              </w:numPr>
              <w:shd w:val="clear" w:color="auto" w:fill="FFFFFF"/>
              <w:spacing w:before="0" w:line="240" w:lineRule="auto"/>
              <w:rPr>
                <w:rFonts w:asciiTheme="minorHAnsi" w:hAnsiTheme="minorHAnsi" w:cs="Times New Roman"/>
                <w:color w:val="1C75BC"/>
                <w:sz w:val="21"/>
                <w:szCs w:val="21"/>
              </w:rPr>
            </w:pPr>
            <w:r>
              <w:rPr>
                <w:rFonts w:asciiTheme="minorHAnsi" w:hAnsiTheme="minorHAnsi"/>
                <w:b/>
                <w:bCs/>
                <w:color w:val="1C75BC"/>
                <w:sz w:val="21"/>
                <w:szCs w:val="21"/>
              </w:rPr>
              <w:t>At country level</w:t>
            </w:r>
            <w:r w:rsidR="009B231D">
              <w:rPr>
                <w:rFonts w:asciiTheme="minorHAnsi" w:hAnsiTheme="minorHAnsi"/>
                <w:b/>
                <w:bCs/>
                <w:color w:val="1C75BC"/>
                <w:sz w:val="21"/>
                <w:szCs w:val="21"/>
              </w:rPr>
              <w:t>:</w:t>
            </w:r>
          </w:p>
          <w:p w14:paraId="700CC225" w14:textId="77777777" w:rsidR="008D0FA3" w:rsidRDefault="008D0FA3" w:rsidP="009B231D">
            <w:pPr>
              <w:pStyle w:val="NormalWeb"/>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n/a</w:t>
            </w:r>
          </w:p>
          <w:p w14:paraId="52C593A7" w14:textId="51DCE208" w:rsidR="008D0FA3" w:rsidRDefault="008D0FA3" w:rsidP="009B231D">
            <w:pPr>
              <w:pStyle w:val="Heading5"/>
              <w:keepNext w:val="0"/>
              <w:keepLines w:val="0"/>
              <w:numPr>
                <w:ilvl w:val="0"/>
                <w:numId w:val="15"/>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regional and global levels</w:t>
            </w:r>
            <w:r w:rsidR="009B231D">
              <w:rPr>
                <w:rFonts w:asciiTheme="minorHAnsi" w:hAnsiTheme="minorHAnsi"/>
                <w:b/>
                <w:bCs/>
                <w:color w:val="1C75BC"/>
                <w:sz w:val="21"/>
                <w:szCs w:val="21"/>
              </w:rPr>
              <w:t>:</w:t>
            </w:r>
          </w:p>
          <w:p w14:paraId="11763FCE" w14:textId="709F0CA2" w:rsidR="007C63C4" w:rsidRPr="008D0FA3" w:rsidRDefault="008D0FA3" w:rsidP="009B231D">
            <w:pPr>
              <w:pStyle w:val="NormalWeb"/>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650A18A" w14:textId="77777777" w:rsidR="00884CC3" w:rsidRPr="004157EB" w:rsidRDefault="00884CC3" w:rsidP="004157EB">
            <w:pPr>
              <w:pStyle w:val="MSubHeader"/>
            </w:pPr>
            <w:r w:rsidRPr="004157EB">
              <w:rPr>
                <w:rStyle w:val="Strong"/>
                <w:b/>
                <w:bCs/>
              </w:rPr>
              <w:t>Regional aggregates:</w:t>
            </w:r>
          </w:p>
          <w:p w14:paraId="6E65421B" w14:textId="7D68C091" w:rsidR="007C63C4" w:rsidRPr="005934B1" w:rsidRDefault="00884CC3" w:rsidP="004157EB">
            <w:pPr>
              <w:pStyle w:val="MText"/>
            </w:pPr>
            <w:r>
              <w:t>Country level; the percentage of adults owning accounts is multiplied by the number of adults in the country. Then for regional values, sum across all countries in the region is taken and divided by the total adults living in the region. Similarly, for global figures, the same calculation is repeated for all countries.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92E2C25"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D77A56">
              <w:rPr>
                <w:rFonts w:ascii="Calibri" w:eastAsia="Times New Roman" w:hAnsi="Calibri" w:cs="Calibri"/>
              </w:rPr>
              <w:t>man</w:t>
            </w:r>
            <w:r w:rsidR="00003272">
              <w:rPr>
                <w:rFonts w:ascii="Calibri" w:eastAsia="Times New Roman" w:hAnsi="Calibri" w:cs="Calibri"/>
              </w:rPr>
              <w:t>a</w:t>
            </w:r>
            <w:r w:rsidR="00D77A56">
              <w:rPr>
                <w:rFonts w:ascii="Calibri" w:eastAsia="Times New Roman" w:hAnsi="Calibri" w:cs="Calibri"/>
              </w:rPr>
              <w:t>gement</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F32C14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D77A56">
              <w:rPr>
                <w:rFonts w:ascii="Calibri" w:eastAsia="Times New Roman" w:hAnsi="Calibri" w:cs="Calibri"/>
              </w:rPr>
              <w:t xml:space="preserve">j. Quality </w:t>
            </w:r>
            <w:r w:rsidR="00003272">
              <w:rPr>
                <w:rFonts w:ascii="Calibri" w:eastAsia="Times New Roman" w:hAnsi="Calibri" w:cs="Calibri"/>
              </w:rPr>
              <w:t>assurance</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48EEDE2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003272">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2" w:name="_Toc36655613"/>
            <w:bookmarkStart w:id="33" w:name="_Toc36812576"/>
            <w:bookmarkStart w:id="34" w:name="_Toc36812689"/>
            <w:bookmarkStart w:id="35" w:name="_Toc36813076"/>
            <w:r w:rsidRPr="001A0E35">
              <w:t>5</w:t>
            </w:r>
            <w:r w:rsidR="00952376" w:rsidRPr="001A0E35">
              <w:t>. Data availability and disaggregation</w:t>
            </w:r>
            <w:bookmarkEnd w:id="32"/>
            <w:bookmarkEnd w:id="33"/>
            <w:bookmarkEnd w:id="34"/>
            <w:bookmarkEnd w:id="3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0DF97C9C"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2626315" w14:textId="411AC8E0" w:rsidR="00D221B4" w:rsidRPr="00D221B4" w:rsidRDefault="00D221B4" w:rsidP="009439BC">
            <w:pPr>
              <w:pStyle w:val="MHeader"/>
            </w:pPr>
            <w:r w:rsidRPr="00D221B4">
              <w:t xml:space="preserve">Data </w:t>
            </w:r>
            <w:r w:rsidR="009439BC">
              <w:t>a</w:t>
            </w:r>
            <w:r w:rsidRPr="00D221B4">
              <w:t>vailability</w:t>
            </w:r>
          </w:p>
          <w:p w14:paraId="2160F146" w14:textId="77777777" w:rsidR="00D221B4" w:rsidRPr="009B231D" w:rsidRDefault="00D221B4" w:rsidP="009B231D">
            <w:pPr>
              <w:pStyle w:val="MSubHeader"/>
            </w:pPr>
            <w:r w:rsidRPr="009B231D">
              <w:rPr>
                <w:rStyle w:val="Strong"/>
                <w:b/>
                <w:bCs/>
              </w:rPr>
              <w:t>Description:</w:t>
            </w:r>
          </w:p>
          <w:p w14:paraId="7C0DC4B2" w14:textId="77777777" w:rsidR="00D221B4" w:rsidRDefault="00D221B4" w:rsidP="009439BC">
            <w:pPr>
              <w:pStyle w:val="MText"/>
            </w:pPr>
            <w:r>
              <w:lastRenderedPageBreak/>
              <w:t>Countries that have at least 1 data point after 2010 for this indicator:</w:t>
            </w:r>
          </w:p>
          <w:p w14:paraId="29ADCA4B" w14:textId="77777777" w:rsidR="00D221B4" w:rsidRDefault="00D221B4" w:rsidP="009439BC">
            <w:pPr>
              <w:pStyle w:val="MText"/>
              <w:numPr>
                <w:ilvl w:val="0"/>
                <w:numId w:val="14"/>
              </w:numPr>
            </w:pPr>
            <w:r>
              <w:t>Asia and Pacific: 35</w:t>
            </w:r>
          </w:p>
          <w:p w14:paraId="0B367904" w14:textId="77777777" w:rsidR="00D221B4" w:rsidRDefault="00D221B4" w:rsidP="009439BC">
            <w:pPr>
              <w:pStyle w:val="MText"/>
              <w:numPr>
                <w:ilvl w:val="0"/>
                <w:numId w:val="14"/>
              </w:numPr>
            </w:pPr>
            <w:r>
              <w:t>Africa: 38</w:t>
            </w:r>
            <w:r>
              <w:rPr>
                <w:rStyle w:val="apple-converted-space"/>
              </w:rPr>
              <w:t xml:space="preserve"> </w:t>
            </w:r>
          </w:p>
          <w:p w14:paraId="43CD32CB" w14:textId="77777777" w:rsidR="00D221B4" w:rsidRDefault="00D221B4" w:rsidP="009439BC">
            <w:pPr>
              <w:pStyle w:val="MText"/>
              <w:numPr>
                <w:ilvl w:val="0"/>
                <w:numId w:val="14"/>
              </w:numPr>
            </w:pPr>
            <w:r>
              <w:t>Latin America and the Caribbean: 21</w:t>
            </w:r>
          </w:p>
          <w:p w14:paraId="32227342" w14:textId="77777777" w:rsidR="00D221B4" w:rsidRDefault="00D221B4" w:rsidP="009439BC">
            <w:pPr>
              <w:pStyle w:val="MText"/>
              <w:numPr>
                <w:ilvl w:val="0"/>
                <w:numId w:val="14"/>
              </w:numPr>
            </w:pPr>
            <w:r>
              <w:t>Europe, North America, Australia, New Zealand and Japan: 47</w:t>
            </w:r>
          </w:p>
          <w:p w14:paraId="6EAC78D3" w14:textId="77777777" w:rsidR="00D221B4" w:rsidRDefault="00D221B4" w:rsidP="00D221B4">
            <w:pPr>
              <w:shd w:val="clear" w:color="auto" w:fill="FFFFFF"/>
              <w:spacing w:after="0"/>
              <w:rPr>
                <w:rStyle w:val="Strong"/>
                <w:rFonts w:cs="Times New Roman"/>
              </w:rPr>
            </w:pPr>
          </w:p>
          <w:p w14:paraId="69A42C4A" w14:textId="77777777" w:rsidR="00D221B4" w:rsidRPr="009B231D" w:rsidRDefault="00D221B4" w:rsidP="009439BC">
            <w:pPr>
              <w:pStyle w:val="MSubHeader"/>
              <w:rPr>
                <w:rStyle w:val="Strong"/>
              </w:rPr>
            </w:pPr>
            <w:r w:rsidRPr="009439BC">
              <w:rPr>
                <w:rStyle w:val="Strong"/>
                <w:b/>
                <w:bCs/>
              </w:rPr>
              <w:t>Time series:</w:t>
            </w:r>
          </w:p>
          <w:p w14:paraId="7BE5BAFA" w14:textId="77777777" w:rsidR="00D221B4" w:rsidRDefault="00D221B4" w:rsidP="009439BC">
            <w:pPr>
              <w:pStyle w:val="MText"/>
            </w:pPr>
            <w:r>
              <w:t>2011 and 2014. To be collected every 3 years.</w:t>
            </w:r>
          </w:p>
          <w:p w14:paraId="3BA0B901" w14:textId="77777777" w:rsidR="00D221B4" w:rsidRDefault="00D221B4" w:rsidP="00C44D92">
            <w:pPr>
              <w:shd w:val="clear" w:color="auto" w:fill="FFFFFF"/>
              <w:spacing w:after="0"/>
              <w:rPr>
                <w:rStyle w:val="Strong"/>
                <w:rFonts w:cs="Times New Roman"/>
              </w:rPr>
            </w:pPr>
          </w:p>
          <w:p w14:paraId="5C609DB5" w14:textId="1B0F78F9" w:rsidR="00C44D92" w:rsidRPr="009439BC" w:rsidRDefault="00C44D92" w:rsidP="009439BC">
            <w:pPr>
              <w:pStyle w:val="MSubHeader"/>
            </w:pPr>
            <w:r w:rsidRPr="009439BC">
              <w:rPr>
                <w:rStyle w:val="Strong"/>
                <w:b/>
                <w:bCs/>
              </w:rPr>
              <w:t>Disaggregation:</w:t>
            </w:r>
          </w:p>
          <w:p w14:paraId="606721A7" w14:textId="0EF95333" w:rsidR="00202B2D" w:rsidRPr="00C44D92" w:rsidRDefault="00C44D92" w:rsidP="009439BC">
            <w:pPr>
              <w:pStyle w:val="MText"/>
            </w:pPr>
            <w:r>
              <w:t>Disaggregation by</w:t>
            </w:r>
            <w:r>
              <w:rPr>
                <w:rStyle w:val="apple-converted-space"/>
              </w:rPr>
              <w:t xml:space="preserve"> </w:t>
            </w:r>
            <w:r>
              <w:t>Income; Age; Education level; Urban/rural; Gender</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6" w:name="_Toc36655614"/>
            <w:bookmarkStart w:id="37" w:name="_Toc36812577"/>
            <w:bookmarkStart w:id="38" w:name="_Toc36812690"/>
            <w:bookmarkStart w:id="39" w:name="_Toc36813077"/>
            <w:bookmarkStart w:id="4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6"/>
            <w:bookmarkEnd w:id="37"/>
            <w:bookmarkEnd w:id="38"/>
            <w:bookmarkEnd w:id="3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2F554591"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C43BC0E" w14:textId="77777777" w:rsidR="00C20AB8" w:rsidRPr="009439BC" w:rsidRDefault="00C20AB8" w:rsidP="009439BC">
            <w:pPr>
              <w:pStyle w:val="MSubHeader"/>
            </w:pPr>
            <w:r w:rsidRPr="009439BC">
              <w:rPr>
                <w:rStyle w:val="Strong"/>
                <w:b/>
                <w:bCs/>
              </w:rPr>
              <w:t>Sources of discrepancies:</w:t>
            </w:r>
          </w:p>
          <w:p w14:paraId="13CF0B2D" w14:textId="543A3B3A" w:rsidR="004F4616" w:rsidRPr="00C20AB8" w:rsidRDefault="00C20AB8" w:rsidP="009439BC">
            <w:pPr>
              <w:pStyle w:val="MText"/>
            </w:pPr>
            <w:r>
              <w:t>Global Findex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r>
          </w:p>
        </w:tc>
      </w:tr>
      <w:bookmarkEnd w:id="4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1" w:name="_Toc36655615"/>
            <w:bookmarkStart w:id="42" w:name="_Toc36812578"/>
            <w:bookmarkStart w:id="43" w:name="_Toc36812691"/>
            <w:bookmarkStart w:id="44" w:name="_Toc36813078"/>
            <w:r w:rsidRPr="001A0E35">
              <w:t>7. References and documentation</w:t>
            </w:r>
            <w:bookmarkEnd w:id="41"/>
            <w:bookmarkEnd w:id="42"/>
            <w:bookmarkEnd w:id="43"/>
            <w:bookmarkEnd w:id="4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7985B62"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72A9A45" w14:textId="77777777" w:rsidR="0087481C" w:rsidRPr="0087481C" w:rsidRDefault="00155BC5" w:rsidP="009439BC">
            <w:pPr>
              <w:pStyle w:val="MHeader"/>
            </w:pPr>
            <w:r>
              <w:rPr>
                <w:rFonts w:cstheme="minorHAnsi"/>
                <w:color w:val="404040" w:themeColor="text1" w:themeTint="BF"/>
                <w:sz w:val="21"/>
                <w:szCs w:val="21"/>
                <w:u w:val="single"/>
              </w:rPr>
              <w:t xml:space="preserve"> </w:t>
            </w:r>
            <w:r w:rsidR="0087481C" w:rsidRPr="0087481C">
              <w:t>References</w:t>
            </w:r>
          </w:p>
          <w:p w14:paraId="1C03C56C" w14:textId="77777777" w:rsidR="0087481C" w:rsidRPr="009439BC" w:rsidRDefault="0087481C" w:rsidP="009439BC">
            <w:pPr>
              <w:pStyle w:val="MSubHeader"/>
            </w:pPr>
            <w:r w:rsidRPr="009439BC">
              <w:rPr>
                <w:rStyle w:val="Strong"/>
                <w:b/>
                <w:bCs/>
              </w:rPr>
              <w:t>URL:</w:t>
            </w:r>
          </w:p>
          <w:p w14:paraId="0550287A" w14:textId="700CFA89" w:rsidR="0087481C" w:rsidRDefault="009B231D" w:rsidP="009439BC">
            <w:pPr>
              <w:pStyle w:val="MText"/>
            </w:pPr>
            <w:hyperlink r:id="rId9" w:history="1">
              <w:r w:rsidR="0087481C" w:rsidRPr="008668AA">
                <w:rPr>
                  <w:rStyle w:val="Hyperlink"/>
                </w:rPr>
                <w:t>www.worldbank.org</w:t>
              </w:r>
            </w:hyperlink>
          </w:p>
          <w:p w14:paraId="6F2D7ED9" w14:textId="77777777" w:rsidR="0087481C" w:rsidRDefault="0087481C" w:rsidP="0087481C">
            <w:pPr>
              <w:pStyle w:val="form-control-static"/>
              <w:shd w:val="clear" w:color="auto" w:fill="FFFFFF"/>
              <w:spacing w:before="0" w:beforeAutospacing="0" w:after="0" w:afterAutospacing="0"/>
              <w:rPr>
                <w:rFonts w:asciiTheme="minorHAnsi" w:hAnsiTheme="minorHAnsi"/>
                <w:color w:val="4A4A4A"/>
                <w:sz w:val="21"/>
                <w:szCs w:val="21"/>
              </w:rPr>
            </w:pPr>
          </w:p>
          <w:p w14:paraId="3F684351" w14:textId="77777777" w:rsidR="0087481C" w:rsidRPr="009439BC" w:rsidRDefault="0087481C" w:rsidP="009439BC">
            <w:pPr>
              <w:pStyle w:val="MSubHeader"/>
            </w:pPr>
            <w:r w:rsidRPr="009439BC">
              <w:rPr>
                <w:rStyle w:val="Strong"/>
                <w:b/>
                <w:bCs/>
              </w:rPr>
              <w:t>References:</w:t>
            </w:r>
          </w:p>
          <w:p w14:paraId="584F0E06" w14:textId="0DE66B91" w:rsidR="00155BC5" w:rsidRPr="0087481C" w:rsidRDefault="009B231D" w:rsidP="009439BC">
            <w:pPr>
              <w:pStyle w:val="MText"/>
            </w:pPr>
            <w:hyperlink r:id="rId10" w:history="1">
              <w:r w:rsidR="0087481C" w:rsidRPr="008668AA">
                <w:rPr>
                  <w:rStyle w:val="Hyperlink"/>
                </w:rPr>
                <w:t>http://www.worldbank.org/globalfindex</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E73E0"/>
    <w:multiLevelType w:val="multilevel"/>
    <w:tmpl w:val="538C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51503"/>
    <w:multiLevelType w:val="hybridMultilevel"/>
    <w:tmpl w:val="A5F8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82EA3"/>
    <w:multiLevelType w:val="hybridMultilevel"/>
    <w:tmpl w:val="D722BB5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EBF3211"/>
    <w:multiLevelType w:val="hybridMultilevel"/>
    <w:tmpl w:val="9F00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2"/>
  </w:num>
  <w:num w:numId="6">
    <w:abstractNumId w:val="2"/>
  </w:num>
  <w:num w:numId="7">
    <w:abstractNumId w:val="11"/>
  </w:num>
  <w:num w:numId="8">
    <w:abstractNumId w:val="0"/>
  </w:num>
  <w:num w:numId="9">
    <w:abstractNumId w:val="10"/>
  </w:num>
  <w:num w:numId="10">
    <w:abstractNumId w:val="9"/>
  </w:num>
  <w:num w:numId="11">
    <w:abstractNumId w:val="13"/>
  </w:num>
  <w:num w:numId="12">
    <w:abstractNumId w:val="4"/>
  </w:num>
  <w:num w:numId="13">
    <w:abstractNumId w:val="14"/>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3272"/>
    <w:rsid w:val="00007369"/>
    <w:rsid w:val="000149A9"/>
    <w:rsid w:val="00042B85"/>
    <w:rsid w:val="000434EA"/>
    <w:rsid w:val="00044505"/>
    <w:rsid w:val="000639BB"/>
    <w:rsid w:val="00073907"/>
    <w:rsid w:val="00077DCF"/>
    <w:rsid w:val="0008570B"/>
    <w:rsid w:val="00091352"/>
    <w:rsid w:val="000A24C4"/>
    <w:rsid w:val="000B2C16"/>
    <w:rsid w:val="000B6681"/>
    <w:rsid w:val="000C6D3A"/>
    <w:rsid w:val="000E1AA3"/>
    <w:rsid w:val="001034ED"/>
    <w:rsid w:val="00107C47"/>
    <w:rsid w:val="001127E6"/>
    <w:rsid w:val="001141A4"/>
    <w:rsid w:val="0012075C"/>
    <w:rsid w:val="0013388C"/>
    <w:rsid w:val="0014660A"/>
    <w:rsid w:val="00151B76"/>
    <w:rsid w:val="00155BC5"/>
    <w:rsid w:val="0018734D"/>
    <w:rsid w:val="001A0E35"/>
    <w:rsid w:val="001C1BC2"/>
    <w:rsid w:val="001C3E19"/>
    <w:rsid w:val="001F0C55"/>
    <w:rsid w:val="001F31C6"/>
    <w:rsid w:val="00202B2D"/>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57EB"/>
    <w:rsid w:val="00417B9F"/>
    <w:rsid w:val="004228BE"/>
    <w:rsid w:val="004233A5"/>
    <w:rsid w:val="00430958"/>
    <w:rsid w:val="00431B0C"/>
    <w:rsid w:val="00433D18"/>
    <w:rsid w:val="004502AA"/>
    <w:rsid w:val="00462DB8"/>
    <w:rsid w:val="00463306"/>
    <w:rsid w:val="0047091F"/>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D3EAA"/>
    <w:rsid w:val="005E4F3D"/>
    <w:rsid w:val="005F7B42"/>
    <w:rsid w:val="00605AD5"/>
    <w:rsid w:val="00611159"/>
    <w:rsid w:val="00613352"/>
    <w:rsid w:val="006220A3"/>
    <w:rsid w:val="00633477"/>
    <w:rsid w:val="00643134"/>
    <w:rsid w:val="006609F0"/>
    <w:rsid w:val="0068000F"/>
    <w:rsid w:val="0068379D"/>
    <w:rsid w:val="00693674"/>
    <w:rsid w:val="006B0512"/>
    <w:rsid w:val="006B0E5A"/>
    <w:rsid w:val="006B6E3B"/>
    <w:rsid w:val="006C5913"/>
    <w:rsid w:val="006C6768"/>
    <w:rsid w:val="006D23F0"/>
    <w:rsid w:val="006E2F08"/>
    <w:rsid w:val="006F50E8"/>
    <w:rsid w:val="007100BD"/>
    <w:rsid w:val="00736C4F"/>
    <w:rsid w:val="00745CB7"/>
    <w:rsid w:val="0079591F"/>
    <w:rsid w:val="007A078A"/>
    <w:rsid w:val="007A2617"/>
    <w:rsid w:val="007A28BA"/>
    <w:rsid w:val="007B2E39"/>
    <w:rsid w:val="007B3641"/>
    <w:rsid w:val="007C63C4"/>
    <w:rsid w:val="007E2E6A"/>
    <w:rsid w:val="007E4EE0"/>
    <w:rsid w:val="007F4449"/>
    <w:rsid w:val="00814E37"/>
    <w:rsid w:val="0083444B"/>
    <w:rsid w:val="0083759C"/>
    <w:rsid w:val="008668AA"/>
    <w:rsid w:val="0087481C"/>
    <w:rsid w:val="00884CC3"/>
    <w:rsid w:val="008A7300"/>
    <w:rsid w:val="008D0FA3"/>
    <w:rsid w:val="008D1FE5"/>
    <w:rsid w:val="008E6037"/>
    <w:rsid w:val="0090556F"/>
    <w:rsid w:val="00924458"/>
    <w:rsid w:val="009439BC"/>
    <w:rsid w:val="0095215C"/>
    <w:rsid w:val="0095217A"/>
    <w:rsid w:val="00952376"/>
    <w:rsid w:val="00970B70"/>
    <w:rsid w:val="00971FA7"/>
    <w:rsid w:val="009739C8"/>
    <w:rsid w:val="009B231D"/>
    <w:rsid w:val="009B7FDA"/>
    <w:rsid w:val="009D6F69"/>
    <w:rsid w:val="009E049D"/>
    <w:rsid w:val="00A167C6"/>
    <w:rsid w:val="00A22A33"/>
    <w:rsid w:val="00A31ECA"/>
    <w:rsid w:val="00A3532A"/>
    <w:rsid w:val="00A36E8B"/>
    <w:rsid w:val="00A4314D"/>
    <w:rsid w:val="00A60B3F"/>
    <w:rsid w:val="00A67357"/>
    <w:rsid w:val="00A91915"/>
    <w:rsid w:val="00A92C73"/>
    <w:rsid w:val="00A93552"/>
    <w:rsid w:val="00AA38A9"/>
    <w:rsid w:val="00AB65AE"/>
    <w:rsid w:val="00AD6059"/>
    <w:rsid w:val="00AE60B6"/>
    <w:rsid w:val="00AE7A74"/>
    <w:rsid w:val="00AF0A41"/>
    <w:rsid w:val="00B137EE"/>
    <w:rsid w:val="00B26EF8"/>
    <w:rsid w:val="00B27325"/>
    <w:rsid w:val="00B71AEA"/>
    <w:rsid w:val="00B74489"/>
    <w:rsid w:val="00B97297"/>
    <w:rsid w:val="00BB553B"/>
    <w:rsid w:val="00C152FE"/>
    <w:rsid w:val="00C20AB8"/>
    <w:rsid w:val="00C210B4"/>
    <w:rsid w:val="00C229A8"/>
    <w:rsid w:val="00C22A2E"/>
    <w:rsid w:val="00C2776F"/>
    <w:rsid w:val="00C35C43"/>
    <w:rsid w:val="00C44D92"/>
    <w:rsid w:val="00C605D4"/>
    <w:rsid w:val="00C67407"/>
    <w:rsid w:val="00C94E79"/>
    <w:rsid w:val="00CA6252"/>
    <w:rsid w:val="00CC5969"/>
    <w:rsid w:val="00CF504E"/>
    <w:rsid w:val="00D12D35"/>
    <w:rsid w:val="00D17114"/>
    <w:rsid w:val="00D221B4"/>
    <w:rsid w:val="00D563BD"/>
    <w:rsid w:val="00D77A56"/>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6E73"/>
    <w:rsid w:val="00EC064B"/>
    <w:rsid w:val="00F00FDD"/>
    <w:rsid w:val="00F07040"/>
    <w:rsid w:val="00F22D61"/>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13850897">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397092019">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8915477">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06039788">
      <w:bodyDiv w:val="1"/>
      <w:marLeft w:val="0"/>
      <w:marRight w:val="0"/>
      <w:marTop w:val="0"/>
      <w:marBottom w:val="0"/>
      <w:divBdr>
        <w:top w:val="none" w:sz="0" w:space="0" w:color="auto"/>
        <w:left w:val="none" w:sz="0" w:space="0" w:color="auto"/>
        <w:bottom w:val="none" w:sz="0" w:space="0" w:color="auto"/>
        <w:right w:val="none" w:sz="0" w:space="0" w:color="auto"/>
      </w:divBdr>
    </w:div>
    <w:div w:id="608857907">
      <w:bodyDiv w:val="1"/>
      <w:marLeft w:val="0"/>
      <w:marRight w:val="0"/>
      <w:marTop w:val="0"/>
      <w:marBottom w:val="0"/>
      <w:divBdr>
        <w:top w:val="none" w:sz="0" w:space="0" w:color="auto"/>
        <w:left w:val="none" w:sz="0" w:space="0" w:color="auto"/>
        <w:bottom w:val="none" w:sz="0" w:space="0" w:color="auto"/>
        <w:right w:val="none" w:sz="0" w:space="0" w:color="auto"/>
      </w:divBdr>
    </w:div>
    <w:div w:id="60951495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8832855">
      <w:bodyDiv w:val="1"/>
      <w:marLeft w:val="0"/>
      <w:marRight w:val="0"/>
      <w:marTop w:val="0"/>
      <w:marBottom w:val="0"/>
      <w:divBdr>
        <w:top w:val="none" w:sz="0" w:space="0" w:color="auto"/>
        <w:left w:val="none" w:sz="0" w:space="0" w:color="auto"/>
        <w:bottom w:val="none" w:sz="0" w:space="0" w:color="auto"/>
        <w:right w:val="none" w:sz="0" w:space="0" w:color="auto"/>
      </w:divBdr>
    </w:div>
    <w:div w:id="904411442">
      <w:bodyDiv w:val="1"/>
      <w:marLeft w:val="0"/>
      <w:marRight w:val="0"/>
      <w:marTop w:val="0"/>
      <w:marBottom w:val="0"/>
      <w:divBdr>
        <w:top w:val="none" w:sz="0" w:space="0" w:color="auto"/>
        <w:left w:val="none" w:sz="0" w:space="0" w:color="auto"/>
        <w:bottom w:val="none" w:sz="0" w:space="0" w:color="auto"/>
        <w:right w:val="none" w:sz="0" w:space="0" w:color="auto"/>
      </w:divBdr>
    </w:div>
    <w:div w:id="920287411">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16595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9978640">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04043903">
      <w:bodyDiv w:val="1"/>
      <w:marLeft w:val="0"/>
      <w:marRight w:val="0"/>
      <w:marTop w:val="0"/>
      <w:marBottom w:val="0"/>
      <w:divBdr>
        <w:top w:val="none" w:sz="0" w:space="0" w:color="auto"/>
        <w:left w:val="none" w:sz="0" w:space="0" w:color="auto"/>
        <w:bottom w:val="none" w:sz="0" w:space="0" w:color="auto"/>
        <w:right w:val="none" w:sz="0" w:space="0" w:color="auto"/>
      </w:divBdr>
    </w:div>
    <w:div w:id="1321423810">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8814422">
      <w:bodyDiv w:val="1"/>
      <w:marLeft w:val="0"/>
      <w:marRight w:val="0"/>
      <w:marTop w:val="0"/>
      <w:marBottom w:val="0"/>
      <w:divBdr>
        <w:top w:val="none" w:sz="0" w:space="0" w:color="auto"/>
        <w:left w:val="none" w:sz="0" w:space="0" w:color="auto"/>
        <w:bottom w:val="none" w:sz="0" w:space="0" w:color="auto"/>
        <w:right w:val="none" w:sz="0" w:space="0" w:color="auto"/>
      </w:divBdr>
    </w:div>
    <w:div w:id="1536654505">
      <w:bodyDiv w:val="1"/>
      <w:marLeft w:val="0"/>
      <w:marRight w:val="0"/>
      <w:marTop w:val="0"/>
      <w:marBottom w:val="0"/>
      <w:divBdr>
        <w:top w:val="none" w:sz="0" w:space="0" w:color="auto"/>
        <w:left w:val="none" w:sz="0" w:space="0" w:color="auto"/>
        <w:bottom w:val="none" w:sz="0" w:space="0" w:color="auto"/>
        <w:right w:val="none" w:sz="0" w:space="0" w:color="auto"/>
      </w:divBdr>
    </w:div>
    <w:div w:id="15496091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27938217">
      <w:bodyDiv w:val="1"/>
      <w:marLeft w:val="0"/>
      <w:marRight w:val="0"/>
      <w:marTop w:val="0"/>
      <w:marBottom w:val="0"/>
      <w:divBdr>
        <w:top w:val="none" w:sz="0" w:space="0" w:color="auto"/>
        <w:left w:val="none" w:sz="0" w:space="0" w:color="auto"/>
        <w:bottom w:val="none" w:sz="0" w:space="0" w:color="auto"/>
        <w:right w:val="none" w:sz="0" w:space="0" w:color="auto"/>
      </w:divBdr>
    </w:div>
    <w:div w:id="1869484213">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3074989">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51026966">
      <w:bodyDiv w:val="1"/>
      <w:marLeft w:val="0"/>
      <w:marRight w:val="0"/>
      <w:marTop w:val="0"/>
      <w:marBottom w:val="0"/>
      <w:divBdr>
        <w:top w:val="none" w:sz="0" w:space="0" w:color="auto"/>
        <w:left w:val="none" w:sz="0" w:space="0" w:color="auto"/>
        <w:bottom w:val="none" w:sz="0" w:space="0" w:color="auto"/>
        <w:right w:val="none" w:sz="0" w:space="0" w:color="auto"/>
      </w:divBdr>
    </w:div>
    <w:div w:id="2078897284">
      <w:bodyDiv w:val="1"/>
      <w:marLeft w:val="0"/>
      <w:marRight w:val="0"/>
      <w:marTop w:val="0"/>
      <w:marBottom w:val="0"/>
      <w:divBdr>
        <w:top w:val="none" w:sz="0" w:space="0" w:color="auto"/>
        <w:left w:val="none" w:sz="0" w:space="0" w:color="auto"/>
        <w:bottom w:val="none" w:sz="0" w:space="0" w:color="auto"/>
        <w:right w:val="none" w:sz="0" w:space="0" w:color="auto"/>
      </w:divBdr>
    </w:div>
    <w:div w:id="21042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content/dam/Worldbank/Research/GlobalFindex/PDF/Methodology.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orldbank.org/globalfindex" TargetMode="Externa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DDA38F2F394B86AAD97ECBBAC287CE"/>
        <w:category>
          <w:name w:val="General"/>
          <w:gallery w:val="placeholder"/>
        </w:category>
        <w:types>
          <w:type w:val="bbPlcHdr"/>
        </w:types>
        <w:behaviors>
          <w:behavior w:val="content"/>
        </w:behaviors>
        <w:guid w:val="{9C07E93A-5991-4571-8EF0-352B905C8A4E}"/>
      </w:docPartPr>
      <w:docPartBody>
        <w:p w:rsidR="00831587" w:rsidRDefault="00D704D7" w:rsidP="00D704D7">
          <w:pPr>
            <w:pStyle w:val="C6DDA38F2F394B86AAD97ECBBAC287CE"/>
          </w:pPr>
          <w:r w:rsidRPr="00D2076D">
            <w:rPr>
              <w:rStyle w:val="PlaceholderText"/>
            </w:rPr>
            <w:t>Choose an item.</w:t>
          </w:r>
        </w:p>
      </w:docPartBody>
    </w:docPart>
    <w:docPart>
      <w:docPartPr>
        <w:name w:val="8BCDF1C103864E2890028132FDF7FA80"/>
        <w:category>
          <w:name w:val="General"/>
          <w:gallery w:val="placeholder"/>
        </w:category>
        <w:types>
          <w:type w:val="bbPlcHdr"/>
        </w:types>
        <w:behaviors>
          <w:behavior w:val="content"/>
        </w:behaviors>
        <w:guid w:val="{37D31A0F-5979-4F2E-8A5D-E9CB4FF66BF6}"/>
      </w:docPartPr>
      <w:docPartBody>
        <w:p w:rsidR="00831587" w:rsidRDefault="00D704D7" w:rsidP="00D704D7">
          <w:pPr>
            <w:pStyle w:val="8BCDF1C103864E2890028132FDF7FA80"/>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D7"/>
    <w:rsid w:val="00831587"/>
    <w:rsid w:val="00D7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4D7"/>
    <w:rPr>
      <w:color w:val="808080"/>
    </w:rPr>
  </w:style>
  <w:style w:type="paragraph" w:customStyle="1" w:styleId="C6DDA38F2F394B86AAD97ECBBAC287CE">
    <w:name w:val="C6DDA38F2F394B86AAD97ECBBAC287CE"/>
    <w:rsid w:val="00D704D7"/>
  </w:style>
  <w:style w:type="paragraph" w:customStyle="1" w:styleId="8BCDF1C103864E2890028132FDF7FA80">
    <w:name w:val="8BCDF1C103864E2890028132FDF7FA80"/>
    <w:rsid w:val="00D70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528D-4ECB-424F-9A16-426BB285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31</cp:revision>
  <cp:lastPrinted>2020-04-10T17:02:00Z</cp:lastPrinted>
  <dcterms:created xsi:type="dcterms:W3CDTF">2020-04-13T02:36:00Z</dcterms:created>
  <dcterms:modified xsi:type="dcterms:W3CDTF">2020-04-17T13:27:00Z</dcterms:modified>
</cp:coreProperties>
</file>