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A2F1A5" w:rsidR="005377B9" w:rsidRPr="00837EC7" w:rsidRDefault="00F80947" w:rsidP="005C2326">
            <w:pPr>
              <w:pStyle w:val="MGTHeader"/>
              <w:rPr>
                <w:rFonts w:cstheme="minorHAnsi"/>
              </w:rPr>
            </w:pPr>
            <w:r w:rsidRPr="00573631">
              <w:t>Goal</w:t>
            </w:r>
            <w:r>
              <w:t>: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3CE9BC" w:rsidR="005377B9" w:rsidRPr="005C2326" w:rsidRDefault="00F80947" w:rsidP="005C2326">
            <w:pPr>
              <w:pStyle w:val="MGTHeader"/>
            </w:pPr>
            <w:r w:rsidRPr="005C2326">
              <w:t>Target: Achieve higher levels of economic productivity through diversification, technological upgrading and innovation, including through a focus on high-value added and labour-intensive sectors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58AD0E8" w:rsidR="005377B9" w:rsidRPr="00DB2680" w:rsidRDefault="00F80947" w:rsidP="005C2326">
            <w:pPr>
              <w:pStyle w:val="MIndHeader"/>
              <w:rPr>
                <w:b/>
                <w:bCs/>
                <w:sz w:val="24"/>
                <w:szCs w:val="24"/>
              </w:rPr>
            </w:pPr>
            <w:r w:rsidRPr="009C36DF">
              <w:rPr>
                <w:rStyle w:val="MIndHeaderChar"/>
              </w:rPr>
              <w:t>Indicator: 8.2.1: Annual growth rate of real GDP per employed person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8BEDB20" w:rsidR="005377B9" w:rsidRPr="00D6482F" w:rsidRDefault="00D6482F" w:rsidP="005C232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2019</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A1ECEF" w:rsidR="005377B9" w:rsidRPr="005C2326" w:rsidRDefault="005C40B7" w:rsidP="005C232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05CD9B2B" w14:textId="77777777" w:rsidR="00D6482F" w:rsidRPr="005C2326" w:rsidRDefault="00D6482F" w:rsidP="005C2326">
            <w:pPr>
              <w:pStyle w:val="MHeader"/>
            </w:pPr>
            <w:r w:rsidRPr="005C2326">
              <w:t>Institutional information</w:t>
            </w:r>
          </w:p>
          <w:p w14:paraId="45838A39" w14:textId="77777777" w:rsidR="00D6482F" w:rsidRPr="005C2326" w:rsidRDefault="00D6482F" w:rsidP="005C2326">
            <w:pPr>
              <w:pStyle w:val="MSubHeader"/>
            </w:pPr>
            <w:r w:rsidRPr="005C2326">
              <w:t>Organization(s):</w:t>
            </w:r>
          </w:p>
          <w:p w14:paraId="716FA1AC" w14:textId="79F25E1E" w:rsidR="005377B9" w:rsidRPr="00837EC7" w:rsidRDefault="00D6482F" w:rsidP="005C2326">
            <w:pPr>
              <w:pStyle w:val="MText"/>
              <w:rPr>
                <w:rFonts w:cstheme="minorHAnsi"/>
              </w:rPr>
            </w:pPr>
            <w:r w:rsidRPr="005C2326">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54EE8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B875B42" w14:textId="77777777" w:rsidR="00925D4E" w:rsidRPr="00573631" w:rsidRDefault="00925D4E" w:rsidP="00725266">
            <w:pPr>
              <w:pStyle w:val="MHeader"/>
            </w:pPr>
            <w:r w:rsidRPr="00573631">
              <w:t>Concepts and definitions</w:t>
            </w:r>
          </w:p>
          <w:p w14:paraId="522EC864" w14:textId="77777777" w:rsidR="00925D4E" w:rsidRPr="00573631" w:rsidRDefault="00925D4E" w:rsidP="00725266">
            <w:pPr>
              <w:pStyle w:val="MSubHeader"/>
            </w:pPr>
            <w:r w:rsidRPr="00573631">
              <w:t>Definition:</w:t>
            </w:r>
          </w:p>
          <w:p w14:paraId="67CA8968" w14:textId="77777777" w:rsidR="00925D4E" w:rsidRDefault="00925D4E" w:rsidP="00925D4E">
            <w:pPr>
              <w:shd w:val="clear" w:color="auto" w:fill="FFFFFF"/>
              <w:spacing w:after="0"/>
              <w:rPr>
                <w:rFonts w:eastAsia="Times New Roman" w:cs="Times New Roman"/>
                <w:color w:val="4A4A4A"/>
                <w:sz w:val="21"/>
                <w:szCs w:val="21"/>
                <w:lang w:eastAsia="en-GB"/>
              </w:rPr>
            </w:pPr>
            <w:r w:rsidRPr="00BD732A">
              <w:rPr>
                <w:rFonts w:eastAsia="Times New Roman" w:cs="Times New Roman"/>
                <w:color w:val="4A4A4A"/>
                <w:sz w:val="21"/>
                <w:szCs w:val="21"/>
                <w:lang w:eastAsia="en-GB"/>
              </w:rPr>
              <w:t>Annual growth rate of real GDP per employed person conveys the annual percentage change in real Gross</w:t>
            </w:r>
            <w:r>
              <w:rPr>
                <w:rFonts w:eastAsia="Times New Roman" w:cs="Times New Roman"/>
                <w:color w:val="4A4A4A"/>
                <w:sz w:val="21"/>
                <w:szCs w:val="21"/>
                <w:lang w:eastAsia="en-GB"/>
              </w:rPr>
              <w:t xml:space="preserve"> </w:t>
            </w:r>
            <w:r w:rsidRPr="00BD732A">
              <w:rPr>
                <w:rFonts w:eastAsia="Times New Roman" w:cs="Times New Roman"/>
                <w:color w:val="4A4A4A"/>
                <w:sz w:val="21"/>
                <w:szCs w:val="21"/>
                <w:lang w:eastAsia="en-GB"/>
              </w:rPr>
              <w:t>Domestic Product per employed person.</w:t>
            </w:r>
          </w:p>
          <w:p w14:paraId="60064CE5" w14:textId="6E1BD525" w:rsidR="00925D4E" w:rsidRDefault="00925D4E" w:rsidP="00725266">
            <w:pPr>
              <w:pStyle w:val="MText"/>
            </w:pPr>
          </w:p>
          <w:p w14:paraId="195F1D18" w14:textId="77777777" w:rsidR="00925D4E" w:rsidRPr="00573631" w:rsidRDefault="00925D4E" w:rsidP="00725266">
            <w:pPr>
              <w:pStyle w:val="MSubHeader"/>
            </w:pPr>
            <w:r w:rsidRPr="00573631">
              <w:t>Concepts:</w:t>
            </w:r>
          </w:p>
          <w:p w14:paraId="70EBDC03" w14:textId="77777777" w:rsidR="00925D4E" w:rsidRDefault="00925D4E" w:rsidP="00725266">
            <w:pPr>
              <w:pStyle w:val="MText"/>
            </w:pPr>
            <w:r w:rsidRPr="00725266">
              <w:rPr>
                <w:b/>
                <w:bCs/>
                <w:i/>
                <w:iCs/>
              </w:rPr>
              <w:t>Gross Domestic Product (GDP):</w:t>
            </w:r>
            <w:r w:rsidRPr="00BD732A">
              <w:t xml:space="preserve"> It is the main measure of national output, representing the total value of all</w:t>
            </w:r>
            <w:r>
              <w:t xml:space="preserve"> </w:t>
            </w:r>
            <w:r w:rsidRPr="00BD732A">
              <w:t xml:space="preserve">final goods and services </w:t>
            </w:r>
            <w:r w:rsidRPr="00B468B8">
              <w:t xml:space="preserve">within the System of National Accounts (SNA) production boundary </w:t>
            </w:r>
            <w:r w:rsidRPr="00BD732A">
              <w:t>produced in a particular economy (that is, the dollar value of all goods and services</w:t>
            </w:r>
            <w:r>
              <w:t xml:space="preserve"> </w:t>
            </w:r>
            <w:r w:rsidRPr="00B468B8">
              <w:t>within t</w:t>
            </w:r>
            <w:r>
              <w:t>he SNA</w:t>
            </w:r>
            <w:r w:rsidRPr="00B468B8">
              <w:t xml:space="preserve"> production boundary </w:t>
            </w:r>
            <w:r w:rsidRPr="00BD732A">
              <w:t>produced within a country’s borders in a given year). According to the SNA,</w:t>
            </w:r>
            <w:r>
              <w:t xml:space="preserve"> </w:t>
            </w:r>
            <w:r w:rsidRPr="00BD732A">
              <w:t>“GDP is the sum of gross value added of all resident producer units plus that part (possibly the total) of taxes</w:t>
            </w:r>
            <w:r>
              <w:t xml:space="preserve"> </w:t>
            </w:r>
            <w:r w:rsidRPr="00BD732A">
              <w:t>on products, less subsidies on products, that is not included in the valuation of output … GDP is also equal to the sum of the final uses of goods and services (all uses except intermediate consumption) measured at</w:t>
            </w:r>
            <w:r>
              <w:t xml:space="preserve"> </w:t>
            </w:r>
            <w:r w:rsidRPr="00BD732A">
              <w:t>purchasers’ prices, less the value of imports of goods and services GDP is also equal to the sum of primary</w:t>
            </w:r>
            <w:r>
              <w:t xml:space="preserve"> </w:t>
            </w:r>
            <w:r w:rsidRPr="00BD732A">
              <w:t>incomes distributed by resident producer units.”</w:t>
            </w:r>
          </w:p>
          <w:p w14:paraId="23644512" w14:textId="77777777" w:rsidR="00925D4E" w:rsidRPr="00BD732A" w:rsidRDefault="00925D4E" w:rsidP="00725266">
            <w:pPr>
              <w:pStyle w:val="MText"/>
            </w:pPr>
          </w:p>
          <w:p w14:paraId="58BA7F41" w14:textId="77777777" w:rsidR="00925D4E" w:rsidRDefault="00925D4E" w:rsidP="00725266">
            <w:pPr>
              <w:pStyle w:val="MText"/>
            </w:pPr>
            <w:r w:rsidRPr="00725266">
              <w:rPr>
                <w:b/>
                <w:bCs/>
                <w:i/>
                <w:iCs/>
              </w:rPr>
              <w:t>Real Gross Domestic Product (GDP):</w:t>
            </w:r>
            <w:r w:rsidRPr="00BD732A">
              <w:t xml:space="preserve"> </w:t>
            </w:r>
            <w:r>
              <w:t>R</w:t>
            </w:r>
            <w:r w:rsidRPr="00BD732A">
              <w:t>eal GDP refers to GDP calculated at constant prices, that is, the</w:t>
            </w:r>
            <w:r>
              <w:t xml:space="preserve"> </w:t>
            </w:r>
            <w:r w:rsidRPr="00BD732A">
              <w:t>volume level of GDP, excluding the effect of inflation and favouring comparisons of quantities beyond price</w:t>
            </w:r>
            <w:r>
              <w:t xml:space="preserve"> </w:t>
            </w:r>
            <w:r w:rsidRPr="00BD732A">
              <w:t>changes. Constant price estimates of GDP are calculated by expressing values in terms of a base period. In</w:t>
            </w:r>
            <w:r>
              <w:t xml:space="preserve"> </w:t>
            </w:r>
            <w:r w:rsidRPr="00BD732A">
              <w:t xml:space="preserve">theory, the price and quantity components of a value </w:t>
            </w:r>
            <w:r w:rsidRPr="00BD732A">
              <w:lastRenderedPageBreak/>
              <w:t>are identified and the price in the base period is</w:t>
            </w:r>
            <w:r>
              <w:t xml:space="preserve"> </w:t>
            </w:r>
            <w:r w:rsidRPr="00BD732A">
              <w:t>substituted for that in the current period.</w:t>
            </w:r>
          </w:p>
          <w:p w14:paraId="3CCCD6F4" w14:textId="320E9FB4" w:rsidR="00925D4E" w:rsidRDefault="00925D4E" w:rsidP="00925D4E">
            <w:pPr>
              <w:shd w:val="clear" w:color="auto" w:fill="FFFFFF"/>
              <w:spacing w:after="0"/>
              <w:rPr>
                <w:rFonts w:eastAsia="Times New Roman" w:cs="Times New Roman"/>
                <w:color w:val="4A4A4A"/>
                <w:sz w:val="21"/>
                <w:szCs w:val="21"/>
                <w:lang w:eastAsia="en-GB"/>
              </w:rPr>
            </w:pPr>
          </w:p>
          <w:p w14:paraId="6C84E827" w14:textId="00A7FA25" w:rsidR="0015178E" w:rsidRPr="00837EC7" w:rsidRDefault="00925D4E" w:rsidP="00725266">
            <w:pPr>
              <w:shd w:val="clear" w:color="auto" w:fill="FFFFFF"/>
              <w:spacing w:after="0"/>
              <w:rPr>
                <w:rFonts w:cstheme="minorHAnsi"/>
                <w:sz w:val="21"/>
                <w:szCs w:val="21"/>
              </w:rPr>
            </w:pPr>
            <w:r w:rsidRPr="00725266">
              <w:rPr>
                <w:rFonts w:eastAsia="Times New Roman" w:cs="Times New Roman"/>
                <w:b/>
                <w:bCs/>
                <w:i/>
                <w:iCs/>
                <w:color w:val="4A4A4A"/>
                <w:sz w:val="21"/>
                <w:szCs w:val="21"/>
                <w:lang w:eastAsia="en-GB"/>
              </w:rPr>
              <w:t>Employed persons:</w:t>
            </w:r>
            <w:r w:rsidRPr="00BD732A">
              <w:rPr>
                <w:rFonts w:eastAsia="Times New Roman" w:cs="Times New Roman"/>
                <w:color w:val="4A4A4A"/>
                <w:sz w:val="21"/>
                <w:szCs w:val="21"/>
                <w:lang w:eastAsia="en-GB"/>
              </w:rPr>
              <w:t xml:space="preserve"> Persons of working age (usually defined as persons aged 15 and above) who, during a</w:t>
            </w:r>
            <w:r>
              <w:rPr>
                <w:rFonts w:eastAsia="Times New Roman" w:cs="Times New Roman"/>
                <w:color w:val="4A4A4A"/>
                <w:sz w:val="21"/>
                <w:szCs w:val="21"/>
                <w:lang w:eastAsia="en-GB"/>
              </w:rPr>
              <w:t xml:space="preserve"> </w:t>
            </w:r>
            <w:r w:rsidRPr="00BD732A">
              <w:rPr>
                <w:rFonts w:eastAsia="Times New Roman" w:cs="Times New Roman"/>
                <w:color w:val="4A4A4A"/>
                <w:sz w:val="21"/>
                <w:szCs w:val="21"/>
                <w:lang w:eastAsia="en-GB"/>
              </w:rPr>
              <w:t>short reference period such as a week,</w:t>
            </w:r>
            <w:r>
              <w:rPr>
                <w:rFonts w:eastAsia="Times New Roman" w:cs="Times New Roman"/>
                <w:color w:val="4A4A4A"/>
                <w:sz w:val="21"/>
                <w:szCs w:val="21"/>
                <w:lang w:eastAsia="en-GB"/>
              </w:rPr>
              <w:t xml:space="preserve"> </w:t>
            </w:r>
            <w:r w:rsidRPr="00B468B8">
              <w:rPr>
                <w:rFonts w:eastAsia="Times New Roman" w:cs="Times New Roman"/>
                <w:color w:val="4A4A4A"/>
                <w:sz w:val="21"/>
                <w:szCs w:val="21"/>
                <w:lang w:eastAsia="en-GB"/>
              </w:rPr>
              <w:t>performed work for others in exchange for pay or profit</w:t>
            </w:r>
            <w:r>
              <w:rPr>
                <w:rFonts w:eastAsia="Times New Roman" w:cs="Times New Roman"/>
                <w:color w:val="4A4A4A"/>
                <w:sz w:val="21"/>
                <w:szCs w:val="21"/>
                <w:lang w:eastAsia="en-GB"/>
              </w:rPr>
              <w:t xml:space="preserve"> (as stated in the</w:t>
            </w:r>
            <w:r w:rsidRPr="007F68FC">
              <w:t xml:space="preserve"> </w:t>
            </w:r>
            <w:r w:rsidRPr="003F0DF7">
              <w:rPr>
                <w:rFonts w:eastAsia="Times New Roman" w:cs="Times New Roman"/>
                <w:i/>
                <w:color w:val="4A4A4A"/>
                <w:sz w:val="21"/>
                <w:szCs w:val="21"/>
                <w:lang w:eastAsia="en-GB"/>
              </w:rPr>
              <w:t>Resolution concerning statistics of work, employment and labour underutilization</w:t>
            </w:r>
            <w:r>
              <w:rPr>
                <w:rFonts w:eastAsia="Times New Roman" w:cs="Times New Roman"/>
                <w:color w:val="4A4A4A"/>
                <w:sz w:val="21"/>
                <w:szCs w:val="21"/>
                <w:lang w:eastAsia="en-GB"/>
              </w:rPr>
              <w:t xml:space="preserve"> a</w:t>
            </w:r>
            <w:r w:rsidRPr="007F68FC">
              <w:rPr>
                <w:rFonts w:eastAsia="Times New Roman" w:cs="Times New Roman"/>
                <w:color w:val="4A4A4A"/>
                <w:sz w:val="21"/>
                <w:szCs w:val="21"/>
                <w:lang w:eastAsia="en-GB"/>
              </w:rPr>
              <w:t xml:space="preserve">dopted by the </w:t>
            </w:r>
            <w:r>
              <w:rPr>
                <w:rFonts w:eastAsia="Times New Roman" w:cs="Times New Roman"/>
                <w:color w:val="4A4A4A"/>
                <w:sz w:val="21"/>
                <w:szCs w:val="21"/>
                <w:lang w:eastAsia="en-GB"/>
              </w:rPr>
              <w:t>19</w:t>
            </w:r>
            <w:r w:rsidRPr="003F0DF7">
              <w:rPr>
                <w:rFonts w:eastAsia="Times New Roman" w:cs="Times New Roman"/>
                <w:color w:val="4A4A4A"/>
                <w:sz w:val="21"/>
                <w:szCs w:val="21"/>
                <w:vertAlign w:val="superscript"/>
                <w:lang w:eastAsia="en-GB"/>
              </w:rPr>
              <w:t>th</w:t>
            </w:r>
            <w:r>
              <w:rPr>
                <w:rFonts w:eastAsia="Times New Roman" w:cs="Times New Roman"/>
                <w:color w:val="4A4A4A"/>
                <w:sz w:val="21"/>
                <w:szCs w:val="21"/>
                <w:lang w:eastAsia="en-GB"/>
              </w:rPr>
              <w:t xml:space="preserve"> </w:t>
            </w:r>
            <w:r w:rsidRPr="007F68FC">
              <w:rPr>
                <w:rFonts w:eastAsia="Times New Roman" w:cs="Times New Roman"/>
                <w:color w:val="4A4A4A"/>
                <w:sz w:val="21"/>
                <w:szCs w:val="21"/>
                <w:lang w:eastAsia="en-GB"/>
              </w:rPr>
              <w:t>International Conference of Labour Statisticians</w:t>
            </w:r>
            <w:r>
              <w:rPr>
                <w:rFonts w:eastAsia="Times New Roman" w:cs="Times New Roman"/>
                <w:color w:val="4A4A4A"/>
                <w:sz w:val="21"/>
                <w:szCs w:val="21"/>
                <w:lang w:eastAsia="en-GB"/>
              </w:rPr>
              <w:t>)</w:t>
            </w:r>
            <w:r w:rsidRPr="00BD732A">
              <w:rPr>
                <w:rFonts w:eastAsia="Times New Roman" w:cs="Times New Roman"/>
                <w:color w:val="4A4A4A"/>
                <w:sz w:val="21"/>
                <w:szCs w:val="21"/>
                <w:lang w:eastAsia="en-GB"/>
              </w:rPr>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FE1E482" w14:textId="760870D8" w:rsidR="00925D4E" w:rsidRPr="00573631" w:rsidRDefault="00925D4E" w:rsidP="00435240">
            <w:pPr>
              <w:pStyle w:val="MHeader"/>
            </w:pPr>
            <w:r w:rsidRPr="00573631">
              <w:t xml:space="preserve">Data </w:t>
            </w:r>
            <w:r w:rsidR="00435240">
              <w:t>s</w:t>
            </w:r>
            <w:r w:rsidRPr="00573631">
              <w:t>ources</w:t>
            </w:r>
          </w:p>
          <w:p w14:paraId="48C3A963" w14:textId="77777777" w:rsidR="00925D4E" w:rsidRPr="00573631" w:rsidRDefault="00925D4E" w:rsidP="00435240">
            <w:pPr>
              <w:pStyle w:val="MSubHeader"/>
            </w:pPr>
            <w:r w:rsidRPr="00573631">
              <w:t>Description:</w:t>
            </w:r>
          </w:p>
          <w:p w14:paraId="154614CF" w14:textId="77777777" w:rsidR="00925D4E" w:rsidRDefault="00925D4E" w:rsidP="00435240">
            <w:pPr>
              <w:pStyle w:val="MText"/>
            </w:pPr>
            <w:r w:rsidRPr="00E51AF8">
              <w:t>Output measures used in the n</w:t>
            </w:r>
            <w:r>
              <w:t>umerator</w:t>
            </w:r>
            <w:r w:rsidRPr="00E51AF8">
              <w:t xml:space="preserve"> of this indicator (Gross Domestic Product) are best obtained from</w:t>
            </w:r>
            <w:r>
              <w:t xml:space="preserve"> </w:t>
            </w:r>
            <w:r w:rsidRPr="00E51AF8">
              <w:t>the production side of national accounts and represent, as much as possible, GDP at market prices for the</w:t>
            </w:r>
            <w:r>
              <w:t xml:space="preserve"> </w:t>
            </w:r>
            <w:r w:rsidRPr="00E51AF8">
              <w:t>aggregate economy (adjusted for inflation, in constant prices).</w:t>
            </w:r>
          </w:p>
          <w:p w14:paraId="3C98F482" w14:textId="77777777" w:rsidR="00925D4E" w:rsidRPr="00E51AF8" w:rsidRDefault="00925D4E" w:rsidP="00435240">
            <w:pPr>
              <w:pStyle w:val="MText"/>
            </w:pPr>
          </w:p>
          <w:p w14:paraId="52E8F89D" w14:textId="77777777" w:rsidR="00925D4E" w:rsidRDefault="00925D4E" w:rsidP="00435240">
            <w:pPr>
              <w:pStyle w:val="MText"/>
            </w:pPr>
            <w:r w:rsidRPr="00E51AF8">
              <w:t xml:space="preserve">Employment data used in the denominator are preferably derived from </w:t>
            </w:r>
            <w:r>
              <w:t xml:space="preserve">labour force or other household </w:t>
            </w:r>
            <w:r w:rsidRPr="00E51AF8">
              <w:t>surveys with an employment module. In the absence of a household survey, establishment surveys,</w:t>
            </w:r>
            <w:r>
              <w:t xml:space="preserve"> </w:t>
            </w:r>
            <w:r w:rsidRPr="00E51AF8">
              <w:t>administrative records or official estimates based on reliable sources can be used as well as population</w:t>
            </w:r>
            <w:r>
              <w:t xml:space="preserve"> </w:t>
            </w:r>
            <w:r w:rsidRPr="00E51AF8">
              <w:t>censuses. It is however important to note that employment data from establishment surveys will capture the</w:t>
            </w:r>
            <w:r>
              <w:t xml:space="preserve"> </w:t>
            </w:r>
            <w:r w:rsidRPr="00E51AF8">
              <w:t>number of jobs and not the number of persons employed as preferred for the denominator. Also, establishment surveys cover, in many cases, the formal sector and em</w:t>
            </w:r>
            <w:r>
              <w:t xml:space="preserve">ployers and employees only, not </w:t>
            </w:r>
            <w:r w:rsidRPr="00E51AF8">
              <w:t>accounting for the whole economy.</w:t>
            </w:r>
          </w:p>
          <w:p w14:paraId="4E96939F" w14:textId="77777777" w:rsidR="00925D4E" w:rsidRPr="00E51AF8" w:rsidRDefault="00925D4E" w:rsidP="00435240">
            <w:pPr>
              <w:pStyle w:val="MText"/>
            </w:pPr>
          </w:p>
          <w:p w14:paraId="571CD33E" w14:textId="313109C0" w:rsidR="0035311B" w:rsidRPr="00837EC7" w:rsidRDefault="00925D4E" w:rsidP="00435240">
            <w:pPr>
              <w:pStyle w:val="MText"/>
              <w:rPr>
                <w:rFonts w:cstheme="minorHAnsi"/>
              </w:rPr>
            </w:pPr>
            <w:r w:rsidRPr="00E51AF8">
              <w:t xml:space="preserve">When calculating this indicator, it is important to ensure that the coverage of </w:t>
            </w:r>
            <w:r>
              <w:t xml:space="preserve">the employment data is </w:t>
            </w:r>
            <w:r w:rsidRPr="00E51AF8">
              <w:t>consistent with that of the national accounts.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FACEA50" w14:textId="77777777" w:rsidR="00925D4E" w:rsidRPr="00573631" w:rsidRDefault="00925D4E" w:rsidP="00435240">
            <w:pPr>
              <w:pStyle w:val="MSubHeader"/>
            </w:pPr>
            <w:r w:rsidRPr="00573631">
              <w:t>Collection process:</w:t>
            </w:r>
          </w:p>
          <w:p w14:paraId="60E54013" w14:textId="453A0C74" w:rsidR="0035311B" w:rsidRPr="00837EC7" w:rsidRDefault="00925D4E" w:rsidP="00435240">
            <w:pPr>
              <w:pStyle w:val="MText"/>
              <w:rPr>
                <w:rFonts w:cstheme="minorHAnsi"/>
              </w:rPr>
            </w:pPr>
            <w:r>
              <w:lastRenderedPageBreak/>
              <w:t xml:space="preserve">For the purposes of international reporting on the SDG indicators, the ILO uses country-level estimates of </w:t>
            </w:r>
            <w:r w:rsidRPr="00250B30">
              <w:t xml:space="preserve">GDP </w:t>
            </w:r>
            <w:r>
              <w:t xml:space="preserve">in </w:t>
            </w:r>
            <w:r w:rsidRPr="00250B30">
              <w:t>constant 20</w:t>
            </w:r>
            <w:r>
              <w:t>10</w:t>
            </w:r>
            <w:r w:rsidRPr="00250B30">
              <w:t xml:space="preserve"> US$</w:t>
            </w:r>
            <w:r>
              <w:t xml:space="preserve"> from the World Bank’s World Development Indicators database and country-level estimates on employment from household surveys or derived from the ILO’s TEM to calculate levels and growth rates of labour productivity at the country, regional and global levels.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14331D5" w14:textId="77777777" w:rsidR="005C40B7" w:rsidRPr="00573631" w:rsidRDefault="005C40B7" w:rsidP="00435240">
            <w:pPr>
              <w:pStyle w:val="MHeader"/>
            </w:pPr>
            <w:r w:rsidRPr="00573631">
              <w:t>Calendar</w:t>
            </w:r>
          </w:p>
          <w:p w14:paraId="604493E0" w14:textId="137B172C" w:rsidR="0035311B" w:rsidRPr="00435240" w:rsidRDefault="005C40B7" w:rsidP="00435240">
            <w:pPr>
              <w:pStyle w:val="MSubHeader"/>
            </w:pPr>
            <w:r w:rsidRPr="00573631">
              <w:t>Data collection: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2EC025F" w14:textId="77777777" w:rsidR="005C40B7" w:rsidRPr="00573631" w:rsidRDefault="005C40B7" w:rsidP="00435240">
            <w:pPr>
              <w:pStyle w:val="MSubHeader"/>
            </w:pPr>
            <w:r w:rsidRPr="00573631">
              <w:t>Data release:</w:t>
            </w:r>
          </w:p>
          <w:p w14:paraId="35EF5915" w14:textId="69809594" w:rsidR="0035311B" w:rsidRPr="00837EC7" w:rsidRDefault="005C40B7" w:rsidP="00435240">
            <w:pPr>
              <w:pStyle w:val="MText"/>
              <w:rPr>
                <w:rFonts w:cstheme="minorHAnsi"/>
              </w:rPr>
            </w:pPr>
            <w:r>
              <w:t xml:space="preserve">ILO estimates of labour productivity </w:t>
            </w:r>
            <w:r w:rsidRPr="00084465">
              <w:t xml:space="preserve">are part of the ILO Estimates and Projections series, analysed in the ILO's World Employment and Social Outlook reports. </w:t>
            </w:r>
            <w:r>
              <w:t>Both the underlying ILO estimates and the WESO are released twice a year (May and January).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0A806A" w14:textId="77777777" w:rsidR="005C40B7" w:rsidRPr="00573631" w:rsidRDefault="005C40B7" w:rsidP="00435240">
            <w:pPr>
              <w:pStyle w:val="MHeader"/>
            </w:pPr>
            <w:r w:rsidRPr="00573631">
              <w:t>Data providers</w:t>
            </w:r>
          </w:p>
          <w:p w14:paraId="53ED5718" w14:textId="77777777" w:rsidR="005C40B7" w:rsidRDefault="005C40B7" w:rsidP="00435240">
            <w:pPr>
              <w:pStyle w:val="MText"/>
            </w:pPr>
            <w:r w:rsidRPr="00B92780">
              <w:t xml:space="preserve">National Statistical Offices, </w:t>
            </w:r>
            <w:r>
              <w:t xml:space="preserve">and </w:t>
            </w:r>
            <w:r w:rsidRPr="00B92780">
              <w:t>in some cases Labour Ministries or other related agencies</w:t>
            </w:r>
            <w:r>
              <w:t>.</w:t>
            </w:r>
          </w:p>
          <w:p w14:paraId="533325D5" w14:textId="77777777" w:rsidR="005C40B7" w:rsidRPr="00573631" w:rsidRDefault="005C40B7" w:rsidP="005C40B7">
            <w:pPr>
              <w:shd w:val="clear" w:color="auto" w:fill="FFFFFF"/>
              <w:spacing w:after="0"/>
              <w:rPr>
                <w:rFonts w:eastAsia="Times New Roman" w:cs="Times New Roman"/>
                <w:color w:val="4A4A4A"/>
                <w:sz w:val="21"/>
                <w:szCs w:val="21"/>
                <w:lang w:eastAsia="en-GB"/>
              </w:rPr>
            </w:pPr>
          </w:p>
          <w:p w14:paraId="6C3F4EB8" w14:textId="77777777" w:rsidR="005C40B7" w:rsidRPr="00573631" w:rsidRDefault="005C40B7" w:rsidP="00435240">
            <w:pPr>
              <w:pStyle w:val="MHeader"/>
            </w:pPr>
            <w:r w:rsidRPr="00573631">
              <w:t>Data compilers</w:t>
            </w:r>
          </w:p>
          <w:p w14:paraId="49E07E1E" w14:textId="1169DACA" w:rsidR="0035311B" w:rsidRPr="00837EC7" w:rsidRDefault="005C40B7" w:rsidP="00435240">
            <w:pPr>
              <w:pStyle w:val="MText"/>
              <w:rPr>
                <w:rFonts w:cstheme="minorHAnsi"/>
              </w:rPr>
            </w:pPr>
            <w:r>
              <w:t>ILO.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F8F1349" w14:textId="77777777" w:rsidR="00925D4E" w:rsidRPr="00573631" w:rsidRDefault="00925D4E" w:rsidP="00765768">
            <w:pPr>
              <w:pStyle w:val="MSubHeader"/>
            </w:pPr>
            <w:r w:rsidRPr="00573631">
              <w:t>Rationale:</w:t>
            </w:r>
          </w:p>
          <w:p w14:paraId="7EE39FE6" w14:textId="77777777" w:rsidR="00925D4E" w:rsidRDefault="00925D4E" w:rsidP="00435240">
            <w:pPr>
              <w:pStyle w:val="MText"/>
            </w:pPr>
            <w:r w:rsidRPr="00BD732A">
              <w:t>The real GDP per employed person being a measure of labour productivity, this indicator represents a</w:t>
            </w:r>
            <w:r>
              <w:t xml:space="preserve"> </w:t>
            </w:r>
            <w:r w:rsidRPr="00BD732A">
              <w:t>measure of labour productivity growth, thus providing information on the evolution, efficiency and quality of</w:t>
            </w:r>
            <w:r>
              <w:t xml:space="preserve"> </w:t>
            </w:r>
            <w:r w:rsidRPr="00BD732A">
              <w:t>human capital in the production process.</w:t>
            </w:r>
          </w:p>
          <w:p w14:paraId="7D7A2639" w14:textId="77777777" w:rsidR="00925D4E" w:rsidRDefault="00925D4E" w:rsidP="00435240">
            <w:pPr>
              <w:pStyle w:val="MText"/>
            </w:pPr>
          </w:p>
          <w:p w14:paraId="2E3517AC" w14:textId="7287C9DB" w:rsidR="007F2D9F" w:rsidRPr="00837EC7" w:rsidRDefault="00925D4E" w:rsidP="00435240">
            <w:pPr>
              <w:pStyle w:val="MText"/>
              <w:rPr>
                <w:rFonts w:cstheme="minorHAnsi"/>
              </w:rPr>
            </w:pPr>
            <w:r w:rsidRPr="00BD732A">
              <w:t>Economic growth in a country can be ascribed either to increased employment or to more effective work by</w:t>
            </w:r>
            <w:r>
              <w:t xml:space="preserve"> </w:t>
            </w:r>
            <w:r w:rsidRPr="00BD732A">
              <w:t>those who are employed. This indicator casts light on the latter effect, being therefore a key measure of</w:t>
            </w:r>
            <w:r>
              <w:t xml:space="preserve"> </w:t>
            </w:r>
            <w:r w:rsidRPr="00BD732A">
              <w:t xml:space="preserve">economic performance. Labour productivity (and growth) estimates can support the formulation </w:t>
            </w:r>
            <w:r w:rsidRPr="00435240">
              <w:lastRenderedPageBreak/>
              <w:t>of labour market policies and monitor their effects. They can also contribute to the understanding of how labour market performance affects living standards.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050F022" w14:textId="77777777" w:rsidR="00925D4E" w:rsidRPr="00573631" w:rsidRDefault="00925D4E" w:rsidP="00435240">
            <w:pPr>
              <w:pStyle w:val="MSubHeader"/>
            </w:pPr>
            <w:r>
              <w:t>Comments and limitations:</w:t>
            </w:r>
          </w:p>
          <w:p w14:paraId="0C18F5B0" w14:textId="77777777" w:rsidR="00925D4E" w:rsidRDefault="00925D4E" w:rsidP="00435240">
            <w:pPr>
              <w:pStyle w:val="MText"/>
            </w:pPr>
            <w:r w:rsidRPr="002C6707">
              <w:t>Output measures are obtained from national accounts and represent, as much as possible, GDP at market</w:t>
            </w:r>
            <w:r>
              <w:t xml:space="preserve"> </w:t>
            </w:r>
            <w:r w:rsidRPr="002C6707">
              <w:t>prices for the aggregate economy. However, despite common principles that are mostly based on the United</w:t>
            </w:r>
            <w:r>
              <w:t xml:space="preserve"> </w:t>
            </w:r>
            <w:r w:rsidRPr="002C6707">
              <w:t>Nations System of National Accounts, there are still significant problems in international consistency of</w:t>
            </w:r>
            <w:r>
              <w:t xml:space="preserve"> </w:t>
            </w:r>
            <w:r w:rsidRPr="002C6707">
              <w:t>national accounts estimates, based on factors such as differences in the treatment of output in services</w:t>
            </w:r>
            <w:r>
              <w:t xml:space="preserve"> </w:t>
            </w:r>
            <w:r w:rsidRPr="002C6707">
              <w:t>sectors, differences in methods used to correct output measures for price changes (in particular, the use of</w:t>
            </w:r>
            <w:r>
              <w:t xml:space="preserve"> </w:t>
            </w:r>
            <w:r w:rsidRPr="002C6707">
              <w:t>different weighting systems to obtain deflators) and differences in the degree of coverage of informal</w:t>
            </w:r>
            <w:r>
              <w:t xml:space="preserve"> </w:t>
            </w:r>
            <w:r w:rsidRPr="002C6707">
              <w:t>economic activities.</w:t>
            </w:r>
          </w:p>
          <w:p w14:paraId="3496104B" w14:textId="77777777" w:rsidR="00925D4E" w:rsidRPr="002C6707" w:rsidRDefault="00925D4E" w:rsidP="00435240">
            <w:pPr>
              <w:pStyle w:val="MText"/>
            </w:pPr>
          </w:p>
          <w:p w14:paraId="48EF8537" w14:textId="5F444149" w:rsidR="007F2D9F" w:rsidRPr="00837EC7" w:rsidRDefault="00925D4E" w:rsidP="00435240">
            <w:pPr>
              <w:pStyle w:val="MText"/>
              <w:rPr>
                <w:rFonts w:cstheme="minorHAnsi"/>
              </w:rPr>
            </w:pPr>
            <w:r>
              <w:t>D</w:t>
            </w:r>
            <w:r w:rsidRPr="002C6707">
              <w:t>ata on employment used in the denominator of this indicator refer, as much as possible, to the</w:t>
            </w:r>
            <w:r>
              <w:t xml:space="preserve"> </w:t>
            </w:r>
            <w:r w:rsidRPr="002C6707">
              <w:t xml:space="preserve">average number of persons with one or more paid jobs during the year. </w:t>
            </w:r>
            <w:r>
              <w:t xml:space="preserve">That is, the reliability of the </w:t>
            </w:r>
            <w:r w:rsidRPr="002C6707">
              <w:t>employment data is also dependent on the degree of coverage of informal activities by the statistical source</w:t>
            </w:r>
            <w:r>
              <w:t xml:space="preserve"> </w:t>
            </w:r>
            <w:r w:rsidRPr="002C6707">
              <w:t>used</w:t>
            </w:r>
            <w:r>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35D5699" w14:textId="77777777" w:rsidR="00925D4E" w:rsidRPr="00573631" w:rsidRDefault="00925D4E" w:rsidP="00D869CB">
            <w:pPr>
              <w:pStyle w:val="MHeader"/>
            </w:pPr>
            <w:r w:rsidRPr="00573631">
              <w:t>Methodology</w:t>
            </w:r>
          </w:p>
          <w:p w14:paraId="5BC7E278" w14:textId="1D953A9F" w:rsidR="00925D4E" w:rsidRDefault="00925D4E" w:rsidP="00D869CB">
            <w:pPr>
              <w:pStyle w:val="MSubHeader"/>
            </w:pPr>
            <w:r w:rsidRPr="00573631">
              <w:t xml:space="preserve">Computation </w:t>
            </w:r>
            <w:r w:rsidR="00D869CB">
              <w:t>m</w:t>
            </w:r>
            <w:r w:rsidRPr="00573631">
              <w:t>ethod:</w:t>
            </w:r>
          </w:p>
          <w:p w14:paraId="42D7F945" w14:textId="72829CFC" w:rsidR="00D869CB" w:rsidRDefault="00D869CB" w:rsidP="00925D4E">
            <w:pPr>
              <w:shd w:val="clear" w:color="auto" w:fill="FFFFFF"/>
              <w:spacing w:after="0"/>
              <w:rPr>
                <w:rFonts w:eastAsia="Times New Roman" w:cs="Times New Roman"/>
                <w:color w:val="4A4A4A"/>
                <w:sz w:val="21"/>
                <w:szCs w:val="21"/>
                <w:lang w:eastAsia="en-GB"/>
              </w:rPr>
            </w:pPr>
          </w:p>
          <w:p w14:paraId="3B76C81B" w14:textId="4B31494A" w:rsidR="00A90346" w:rsidRDefault="00A90346" w:rsidP="00D869CB">
            <w:pPr>
              <w:pStyle w:val="MText"/>
            </w:pPr>
            <w:r>
              <w:t>Real GDP per employed person = GDP at constant prices/Total employment</w:t>
            </w:r>
          </w:p>
          <w:p w14:paraId="74B7967C" w14:textId="77777777" w:rsidR="00A90346" w:rsidRDefault="00A90346" w:rsidP="00D869CB">
            <w:pPr>
              <w:pStyle w:val="MText"/>
            </w:pPr>
          </w:p>
          <w:p w14:paraId="1E47FB46" w14:textId="1E60700E" w:rsidR="00925D4E" w:rsidRPr="002F0B82" w:rsidRDefault="00925D4E" w:rsidP="00D869CB">
            <w:pPr>
              <w:pStyle w:val="MText"/>
            </w:pPr>
            <w:r>
              <w:t>T</w:t>
            </w:r>
            <w:r w:rsidRPr="002F0B82">
              <w:t xml:space="preserve">he numerator and denominator </w:t>
            </w:r>
            <w:r>
              <w:t xml:space="preserve">of the equation above should </w:t>
            </w:r>
            <w:r w:rsidRPr="002F0B82">
              <w:t>refer to the same reference period, for example, the same calendar</w:t>
            </w:r>
            <w:r>
              <w:t xml:space="preserve"> </w:t>
            </w:r>
            <w:r w:rsidRPr="002F0B82">
              <w:t>year.</w:t>
            </w:r>
          </w:p>
          <w:p w14:paraId="4A7F7290" w14:textId="77777777" w:rsidR="00925D4E" w:rsidRDefault="00925D4E" w:rsidP="00D869CB">
            <w:pPr>
              <w:pStyle w:val="MText"/>
            </w:pPr>
          </w:p>
          <w:p w14:paraId="165AD8C1" w14:textId="11A44BE6" w:rsidR="00925D4E" w:rsidRDefault="00925D4E" w:rsidP="00D869CB">
            <w:pPr>
              <w:pStyle w:val="MText"/>
            </w:pPr>
            <w:r w:rsidRPr="002F0B82">
              <w:t>If we call the real GDP per employed person “LabProd”, then the annual growth rate of real GDP per</w:t>
            </w:r>
            <w:r>
              <w:t xml:space="preserve"> </w:t>
            </w:r>
            <w:r w:rsidRPr="002F0B82">
              <w:t>employed person is calculated as follows:</w:t>
            </w:r>
          </w:p>
          <w:p w14:paraId="37897F14" w14:textId="77777777" w:rsidR="00A90346" w:rsidRDefault="00A90346" w:rsidP="00057BB3">
            <w:pPr>
              <w:pStyle w:val="Default"/>
              <w:rPr>
                <w:rFonts w:asciiTheme="minorHAnsi" w:hAnsiTheme="minorHAnsi" w:cstheme="minorHAnsi"/>
                <w:sz w:val="21"/>
                <w:szCs w:val="21"/>
              </w:rPr>
            </w:pPr>
          </w:p>
          <w:p w14:paraId="296721FB" w14:textId="03481934" w:rsidR="00A90346" w:rsidRDefault="00A90346" w:rsidP="00057BB3">
            <w:pPr>
              <w:pStyle w:val="Default"/>
              <w:rPr>
                <w:rFonts w:asciiTheme="minorHAnsi" w:hAnsiTheme="minorHAnsi" w:cstheme="minorHAnsi"/>
                <w:sz w:val="21"/>
                <w:szCs w:val="21"/>
              </w:rPr>
            </w:pPr>
            <w:r>
              <w:rPr>
                <w:rFonts w:asciiTheme="minorHAnsi" w:hAnsiTheme="minorHAnsi" w:cstheme="minorHAnsi"/>
                <w:sz w:val="21"/>
                <w:szCs w:val="21"/>
              </w:rPr>
              <w:t>Annual growth rate of real GDP per employed person</w:t>
            </w:r>
          </w:p>
          <w:p w14:paraId="5A53B8A7" w14:textId="4471F3F1" w:rsidR="004C0E2A" w:rsidRPr="00837EC7" w:rsidRDefault="00A90346" w:rsidP="00057BB3">
            <w:pPr>
              <w:pStyle w:val="Default"/>
              <w:rPr>
                <w:rFonts w:asciiTheme="minorHAnsi" w:hAnsiTheme="minorHAnsi" w:cstheme="minorHAnsi"/>
                <w:sz w:val="21"/>
                <w:szCs w:val="21"/>
              </w:rPr>
            </w:pPr>
            <w:r>
              <w:rPr>
                <w:rFonts w:asciiTheme="minorHAnsi" w:hAnsiTheme="minorHAnsi" w:cstheme="minorHAnsi"/>
                <w:sz w:val="21"/>
                <w:szCs w:val="21"/>
              </w:rPr>
              <w:t xml:space="preserve">= ((LabProd in </w:t>
            </w:r>
            <w:proofErr w:type="gramStart"/>
            <w:r>
              <w:rPr>
                <w:rFonts w:asciiTheme="minorHAnsi" w:hAnsiTheme="minorHAnsi" w:cstheme="minorHAnsi"/>
                <w:sz w:val="21"/>
                <w:szCs w:val="21"/>
              </w:rPr>
              <w:t>year  n</w:t>
            </w:r>
            <w:proofErr w:type="gramEnd"/>
            <w:r>
              <w:rPr>
                <w:rFonts w:asciiTheme="minorHAnsi" w:hAnsiTheme="minorHAnsi" w:cstheme="minorHAnsi"/>
                <w:sz w:val="21"/>
                <w:szCs w:val="21"/>
              </w:rPr>
              <w:t>) – (LabProd in year n-1))/(</w:t>
            </w:r>
            <w:r w:rsidR="004C0E2A">
              <w:rPr>
                <w:rFonts w:asciiTheme="minorHAnsi" w:hAnsiTheme="minorHAnsi" w:cstheme="minorHAnsi"/>
                <w:sz w:val="21"/>
                <w:szCs w:val="21"/>
              </w:rPr>
              <w:t>(</w:t>
            </w:r>
            <w:r>
              <w:rPr>
                <w:rFonts w:asciiTheme="minorHAnsi" w:hAnsiTheme="minorHAnsi" w:cstheme="minorHAnsi"/>
                <w:sz w:val="21"/>
                <w:szCs w:val="21"/>
              </w:rPr>
              <w:t>LabProd in year n-1)</w:t>
            </w:r>
            <w:r w:rsidR="004C0E2A">
              <w:rPr>
                <w:rFonts w:asciiTheme="minorHAnsi" w:hAnsiTheme="minorHAnsi" w:cstheme="minorHAnsi"/>
                <w:sz w:val="21"/>
                <w:szCs w:val="21"/>
              </w:rPr>
              <w:t>)</w:t>
            </w:r>
            <w:r>
              <w:rPr>
                <w:rFonts w:asciiTheme="minorHAnsi" w:hAnsiTheme="minorHAnsi" w:cstheme="minorHAnsi"/>
                <w:sz w:val="21"/>
                <w:szCs w:val="21"/>
              </w:rPr>
              <w:t xml:space="preserve">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4A1ADDDD" w14:textId="77777777" w:rsidR="00925D4E" w:rsidRPr="00573631" w:rsidRDefault="00925D4E" w:rsidP="0093686E">
            <w:pPr>
              <w:pStyle w:val="MSubHeader"/>
            </w:pPr>
            <w:r w:rsidRPr="00573631">
              <w:t>Treatment of missing values:</w:t>
            </w:r>
          </w:p>
          <w:p w14:paraId="35E08E45" w14:textId="7D2A560F" w:rsidR="00925D4E" w:rsidRPr="00470092" w:rsidRDefault="00925D4E" w:rsidP="00470092">
            <w:pPr>
              <w:pStyle w:val="MText"/>
              <w:numPr>
                <w:ilvl w:val="0"/>
                <w:numId w:val="7"/>
              </w:numPr>
              <w:rPr>
                <w:b/>
                <w:bCs/>
                <w:i/>
                <w:iCs/>
              </w:rPr>
            </w:pPr>
            <w:r w:rsidRPr="00470092">
              <w:rPr>
                <w:b/>
                <w:bCs/>
                <w:i/>
                <w:iCs/>
              </w:rPr>
              <w:t>At country level</w:t>
            </w:r>
            <w:r w:rsidR="00470092" w:rsidRPr="00470092">
              <w:rPr>
                <w:b/>
                <w:bCs/>
                <w:i/>
                <w:iCs/>
              </w:rPr>
              <w:t>:</w:t>
            </w:r>
          </w:p>
          <w:p w14:paraId="02BEC6D6" w14:textId="77777777" w:rsidR="00925D4E" w:rsidRPr="00C971A8" w:rsidRDefault="00925D4E" w:rsidP="0093686E">
            <w:pPr>
              <w:pStyle w:val="MText"/>
            </w:pPr>
            <w:r w:rsidRPr="00C971A8">
              <w:lastRenderedPageBreak/>
              <w:t xml:space="preserve">Multivariate regression techniques are used to impute missing </w:t>
            </w:r>
            <w:r>
              <w:t xml:space="preserve">employment </w:t>
            </w:r>
            <w:r w:rsidRPr="00C971A8">
              <w:t>values at the country level.</w:t>
            </w:r>
          </w:p>
          <w:p w14:paraId="57499724" w14:textId="6FEE26A5" w:rsidR="00925D4E" w:rsidRDefault="00925D4E" w:rsidP="0093686E">
            <w:pPr>
              <w:pStyle w:val="MText"/>
            </w:pPr>
            <w:r w:rsidRPr="00C971A8">
              <w:t>For a detailed description of the methodology used, please refer to Trends Econometric Models: A</w:t>
            </w:r>
            <w:r w:rsidR="0093686E">
              <w:t xml:space="preserve"> </w:t>
            </w:r>
            <w:r w:rsidRPr="00C971A8">
              <w:t>Review of Methodology (ILO, Geneva, 2010), available at</w:t>
            </w:r>
            <w:r>
              <w:t xml:space="preserve"> </w:t>
            </w:r>
            <w:hyperlink r:id="rId8" w:history="1">
              <w:r w:rsidRPr="006C58FB">
                <w:rPr>
                  <w:rStyle w:val="Hyperlink"/>
                </w:rPr>
                <w:t>http://www.ilo.org/empelm/pubs/WCMS_120382/lang--en/index.htm</w:t>
              </w:r>
            </w:hyperlink>
            <w:r w:rsidRPr="00C971A8">
              <w:t>.</w:t>
            </w:r>
          </w:p>
          <w:p w14:paraId="3D382502" w14:textId="77777777" w:rsidR="00925D4E" w:rsidRPr="00573631" w:rsidRDefault="00925D4E" w:rsidP="00925D4E">
            <w:pPr>
              <w:shd w:val="clear" w:color="auto" w:fill="FFFFFF"/>
              <w:spacing w:after="0"/>
              <w:ind w:left="495"/>
              <w:rPr>
                <w:rFonts w:eastAsia="Times New Roman" w:cs="Times New Roman"/>
                <w:color w:val="4A4A4A"/>
                <w:sz w:val="21"/>
                <w:szCs w:val="21"/>
                <w:lang w:eastAsia="en-GB"/>
              </w:rPr>
            </w:pPr>
          </w:p>
          <w:p w14:paraId="55C0FDEF" w14:textId="2BB95C52" w:rsidR="007F2D9F" w:rsidRPr="00470092" w:rsidRDefault="00925D4E" w:rsidP="00470092">
            <w:pPr>
              <w:pStyle w:val="MText"/>
              <w:numPr>
                <w:ilvl w:val="0"/>
                <w:numId w:val="7"/>
              </w:numPr>
              <w:rPr>
                <w:rFonts w:cstheme="minorHAnsi"/>
                <w:b/>
                <w:bCs/>
                <w:i/>
                <w:iCs/>
              </w:rPr>
            </w:pPr>
            <w:r w:rsidRPr="00470092">
              <w:rPr>
                <w:b/>
                <w:bCs/>
                <w:i/>
                <w:iCs/>
              </w:rPr>
              <w:t>At regional and global levels</w:t>
            </w:r>
            <w:r w:rsidR="00470092" w:rsidRPr="00470092">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E78BA4" w14:textId="77777777" w:rsidR="00925D4E" w:rsidRPr="00573631" w:rsidRDefault="00925D4E" w:rsidP="0093686E">
            <w:pPr>
              <w:pStyle w:val="MSubHeader"/>
            </w:pPr>
            <w:r w:rsidRPr="00573631">
              <w:t>Regional aggregates:</w:t>
            </w:r>
          </w:p>
          <w:p w14:paraId="27492CB0" w14:textId="0C335174" w:rsidR="007F2D9F" w:rsidRPr="00837EC7" w:rsidRDefault="00925D4E" w:rsidP="0093686E">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labour market </w:t>
            </w:r>
            <w:r w:rsidRPr="004566DA">
              <w:t xml:space="preserve">indicators in the countries and years for which real data are not available. The </w:t>
            </w:r>
            <w:r>
              <w:t>employment data derived from the Trends Econometric Models (TEM) are</w:t>
            </w:r>
            <w:r w:rsidRPr="004566DA">
              <w:t xml:space="preserve"> used to produce estimates</w:t>
            </w:r>
            <w:r>
              <w:t xml:space="preserve"> on labour productivity</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For further</w:t>
            </w:r>
            <w:r>
              <w:t xml:space="preserve"> </w:t>
            </w:r>
            <w:r w:rsidRPr="004566DA">
              <w:t xml:space="preserve">information on the </w:t>
            </w:r>
            <w:r>
              <w:t>TEM</w:t>
            </w:r>
            <w:r w:rsidRPr="004566DA">
              <w:t xml:space="preserve">, please refer to the technical background papers available at: </w:t>
            </w:r>
            <w:hyperlink r:id="rId9" w:history="1">
              <w:r w:rsidRPr="006C58FB">
                <w:rPr>
                  <w:rStyle w:val="Hyperlink"/>
                </w:rPr>
                <w:t>http://www.ilo.org/empelm/projects/WCMS_114246/lang--en/index.htm</w:t>
              </w:r>
            </w:hyperlink>
            <w:r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E4DE27F" w14:textId="77777777" w:rsidR="00925D4E" w:rsidRPr="00D54F29" w:rsidRDefault="00925D4E" w:rsidP="0093686E">
            <w:pPr>
              <w:pStyle w:val="MSubHeader"/>
            </w:pPr>
            <w:r w:rsidRPr="00D54F29">
              <w:t>Methods and guidance</w:t>
            </w:r>
            <w:r>
              <w:t xml:space="preserve"> available to countries</w:t>
            </w:r>
            <w:r w:rsidRPr="00D54F29">
              <w:t xml:space="preserve"> for the compilation of the data at the national level:</w:t>
            </w:r>
          </w:p>
          <w:p w14:paraId="6CF71693" w14:textId="77777777" w:rsidR="00925D4E" w:rsidRPr="003F5C86" w:rsidRDefault="00925D4E" w:rsidP="0093686E">
            <w:pPr>
              <w:pStyle w:val="MText"/>
            </w:pPr>
            <w:r w:rsidRPr="003F5C86">
              <w:t>See:</w:t>
            </w:r>
          </w:p>
          <w:p w14:paraId="5E29E994" w14:textId="75CBDF7B" w:rsidR="00925D4E" w:rsidRDefault="00925D4E" w:rsidP="0093686E">
            <w:pPr>
              <w:pStyle w:val="MText"/>
            </w:pPr>
            <w:r w:rsidRPr="0093686E">
              <w:t>Estimates and projections of labour market indicators (</w:t>
            </w:r>
            <w:hyperlink r:id="rId10" w:history="1">
              <w:r w:rsidRPr="00E51AF8">
                <w:rPr>
                  <w:rStyle w:val="Hyperlink"/>
                </w:rPr>
                <w:t>http://www.ilo.org/empelm/projects/WCMS_114246/lang--en/index.htm</w:t>
              </w:r>
            </w:hyperlink>
            <w:r w:rsidRPr="0093686E">
              <w:t>)</w:t>
            </w:r>
          </w:p>
          <w:p w14:paraId="2949763C" w14:textId="77777777" w:rsidR="0093686E" w:rsidRPr="0093686E" w:rsidRDefault="0093686E" w:rsidP="0093686E">
            <w:pPr>
              <w:shd w:val="clear" w:color="auto" w:fill="FFFFFF"/>
              <w:spacing w:after="0"/>
              <w:rPr>
                <w:rFonts w:eastAsia="Times New Roman" w:cs="Times New Roman"/>
                <w:color w:val="4A4A4A"/>
                <w:sz w:val="21"/>
                <w:szCs w:val="21"/>
                <w:lang w:eastAsia="en-GB"/>
              </w:rPr>
            </w:pPr>
          </w:p>
          <w:p w14:paraId="08F2CD6D" w14:textId="5301CB2E" w:rsidR="00925D4E" w:rsidRPr="0093686E" w:rsidRDefault="00925D4E" w:rsidP="0093686E">
            <w:pPr>
              <w:pStyle w:val="MText"/>
            </w:pPr>
            <w:r w:rsidRPr="0093686E">
              <w:t>ILO Guidebook - Decent Work and the Sustainable Development Goals: A Guidebook on SDG Labour Market Indicators (</w:t>
            </w:r>
            <w:hyperlink r:id="rId11" w:history="1">
              <w:r w:rsidRPr="0093686E">
                <w:rPr>
                  <w:rStyle w:val="Hyperlink"/>
                </w:rPr>
                <w:t>https://www.ilo.org/stat/Publications/WCMS_647109/lang--en/index.htm</w:t>
              </w:r>
            </w:hyperlink>
            <w:r w:rsidRPr="0093686E">
              <w:t>)</w:t>
            </w:r>
          </w:p>
          <w:p w14:paraId="5CE76CA2" w14:textId="77777777" w:rsidR="0093686E" w:rsidRDefault="0093686E" w:rsidP="0093686E">
            <w:pPr>
              <w:pStyle w:val="MText"/>
            </w:pPr>
          </w:p>
          <w:p w14:paraId="65BF8F55" w14:textId="02499BB7" w:rsidR="00925D4E" w:rsidRPr="0093686E" w:rsidRDefault="00925D4E" w:rsidP="0093686E">
            <w:pPr>
              <w:pStyle w:val="MText"/>
            </w:pPr>
            <w:r w:rsidRPr="0093686E">
              <w:t xml:space="preserve">ILO Manual – Decent Work Indicators, Concepts and Definitions – Chapter 1, Economic and social context for decent work </w:t>
            </w:r>
            <w:hyperlink r:id="rId12" w:history="1">
              <w:r w:rsidRPr="00E51AF8">
                <w:rPr>
                  <w:rStyle w:val="Hyperlink"/>
                </w:rPr>
                <w:t>http://www.ilo.org/integration/resources/pubs/WCMS_229374/lang--en/index.htm</w:t>
              </w:r>
            </w:hyperlink>
            <w:r w:rsidRPr="0093686E">
              <w:t xml:space="preserve"> (second version, page 214)</w:t>
            </w:r>
          </w:p>
          <w:p w14:paraId="5BB9D0A1" w14:textId="77777777" w:rsidR="0093686E" w:rsidRDefault="0093686E" w:rsidP="0093686E">
            <w:pPr>
              <w:pStyle w:val="MText"/>
            </w:pPr>
          </w:p>
          <w:p w14:paraId="00EAADB0" w14:textId="353F62B0" w:rsidR="00925D4E" w:rsidRPr="0093686E" w:rsidRDefault="00925D4E" w:rsidP="0093686E">
            <w:pPr>
              <w:pStyle w:val="MText"/>
            </w:pPr>
            <w:r w:rsidRPr="0093686E">
              <w:t xml:space="preserve">Resolution concerning statistics of work, employment and labour underutilization </w:t>
            </w:r>
            <w:hyperlink r:id="rId13" w:history="1">
              <w:r w:rsidRPr="00E51AF8">
                <w:rPr>
                  <w:rStyle w:val="Hyperlink"/>
                </w:rPr>
                <w:t>http://www.ilo.ch/global/statistics-and-databases/standards-and-guidelines/resolutions-adopted-by-</w:t>
              </w:r>
              <w:r w:rsidRPr="00E51AF8">
                <w:rPr>
                  <w:rStyle w:val="Hyperlink"/>
                </w:rPr>
                <w:lastRenderedPageBreak/>
                <w:t>international-conferences-of-labour-statisticians/WCMS_230304/lang--en/index.htm</w:t>
              </w:r>
            </w:hyperlink>
            <w:r w:rsidRPr="0093686E">
              <w:t xml:space="preserve">  </w:t>
            </w:r>
          </w:p>
          <w:p w14:paraId="59015FB6" w14:textId="77777777" w:rsidR="0093686E" w:rsidRDefault="0093686E" w:rsidP="0093686E">
            <w:pPr>
              <w:pStyle w:val="MText"/>
            </w:pPr>
          </w:p>
          <w:p w14:paraId="4615EB70" w14:textId="02859067" w:rsidR="00925D4E" w:rsidRPr="0093686E" w:rsidRDefault="00925D4E" w:rsidP="0093686E">
            <w:pPr>
              <w:pStyle w:val="MText"/>
            </w:pPr>
            <w:r w:rsidRPr="0093686E">
              <w:t xml:space="preserve">System of National Accounts 2008 </w:t>
            </w:r>
            <w:hyperlink r:id="rId14" w:history="1">
              <w:r w:rsidRPr="00E51AF8">
                <w:rPr>
                  <w:rStyle w:val="Hyperlink"/>
                </w:rPr>
                <w:t>http://unstats.un.org/unsd/nationalaccount/sna2008.asp</w:t>
              </w:r>
            </w:hyperlink>
            <w:r w:rsidRPr="0093686E">
              <w:t xml:space="preserve"> </w:t>
            </w:r>
          </w:p>
          <w:p w14:paraId="51F611DC" w14:textId="77777777" w:rsidR="00925D4E" w:rsidRPr="0093686E" w:rsidRDefault="00925D4E" w:rsidP="0093686E">
            <w:pPr>
              <w:pStyle w:val="MText"/>
            </w:pPr>
            <w:r w:rsidRPr="0093686E">
              <w:t xml:space="preserve">Trends Econometric Models: A Review of Methodology </w:t>
            </w:r>
            <w:hyperlink r:id="rId15" w:history="1">
              <w:r w:rsidRPr="00E51AF8">
                <w:rPr>
                  <w:rStyle w:val="Hyperlink"/>
                </w:rPr>
                <w:t>http://www.ilo.org/empelm/pubs/WCMS_120382/lang--en/index.htm</w:t>
              </w:r>
            </w:hyperlink>
          </w:p>
          <w:p w14:paraId="353C06AB" w14:textId="77777777" w:rsidR="0093686E" w:rsidRDefault="0093686E" w:rsidP="0093686E">
            <w:pPr>
              <w:pStyle w:val="MText"/>
            </w:pPr>
          </w:p>
          <w:p w14:paraId="681818FC" w14:textId="3A1110AB" w:rsidR="00925D4E" w:rsidRPr="0093686E" w:rsidRDefault="00925D4E" w:rsidP="0093686E">
            <w:pPr>
              <w:pStyle w:val="MText"/>
            </w:pPr>
            <w:r w:rsidRPr="0093686E">
              <w:t>ILOSTAT Database (</w:t>
            </w:r>
            <w:hyperlink r:id="rId16" w:history="1">
              <w:r w:rsidRPr="0093686E">
                <w:rPr>
                  <w:rStyle w:val="Hyperlink"/>
                </w:rPr>
                <w:t>www.ilo.org/ilostat</w:t>
              </w:r>
            </w:hyperlink>
            <w:r w:rsidRPr="0093686E">
              <w:t>)</w:t>
            </w:r>
          </w:p>
          <w:p w14:paraId="4476DCA0" w14:textId="77777777" w:rsidR="0093686E" w:rsidRDefault="0093686E" w:rsidP="0093686E">
            <w:pPr>
              <w:pStyle w:val="MText"/>
            </w:pPr>
          </w:p>
          <w:p w14:paraId="0232E6B5" w14:textId="5CBB4038" w:rsidR="007F2D9F" w:rsidRPr="0093686E" w:rsidRDefault="00925D4E" w:rsidP="0093686E">
            <w:pPr>
              <w:pStyle w:val="MText"/>
            </w:pPr>
            <w:r w:rsidRPr="0093686E">
              <w:t xml:space="preserve">ILOSTAT Database – Metadata – Indicator Descriptions (Labour productivity, at: </w:t>
            </w:r>
            <w:hyperlink r:id="rId17" w:history="1">
              <w:r w:rsidRPr="0093686E">
                <w:rPr>
                  <w:rStyle w:val="Hyperlink"/>
                </w:rPr>
                <w:t>http://www.ilo.org/ilostat-files/Documents/description_PRODY_EN.pdf</w:t>
              </w:r>
            </w:hyperlink>
            <w:r w:rsidRPr="0093686E">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39B4B2BB" w:rsidR="007F2D9F" w:rsidRPr="00837EC7" w:rsidRDefault="00925D4E" w:rsidP="0093686E">
            <w:pPr>
              <w:pStyle w:val="MSubHeader"/>
              <w:rPr>
                <w:rFonts w:ascii="Calibri" w:hAnsi="Calibri" w:cs="Calibri"/>
                <w:color w:val="000000"/>
              </w:rPr>
            </w:pPr>
            <w:r w:rsidRPr="00D54F29">
              <w:t>Quality assurance</w:t>
            </w:r>
            <w:r w:rsidR="0093686E">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A4ACBC" w14:textId="0A81CF7B" w:rsidR="005C40B7" w:rsidRPr="00573631" w:rsidRDefault="005C40B7" w:rsidP="0093686E">
            <w:pPr>
              <w:pStyle w:val="MHeader"/>
            </w:pPr>
            <w:r w:rsidRPr="00573631">
              <w:t xml:space="preserve">Data </w:t>
            </w:r>
            <w:r w:rsidR="0093686E">
              <w:t>a</w:t>
            </w:r>
            <w:r w:rsidRPr="00573631">
              <w:t>vailability</w:t>
            </w:r>
          </w:p>
          <w:p w14:paraId="261EE1AB" w14:textId="77777777" w:rsidR="005C40B7" w:rsidRPr="00573631" w:rsidRDefault="005C40B7" w:rsidP="0093686E">
            <w:pPr>
              <w:pStyle w:val="MSubHeader"/>
            </w:pPr>
            <w:r w:rsidRPr="00573631">
              <w:t>Description:</w:t>
            </w:r>
          </w:p>
          <w:p w14:paraId="439AB9C9" w14:textId="4AF76C7B" w:rsidR="005C40B7" w:rsidRPr="00573631" w:rsidRDefault="005C40B7" w:rsidP="005C40B7">
            <w:pPr>
              <w:shd w:val="clear" w:color="auto" w:fill="FFFFFF"/>
              <w:spacing w:after="0"/>
              <w:rPr>
                <w:rFonts w:eastAsia="Times New Roman" w:cs="Times New Roman"/>
                <w:color w:val="4A4A4A"/>
                <w:sz w:val="21"/>
                <w:szCs w:val="21"/>
                <w:lang w:eastAsia="en-GB"/>
              </w:rPr>
            </w:pPr>
          </w:p>
          <w:p w14:paraId="21D633DB" w14:textId="77777777" w:rsidR="005C40B7" w:rsidRPr="00573631" w:rsidRDefault="005C40B7" w:rsidP="005C40B7">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4768866B" w14:textId="7B278E92" w:rsidR="005C40B7" w:rsidRPr="0093686E" w:rsidRDefault="005C40B7" w:rsidP="0093686E">
            <w:pPr>
              <w:pStyle w:val="MText"/>
            </w:pPr>
            <w:r w:rsidRPr="00441DFA">
              <w:t xml:space="preserve">Data for this indicator is available as of 2000 in the SDG Indicators Global Database, but time series going back </w:t>
            </w:r>
            <w:r>
              <w:t>to 1991 and including projections up to 2022</w:t>
            </w:r>
            <w:r w:rsidRPr="00441DFA">
              <w:t xml:space="preserve"> are available in ILOSTAT</w:t>
            </w:r>
            <w:r>
              <w:t>.</w:t>
            </w:r>
          </w:p>
          <w:p w14:paraId="71D5C2F2" w14:textId="77777777" w:rsidR="005C40B7" w:rsidRDefault="005C40B7" w:rsidP="00925D4E">
            <w:pPr>
              <w:shd w:val="clear" w:color="auto" w:fill="FFFFFF"/>
              <w:spacing w:after="0"/>
              <w:rPr>
                <w:rFonts w:eastAsia="Times New Roman" w:cs="Times New Roman"/>
                <w:b/>
                <w:bCs/>
                <w:color w:val="4A4A4A"/>
                <w:sz w:val="18"/>
                <w:szCs w:val="20"/>
                <w:lang w:eastAsia="en-GB"/>
              </w:rPr>
            </w:pPr>
          </w:p>
          <w:p w14:paraId="633AD54A" w14:textId="0FF980FA" w:rsidR="00925D4E" w:rsidRPr="002F0B82" w:rsidRDefault="00925D4E" w:rsidP="0093686E">
            <w:pPr>
              <w:pStyle w:val="MSubHeader"/>
            </w:pPr>
            <w:r w:rsidRPr="002F0B82">
              <w:t>Disaggregation:</w:t>
            </w:r>
          </w:p>
          <w:p w14:paraId="39185D77" w14:textId="45072E95" w:rsidR="00776312" w:rsidRPr="00837EC7" w:rsidRDefault="00925D4E" w:rsidP="0093686E">
            <w:pPr>
              <w:pStyle w:val="MText"/>
              <w:rPr>
                <w:rFonts w:cstheme="minorHAnsi"/>
              </w:rPr>
            </w:pPr>
            <w:r w:rsidRPr="00C971A8">
              <w:t>No disaggregation required for this indicator.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96F8A76" w14:textId="77777777" w:rsidR="00925D4E" w:rsidRPr="00573631" w:rsidRDefault="00925D4E" w:rsidP="0093686E">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lastRenderedPageBreak/>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5CF80EC" w14:textId="77777777" w:rsidR="005C40B7" w:rsidRPr="00CB7997" w:rsidRDefault="005C40B7" w:rsidP="0093686E">
            <w:pPr>
              <w:pStyle w:val="MHeader"/>
            </w:pPr>
            <w:r w:rsidRPr="00573631">
              <w:t>References</w:t>
            </w:r>
          </w:p>
          <w:p w14:paraId="00628BF2" w14:textId="3F99239E" w:rsidR="005C40B7" w:rsidRPr="00DA7C5C" w:rsidRDefault="005C40B7" w:rsidP="0093686E">
            <w:pPr>
              <w:pStyle w:val="MText"/>
            </w:pPr>
            <w:r w:rsidRPr="00DA7C5C">
              <w:t>ILO Guidebook - Decent Work and the Sustainable Development Goals: A Guidebook on SDG Labour Market Indicators</w:t>
            </w:r>
            <w:r>
              <w:t xml:space="preserve"> (</w:t>
            </w:r>
            <w:hyperlink r:id="rId18" w:history="1">
              <w:r w:rsidRPr="0093686E">
                <w:rPr>
                  <w:rStyle w:val="Hyperlink"/>
                </w:rPr>
                <w:t>https://www.ilo.org/stat/Publications/WCMS_647109/lang--en/index.htm</w:t>
              </w:r>
            </w:hyperlink>
            <w:r>
              <w:t>)</w:t>
            </w:r>
          </w:p>
          <w:p w14:paraId="040BD885" w14:textId="77777777" w:rsidR="0093686E" w:rsidRDefault="0093686E" w:rsidP="0093686E">
            <w:pPr>
              <w:pStyle w:val="MText"/>
            </w:pPr>
          </w:p>
          <w:p w14:paraId="5F9F8586" w14:textId="6E77C6A0" w:rsidR="005C40B7" w:rsidRPr="00CB7997" w:rsidRDefault="005C40B7" w:rsidP="0093686E">
            <w:pPr>
              <w:pStyle w:val="MText"/>
            </w:pPr>
            <w:r w:rsidRPr="00CB7997">
              <w:t>Estimates and projections of labour market indicators (</w:t>
            </w:r>
            <w:hyperlink r:id="rId19" w:history="1">
              <w:r w:rsidRPr="006C58FB">
                <w:rPr>
                  <w:rStyle w:val="Hyperlink"/>
                </w:rPr>
                <w:t>http://www.ilo.org/empelm/projects/WCMS_114246/lang--en/index.htm</w:t>
              </w:r>
            </w:hyperlink>
            <w:r>
              <w:t xml:space="preserve">) </w:t>
            </w:r>
          </w:p>
          <w:p w14:paraId="05D251E2" w14:textId="77777777" w:rsidR="005C40B7" w:rsidRDefault="005C40B7" w:rsidP="0093686E">
            <w:pPr>
              <w:pStyle w:val="MText"/>
            </w:pPr>
          </w:p>
          <w:p w14:paraId="709BF1B0" w14:textId="77777777" w:rsidR="005C40B7" w:rsidRPr="00CB7997" w:rsidRDefault="005C40B7" w:rsidP="0093686E">
            <w:pPr>
              <w:pStyle w:val="MText"/>
            </w:pPr>
            <w:r w:rsidRPr="00CB7997">
              <w:t xml:space="preserve">ILO Manual – Decent Work Indicators, Concepts and Definitions – Chapter 1, Economic and social context for decent work </w:t>
            </w:r>
            <w:hyperlink r:id="rId20" w:history="1">
              <w:r w:rsidRPr="006C58FB">
                <w:rPr>
                  <w:rStyle w:val="Hyperlink"/>
                </w:rPr>
                <w:t>http://www.ilo.org/integration/resources/pubs/WCMS_229374/lang--en/index.htm</w:t>
              </w:r>
            </w:hyperlink>
            <w:r>
              <w:t xml:space="preserve"> (</w:t>
            </w:r>
            <w:r w:rsidRPr="00CB7997">
              <w:t>second version, page 2149)</w:t>
            </w:r>
          </w:p>
          <w:p w14:paraId="5675446B" w14:textId="77777777" w:rsidR="0093686E" w:rsidRDefault="0093686E" w:rsidP="0093686E">
            <w:pPr>
              <w:pStyle w:val="MText"/>
            </w:pPr>
          </w:p>
          <w:p w14:paraId="2993DBAF" w14:textId="6D404A74" w:rsidR="005C40B7" w:rsidRPr="00CB7997" w:rsidRDefault="005C40B7" w:rsidP="0093686E">
            <w:pPr>
              <w:pStyle w:val="MText"/>
            </w:pPr>
            <w:r w:rsidRPr="00CB7997">
              <w:t xml:space="preserve">Resolution concerning statistics of work, employment and labour underutilization </w:t>
            </w:r>
            <w:hyperlink r:id="rId21" w:history="1">
              <w:r w:rsidRPr="006C58FB">
                <w:rPr>
                  <w:rStyle w:val="Hyperlink"/>
                </w:rPr>
                <w:t>http://www.ilo.ch/global/statistics-and-databases/standards-and-guidelines/resolutions-adopted-by-international-conferences-of-labour-statisticians/WCMS_230304/lang--en/index.htm</w:t>
              </w:r>
            </w:hyperlink>
            <w:r>
              <w:t xml:space="preserve"> </w:t>
            </w:r>
            <w:r w:rsidRPr="00CB7997">
              <w:t xml:space="preserve">  </w:t>
            </w:r>
          </w:p>
          <w:p w14:paraId="623719BA" w14:textId="77777777" w:rsidR="0093686E" w:rsidRDefault="0093686E" w:rsidP="0093686E">
            <w:pPr>
              <w:pStyle w:val="MText"/>
            </w:pPr>
          </w:p>
          <w:p w14:paraId="285F8E09" w14:textId="1BB0A1AD" w:rsidR="005C40B7" w:rsidRPr="00CB7997" w:rsidRDefault="005C40B7" w:rsidP="0093686E">
            <w:pPr>
              <w:pStyle w:val="MText"/>
            </w:pPr>
            <w:r w:rsidRPr="00CB7997">
              <w:t xml:space="preserve">System of National Accounts 2008 </w:t>
            </w:r>
            <w:hyperlink r:id="rId22" w:history="1">
              <w:r w:rsidRPr="006C58FB">
                <w:rPr>
                  <w:rStyle w:val="Hyperlink"/>
                </w:rPr>
                <w:t>http://unstats.un.org/unsd/nationalaccount/sna2008.asp</w:t>
              </w:r>
            </w:hyperlink>
            <w:r>
              <w:t xml:space="preserve"> </w:t>
            </w:r>
            <w:r w:rsidRPr="00CB7997">
              <w:t xml:space="preserve"> </w:t>
            </w:r>
          </w:p>
          <w:p w14:paraId="59DA22B1" w14:textId="77777777" w:rsidR="0093686E" w:rsidRDefault="0093686E" w:rsidP="0093686E">
            <w:pPr>
              <w:pStyle w:val="MText"/>
            </w:pPr>
          </w:p>
          <w:p w14:paraId="74D8B15A" w14:textId="41439C90" w:rsidR="005C40B7" w:rsidRPr="00CB7997" w:rsidRDefault="005C40B7" w:rsidP="0093686E">
            <w:pPr>
              <w:pStyle w:val="MText"/>
            </w:pPr>
            <w:r w:rsidRPr="00CB7997">
              <w:t xml:space="preserve">Trends Econometric Models: A Review of Methodology </w:t>
            </w:r>
            <w:hyperlink r:id="rId23" w:history="1">
              <w:r w:rsidRPr="006C58FB">
                <w:rPr>
                  <w:rStyle w:val="Hyperlink"/>
                </w:rPr>
                <w:t>http://www.ilo.org/empelm/pubs/WCMS_120382/lang--en/index.htm</w:t>
              </w:r>
            </w:hyperlink>
            <w:r>
              <w:t xml:space="preserve"> </w:t>
            </w:r>
          </w:p>
          <w:p w14:paraId="2FE9419B" w14:textId="77777777" w:rsidR="0093686E" w:rsidRDefault="0093686E" w:rsidP="0093686E">
            <w:pPr>
              <w:pStyle w:val="MText"/>
            </w:pPr>
          </w:p>
          <w:p w14:paraId="3818D1D7" w14:textId="55FEED7A" w:rsidR="005C40B7" w:rsidRPr="00CB7997" w:rsidRDefault="005C40B7" w:rsidP="0093686E">
            <w:pPr>
              <w:pStyle w:val="MText"/>
            </w:pPr>
            <w:r w:rsidRPr="00CB7997">
              <w:t>ILOSTAT Database (</w:t>
            </w:r>
            <w:hyperlink r:id="rId24" w:history="1">
              <w:r w:rsidRPr="006C58FB">
                <w:rPr>
                  <w:rStyle w:val="Hyperlink"/>
                </w:rPr>
                <w:t>www.ilo.org/ilostat</w:t>
              </w:r>
            </w:hyperlink>
            <w:r w:rsidRPr="00CB7997">
              <w:t>)</w:t>
            </w:r>
          </w:p>
          <w:p w14:paraId="203373E8" w14:textId="77777777" w:rsidR="0093686E" w:rsidRDefault="0093686E" w:rsidP="0093686E">
            <w:pPr>
              <w:pStyle w:val="MText"/>
            </w:pPr>
          </w:p>
          <w:p w14:paraId="2B370098" w14:textId="46615CD7" w:rsidR="005C40B7" w:rsidRDefault="005C40B7" w:rsidP="0093686E">
            <w:pPr>
              <w:pStyle w:val="MText"/>
            </w:pPr>
            <w:r w:rsidRPr="00CB7997">
              <w:t xml:space="preserve">ILOSTAT Database – Metadata – Indicator Descriptions (Labour productivity, at: </w:t>
            </w:r>
            <w:hyperlink r:id="rId25" w:history="1">
              <w:r w:rsidRPr="006C58FB">
                <w:rPr>
                  <w:rStyle w:val="Hyperlink"/>
                </w:rPr>
                <w:t>http://www.ilo.org/ilostat-files/Documents/description_PRODY_EN.pdf</w:t>
              </w:r>
            </w:hyperlink>
            <w:r w:rsidRPr="00CB7997">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6"/>
      <w:footerReference w:type="first" r:id="rId2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30B4D"/>
    <w:multiLevelType w:val="hybridMultilevel"/>
    <w:tmpl w:val="20023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4552C"/>
    <w:multiLevelType w:val="hybridMultilevel"/>
    <w:tmpl w:val="8612DE88"/>
    <w:lvl w:ilvl="0" w:tplc="CC76867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D2A70"/>
    <w:multiLevelType w:val="hybridMultilevel"/>
    <w:tmpl w:val="59269EA2"/>
    <w:lvl w:ilvl="0" w:tplc="FCDE8F7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240"/>
    <w:rsid w:val="00462DB8"/>
    <w:rsid w:val="00463306"/>
    <w:rsid w:val="00470092"/>
    <w:rsid w:val="00470BED"/>
    <w:rsid w:val="00490C58"/>
    <w:rsid w:val="004962C5"/>
    <w:rsid w:val="004A31AD"/>
    <w:rsid w:val="004C06A8"/>
    <w:rsid w:val="004C0E2A"/>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2326"/>
    <w:rsid w:val="005C40B7"/>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5266"/>
    <w:rsid w:val="00736C4F"/>
    <w:rsid w:val="00765768"/>
    <w:rsid w:val="00776312"/>
    <w:rsid w:val="007A078A"/>
    <w:rsid w:val="007A2617"/>
    <w:rsid w:val="007A28BA"/>
    <w:rsid w:val="007B2E39"/>
    <w:rsid w:val="007B3047"/>
    <w:rsid w:val="007C63C4"/>
    <w:rsid w:val="007E4EE0"/>
    <w:rsid w:val="007F2D9F"/>
    <w:rsid w:val="007F5448"/>
    <w:rsid w:val="007F6520"/>
    <w:rsid w:val="00837EC7"/>
    <w:rsid w:val="00881218"/>
    <w:rsid w:val="008A7300"/>
    <w:rsid w:val="008C141D"/>
    <w:rsid w:val="008D775E"/>
    <w:rsid w:val="008E4413"/>
    <w:rsid w:val="008E6037"/>
    <w:rsid w:val="008F0F40"/>
    <w:rsid w:val="00911199"/>
    <w:rsid w:val="00925D4E"/>
    <w:rsid w:val="009367AA"/>
    <w:rsid w:val="0093686E"/>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05764"/>
    <w:rsid w:val="00A167C6"/>
    <w:rsid w:val="00A200D3"/>
    <w:rsid w:val="00A3532A"/>
    <w:rsid w:val="00A36E8B"/>
    <w:rsid w:val="00A4314D"/>
    <w:rsid w:val="00A5114C"/>
    <w:rsid w:val="00A67357"/>
    <w:rsid w:val="00A90346"/>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482F"/>
    <w:rsid w:val="00D815D9"/>
    <w:rsid w:val="00D855E8"/>
    <w:rsid w:val="00D869CB"/>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0947"/>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lo.org/empelm/pubs/WCMS_120382/lang--en/index.htm" TargetMode="External"/><Relationship Id="rId13" Type="http://schemas.openxmlformats.org/officeDocument/2006/relationships/hyperlink" Target="http://www.ilo.ch/global/statistics-and-databases/standards-and-guidelines/resolutions-adopted-by-international-conferences-of-labour-statisticians/WCMS_230304/lang--en/index.htm" TargetMode="External"/><Relationship Id="rId18" Type="http://schemas.openxmlformats.org/officeDocument/2006/relationships/hyperlink" Target="https://www.ilo.org/stat/Publications/WCMS_647109/lang--en/index.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lo.ch/global/statistics-and-databases/standards-and-guidelines/resolutions-adopted-by-international-conferences-of-labour-statisticians/WCMS_230304/lang--en/index.htm" TargetMode="External"/><Relationship Id="rId7" Type="http://schemas.openxmlformats.org/officeDocument/2006/relationships/endnotes" Target="endnotes.xml"/><Relationship Id="rId12" Type="http://schemas.openxmlformats.org/officeDocument/2006/relationships/hyperlink" Target="http://www.ilo.org/integration/resources/pubs/WCMS_229374/lang--en/index.htm" TargetMode="External"/><Relationship Id="rId17" Type="http://schemas.openxmlformats.org/officeDocument/2006/relationships/hyperlink" Target="http://www.ilo.org/ilostat-files/Documents/description_PRODY_EN.pdf" TargetMode="External"/><Relationship Id="rId25" Type="http://schemas.openxmlformats.org/officeDocument/2006/relationships/hyperlink" Target="http://www.ilo.org/ilostat-files/Documents/description_PRODY_EN.pdf" TargetMode="External"/><Relationship Id="rId2" Type="http://schemas.openxmlformats.org/officeDocument/2006/relationships/numbering" Target="numbering.xml"/><Relationship Id="rId16" Type="http://schemas.openxmlformats.org/officeDocument/2006/relationships/hyperlink" Target="www.ilo.org/ilostat" TargetMode="External"/><Relationship Id="rId20" Type="http://schemas.openxmlformats.org/officeDocument/2006/relationships/hyperlink" Target="http://www.ilo.org/integration/resources/pubs/WCMS_229374/lang--en/index.ht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o.org/stat/Publications/WCMS_647109/lang--en/index.htm" TargetMode="External"/><Relationship Id="rId24" Type="http://schemas.openxmlformats.org/officeDocument/2006/relationships/hyperlink" Target="http://www.ilo.org/ilostat" TargetMode="External"/><Relationship Id="rId5" Type="http://schemas.openxmlformats.org/officeDocument/2006/relationships/webSettings" Target="webSettings.xml"/><Relationship Id="rId15" Type="http://schemas.openxmlformats.org/officeDocument/2006/relationships/hyperlink" Target="http://www.ilo.org/empelm/pubs/WCMS_120382/lang--en/index.htm" TargetMode="External"/><Relationship Id="rId23" Type="http://schemas.openxmlformats.org/officeDocument/2006/relationships/hyperlink" Target="http://www.ilo.org/empelm/pubs/WCMS_120382/lang--en/index.htm" TargetMode="External"/><Relationship Id="rId28" Type="http://schemas.openxmlformats.org/officeDocument/2006/relationships/fontTable" Target="fontTable.xml"/><Relationship Id="rId10" Type="http://schemas.openxmlformats.org/officeDocument/2006/relationships/hyperlink" Target="http://www.ilo.org/empelm/projects/WCMS_114246/lang--en/index.htm" TargetMode="External"/><Relationship Id="rId19" Type="http://schemas.openxmlformats.org/officeDocument/2006/relationships/hyperlink" Target="http://www.ilo.org/empelm/projects/WCMS_114246/lang--en/index.htm" TargetMode="External"/><Relationship Id="rId4" Type="http://schemas.openxmlformats.org/officeDocument/2006/relationships/settings" Target="settings.xml"/><Relationship Id="rId9" Type="http://schemas.openxmlformats.org/officeDocument/2006/relationships/hyperlink" Target="http://www.ilo.org/empelm/projects/WCMS_114246/lang--en/index.htm" TargetMode="External"/><Relationship Id="rId14" Type="http://schemas.openxmlformats.org/officeDocument/2006/relationships/hyperlink" Target="http://unstats.un.org/unsd/nationalaccount/sna2008.asp" TargetMode="External"/><Relationship Id="rId22" Type="http://schemas.openxmlformats.org/officeDocument/2006/relationships/hyperlink" Target="http://unstats.un.org/unsd/nationalaccount/sna2008.asp"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BE38-06CA-40B8-BA22-BB3CD995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8</Pages>
  <Words>2131</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15</cp:revision>
  <cp:lastPrinted>2020-04-16T14:23:00Z</cp:lastPrinted>
  <dcterms:created xsi:type="dcterms:W3CDTF">2020-05-05T15:11:00Z</dcterms:created>
  <dcterms:modified xsi:type="dcterms:W3CDTF">2020-11-19T20:41:00Z</dcterms:modified>
</cp:coreProperties>
</file>