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English IMD method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Details about the method used: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8" w:tooltip="https://assets.publishing.service.gov.uk/media/5d8b364ced915d03709e3cf2/IoD2019_Research_Report.pdf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https://assets.publishing.service.gov.uk/media/5d8b364ced915d03709e3cf2/IoD2019_Research_Report.pdf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One set of measures I found interesting were ‘geographical barriers’ which are about road distance to services like a post office etc. They make up a small percentage of the indicator but might not be what people tend to think of as deprivation, and would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mean rural areas are labelled as more deprived than they would be otherwise.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/>
          <w:bCs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</w:rPr>
        <w:t xml:space="preserve">How to link to geographical areas yourself</w:t>
      </w:r>
      <w:r>
        <w:rPr>
          <w:rFonts w:ascii="Arial" w:hAnsi="Arial" w:eastAsia="Arial" w:cs="Arial"/>
          <w:b/>
          <w:bCs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t xml:space="preserve">FAQ document, q.28 pg.21 </w:t>
      </w:r>
      <w:r>
        <w:rPr>
          <w:rFonts w:ascii="Arial" w:hAnsi="Arial" w:eastAsia="Arial" w:cs="Arial"/>
          <w:sz w:val="22"/>
          <w:szCs w:val="22"/>
          <w:highlight w:val="none"/>
        </w:rPr>
      </w:r>
      <w:hyperlink r:id="rId9" w:tooltip="https://assets.publishing.service.gov.uk/media/5dfb3d7ce5274a3432700cf3/IoD2019_FAQ_v4.pdf" w:history="1">
        <w:r>
          <w:rPr>
            <w:rStyle w:val="812"/>
            <w:rFonts w:ascii="Arial" w:hAnsi="Arial" w:eastAsia="Arial" w:cs="Arial"/>
            <w:sz w:val="22"/>
            <w:szCs w:val="22"/>
            <w:highlight w:val="none"/>
          </w:rPr>
          <w:t xml:space="preserve">https://assets.publishing.service.gov.uk/media/5dfb3d7ce5274a3432700cf3/IoD2019_FAQ_v4.pdf</w:t>
        </w:r>
        <w:r>
          <w:rPr>
            <w:rStyle w:val="812"/>
            <w:rFonts w:ascii="Arial" w:hAnsi="Arial" w:eastAsia="Arial" w:cs="Arial"/>
            <w:sz w:val="22"/>
            <w:szCs w:val="22"/>
            <w:highlight w:val="none"/>
          </w:rPr>
        </w:r>
        <w:r>
          <w:rPr>
            <w:rStyle w:val="812"/>
            <w:rFonts w:ascii="Arial" w:hAnsi="Arial" w:eastAsia="Arial" w:cs="Arial"/>
            <w:sz w:val="22"/>
            <w:szCs w:val="22"/>
            <w:highlight w:val="none"/>
          </w:rPr>
        </w:r>
      </w:hyperlink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How to aggregate to different geographies yourself</w:t>
      </w:r>
      <w:r>
        <w:rPr>
          <w:rFonts w:ascii="Arial" w:hAnsi="Arial" w:cs="Arial"/>
          <w:b/>
          <w:bCs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sz w:val="22"/>
          <w:szCs w:val="22"/>
          <w:highlight w:val="none"/>
        </w:rPr>
        <w:t xml:space="preserve">Technical report, appendix A </w:t>
      </w:r>
      <w:r>
        <w:rPr>
          <w:rFonts w:ascii="Arial" w:hAnsi="Arial" w:eastAsia="Arial" w:cs="Arial"/>
          <w:sz w:val="22"/>
          <w:szCs w:val="22"/>
        </w:rPr>
      </w:r>
      <w:hyperlink r:id="rId10" w:tooltip="https://assets.publishing.service.gov.uk/media/5d8b364ced915d03709e3cf2/IoD2019_Research_Report.pdf" w:history="1">
        <w:r>
          <w:rPr>
            <w:rStyle w:val="812"/>
            <w:rFonts w:ascii="Arial" w:hAnsi="Arial" w:eastAsia="Arial" w:cs="Arial"/>
            <w:sz w:val="22"/>
            <w:szCs w:val="22"/>
          </w:rPr>
          <w:t xml:space="preserve">https://assets.publishing.service.gov.uk/media/5d8b364ced915d03709e3cf2/IoD2019_Research_Report.pdf</w:t>
        </w:r>
        <w:r>
          <w:rPr>
            <w:rStyle w:val="812"/>
            <w:rFonts w:ascii="Arial" w:hAnsi="Arial" w:eastAsia="Arial" w:cs="Arial"/>
            <w:sz w:val="22"/>
            <w:szCs w:val="22"/>
          </w:rPr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 xml:space="preserve">Working across the UK</w:t>
      </w:r>
      <w:r>
        <w:rPr>
          <w:rFonts w:ascii="Arial" w:hAnsi="Arial" w:eastAsia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t xml:space="preserve">England, Wales, Scotland, and NI each measure indices of deprivation differently, so figures cannot accurately be compared.</w:t>
      </w:r>
      <w:r>
        <w:rPr>
          <w:rFonts w:ascii="Arial" w:hAnsi="Arial" w:eastAsia="Arial" w:cs="Arial"/>
          <w:sz w:val="22"/>
          <w:szCs w:val="22"/>
          <w:highlight w:val="none"/>
        </w:rPr>
        <w:t xml:space="preserve"> Though some measures came be compared, there are some sources about doing this in the wikipedia page linked below.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t xml:space="preserve">England and Wales both use LSOAs for this. Scotland uses data zones, and NI uses super output areas.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</w:rPr>
        <w:t xml:space="preserve">Wikipedia page on IMD:</w:t>
      </w: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highlight w:val="none"/>
        </w:rPr>
      </w:r>
      <w:r>
        <w:rPr>
          <w:rFonts w:ascii="Arial" w:hAnsi="Arial" w:eastAsia="Arial" w:cs="Arial"/>
          <w:sz w:val="22"/>
          <w:szCs w:val="22"/>
          <w:highlight w:val="none"/>
        </w:rPr>
      </w:r>
      <w:hyperlink r:id="rId11" w:tooltip="https://en.wikipedia.org/wiki/Multiple_deprivation_index" w:history="1">
        <w:r>
          <w:rPr>
            <w:rStyle w:val="812"/>
            <w:rFonts w:ascii="Arial" w:hAnsi="Arial" w:eastAsia="Arial" w:cs="Arial"/>
            <w:sz w:val="22"/>
            <w:szCs w:val="22"/>
            <w:highlight w:val="none"/>
          </w:rPr>
          <w:t xml:space="preserve">https://en.wikipedia.org/wiki/Multiple_deprivation_index</w:t>
        </w:r>
        <w:r>
          <w:rPr>
            <w:rStyle w:val="812"/>
            <w:rFonts w:ascii="Arial" w:hAnsi="Arial" w:eastAsia="Arial" w:cs="Arial"/>
            <w:highlight w:val="none"/>
          </w:rPr>
        </w:r>
      </w:hyperlink>
      <w:r>
        <w:rPr>
          <w:rFonts w:ascii="Arial" w:hAnsi="Arial" w:eastAsia="Arial" w:cs="Arial"/>
          <w:sz w:val="22"/>
          <w:szCs w:val="22"/>
          <w:highlight w:val="none"/>
        </w:rPr>
        <w:t xml:space="preserve"> </w:t>
      </w:r>
      <w:r>
        <w:rPr>
          <w:rFonts w:ascii="Arial" w:hAnsi="Arial" w:eastAsia="Arial" w:cs="Arial"/>
          <w:sz w:val="22"/>
          <w:szCs w:val="22"/>
        </w:rPr>
        <w:t xml:space="preserve">(this page is really helpful, but I’ve found sources for each nation below)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Scotland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Scotland uses ‘data zones’ for their IMD. Intro to Scottish IMD method: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12" w:tooltip="https://www.gov.scot/publications/scottish-index-multiple-deprivation-2020/pages/2/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https://www.gov.scot/publications/scottish-index-multiple-deprivation-2020/pages/2/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How Scottish and UK statistical geographies compare: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13" w:tooltip="https://www.nrscotland.gov.uk/files/geography/2011-census/geography-bckground-info-comparison-of-thresholds.pdf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https://www.nrscotland.gov.uk/files/geography/2011-census/geography-bckground-info-comparison-of-thresholds.pdf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Scotland uses STV for local elections. 32 council areas are split into electoral wards (which are also divided into ‘communities’)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Introduction to electoral areas: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14" w:tooltip="https://www.ons.gov.uk/methodology/geography/ukgeographies/administrativegeography/scotland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https://www.ons.gov.uk/methodology/geography/ukgeographies/administrativegeography/scotland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Lookup for ward to data zone: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15" w:tooltip="https://statistics.gov.scot/data/data-zone-lookup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https://statistics.gov.scot/data/data-zone-lookup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Wales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Uses LSOAs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Intro to method: </w:t>
      </w:r>
      <w:hyperlink r:id="rId16" w:tooltip="https://www.gov.wales/welsh-index-multiple-deprivation-index-guidance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https://www.gov.wales/welsh-index-multiple-deprivation-index-guidance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Has 22 unitary authorities, split into electoral wards.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17" w:tooltip="https://www.ons.gov.uk/methodology/geography/ukgeographies/administrativegeography/wales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https://www.ons.gov.uk/methodology/geography/ukgeographies/administrativegeography/wales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Can look up LSOAs to electoral wards in the England/Wales sheet.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Northern Ireland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NI IMD uses super output areas. Method introduction:  </w:t>
      </w:r>
      <w:hyperlink r:id="rId18" w:tooltip="https://www.nisra.gov.uk/statistics/deprivation/northern-ireland-multiple-deprivation-measure-2017-nimdm2017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https://www.nisra.gov.uk/statistics/deprivation/northern-ireland-multiple-deprivation-measure-2017-nimdm2017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NI (which uses STV for local elections) has 11 local government districts, these are split into electoral wards. I’ve not yet found a look up between these wards and super outputs areas.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I have found this list of lookups: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hyperlink r:id="rId19" w:tooltip="https://www.nisra.gov.uk/publications/geography-lookup-tables" w:history="1">
        <w:r>
          <w:rPr>
            <w:rStyle w:val="812"/>
            <w:rFonts w:ascii="Arial" w:hAnsi="Arial" w:eastAsia="Arial" w:cs="Arial"/>
            <w:color w:val="467886"/>
            <w:sz w:val="22"/>
            <w:szCs w:val="22"/>
            <w:u w:val="single"/>
          </w:rPr>
          <w:t xml:space="preserve">https://www.nisra.gov.uk/publications/geography-lookup-tables</w:t>
        </w:r>
      </w:hyperlink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(the metadata I came across I believe says that best fit is calculated differently for these than for England and Wales)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 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ssets.publishing.service.gov.uk/media/5d8b364ced915d03709e3cf2/IoD2019_Research_Report.pdf" TargetMode="External"/><Relationship Id="rId9" Type="http://schemas.openxmlformats.org/officeDocument/2006/relationships/hyperlink" Target="https://assets.publishing.service.gov.uk/media/5dfb3d7ce5274a3432700cf3/IoD2019_FAQ_v4.pdf" TargetMode="External"/><Relationship Id="rId10" Type="http://schemas.openxmlformats.org/officeDocument/2006/relationships/hyperlink" Target="https://assets.publishing.service.gov.uk/media/5d8b364ced915d03709e3cf2/IoD2019_Research_Report.pdf" TargetMode="External"/><Relationship Id="rId11" Type="http://schemas.openxmlformats.org/officeDocument/2006/relationships/hyperlink" Target="https://en.wikipedia.org/wiki/Multiple_deprivation_index" TargetMode="External"/><Relationship Id="rId12" Type="http://schemas.openxmlformats.org/officeDocument/2006/relationships/hyperlink" Target="https://www.gov.scot/publications/scottish-index-multiple-deprivation-2020/pages/2/" TargetMode="External"/><Relationship Id="rId13" Type="http://schemas.openxmlformats.org/officeDocument/2006/relationships/hyperlink" Target="https://www.nrscotland.gov.uk/files/geography/2011-census/geography-bckground-info-comparison-of-thresholds.pdf" TargetMode="External"/><Relationship Id="rId14" Type="http://schemas.openxmlformats.org/officeDocument/2006/relationships/hyperlink" Target="https://www.ons.gov.uk/methodology/geography/ukgeographies/administrativegeography/scotland" TargetMode="External"/><Relationship Id="rId15" Type="http://schemas.openxmlformats.org/officeDocument/2006/relationships/hyperlink" Target="https://statistics.gov.scot/data/data-zone-lookup" TargetMode="External"/><Relationship Id="rId16" Type="http://schemas.openxmlformats.org/officeDocument/2006/relationships/hyperlink" Target="https://www.gov.wales/welsh-index-multiple-deprivation-index-guidance" TargetMode="External"/><Relationship Id="rId17" Type="http://schemas.openxmlformats.org/officeDocument/2006/relationships/hyperlink" Target="https://www.ons.gov.uk/methodology/geography/ukgeographies/administrativegeography/wales" TargetMode="External"/><Relationship Id="rId18" Type="http://schemas.openxmlformats.org/officeDocument/2006/relationships/hyperlink" Target="https://www.nisra.gov.uk/statistics/deprivation/northern-ireland-multiple-deprivation-measure-2017-nimdm2017" TargetMode="External"/><Relationship Id="rId19" Type="http://schemas.openxmlformats.org/officeDocument/2006/relationships/hyperlink" Target="https://www.nisra.gov.uk/publications/geography-lookup-tabl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 Basford</cp:lastModifiedBy>
  <cp:revision>2</cp:revision>
  <dcterms:modified xsi:type="dcterms:W3CDTF">2024-07-19T13:53:22Z</dcterms:modified>
</cp:coreProperties>
</file>