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Covenant summary</w:t>
      </w:r>
    </w:p>
    <w:p>
      <w:r>
        <w:t xml:space="preserve">Debt service coverage of 1.25x. &lt;script&gt;alert(1)&lt;/script&gt;</w:t>
      </w:r>
    </w:p>
    <w:p>
      <w:hyperlink r:id="rId1">
        <w:r>
          <w:t>Open statement</w:t>
        </w:r>
      </w:hyperlink>
    </w:p>
    <w:p>
      <w:hyperlink r:id="rId2">
        <w:r>
          <w:t>Lender portal</w:t>
        </w:r>
      </w:hyperlink>
    </w:p>
    <w:p>
      <w:r>
        <w:drawing>
          <wp:inline>
            <wp:extent cx="9525" cy="9525"/>
            <wp:docPr id="1" name="pixel"/>
            <a:graphic>
              <a:graphicData uri="http://schemas.openxmlformats.org/drawingml/2006/picture">
                <pic:pic>
                  <pic:nvPicPr>
                    <pic:cNvPr id="1" name="pixel"/>
                    <pic:cNvPicPr/>
                  </pic:nvPicPr>
                  <pic:blipFill>
                    <a:blip r:link="rId3"/>
                  </pic:blipFill>
                  <pic:spPr/>
                </pic:pic>
              </a:graphicData>
            </a:graphic>
          </wp:inline>
        </w:drawing>
      </w:r>
    </w:p>
    <w:p>
      <w:r>
        <w:drawing>
          <wp:inline>
            <wp:extent cx="9525" cy="9525"/>
            <wp:docPr id="1" name="pixel"/>
            <a:graphic>
              <a:graphicData uri="http://schemas.openxmlformats.org/drawingml/2006/picture">
                <pic:pic>
                  <pic:nvPicPr>
                    <pic:cNvPr id="1" name="pixel"/>
                    <pic:cNvPicPr/>
                  </pic:nvPicPr>
                  <pic:blipFill>
                    <a:blip r:embed="rId4"/>
                  </pic:blipFill>
                  <pic:spPr/>
                </pic:pic>
              </a:graphicData>
            </a:graphic>
          </wp:inline>
        </w:drawing>
      </w:r>
    </w:p>
    <w:tbl>
      <w:tr>
        <w:tc>
          <w:p>
            <w:r>
              <w:t>Year</w:t>
            </w:r>
          </w:p>
        </w:tc>
        <w:tc>
          <w:p>
            <w:r>
              <w:t>EBITDA</w:t>
            </w:r>
          </w:p>
        </w:tc>
      </w:tr>
    </w:tbl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javascript:alert(document.domain)" TargetMode="External"/><Relationship Id="rId2" Type="http://schemas.openxmlformats.org/officeDocument/2006/relationships/hyperlink" Target="https://tracker.example/click" TargetMode="External"/><Relationship Id="rId3" Type="http://schemas.openxmlformats.org/officeDocument/2006/relationships/image" Target="https://tracker.example/pixel.png" TargetMode="External"/><Relationship Id="rId4" Type="http://schemas.openxmlformats.org/officeDocument/2006/relationships/image" Target="media/image1.png"/></Relationships>
</file>