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2.png" ContentType="image/png"/>
  <Override PartName="/word/media/rId62.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of</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W.</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Laika</w:t>
      </w:r>
      <w:r>
        <w:t xml:space="preserve"> </w:t>
      </w:r>
      <w:r>
        <w:t xml:space="preserve">Aguinaldo</w:t>
      </w:r>
    </w:p>
    <w:p>
      <w:pPr>
        <w:pStyle w:val="Author"/>
      </w:pPr>
      <w:r>
        <w:t xml:space="preserve">Ashley</w:t>
      </w:r>
      <w:r>
        <w:t xml:space="preserve"> </w:t>
      </w:r>
      <w:r>
        <w:t xml:space="preserve">R.</w:t>
      </w:r>
      <w:r>
        <w:t xml:space="preserve"> </w:t>
      </w:r>
      <w:r>
        <w:t xml:space="preserve">Adams</w:t>
      </w:r>
    </w:p>
    <w:p>
      <w:pPr>
        <w:pStyle w:val="Author"/>
      </w:pPr>
      <w:r>
        <w:t xml:space="preserve">Mohammadreza</w:t>
      </w:r>
      <w:r>
        <w:t xml:space="preserve"> </w:t>
      </w:r>
      <w:r>
        <w:t xml:space="preserve">Bayat</w:t>
      </w:r>
    </w:p>
    <w:p>
      <w:pPr>
        <w:pStyle w:val="Author"/>
      </w:pPr>
      <w:r>
        <w:t xml:space="preserve">Amy</w:t>
      </w:r>
      <w:r>
        <w:t xml:space="preserve"> </w:t>
      </w:r>
      <w:r>
        <w:t xml:space="preserve">L.</w:t>
      </w:r>
      <w:r>
        <w:t xml:space="preserve"> </w:t>
      </w:r>
      <w:r>
        <w:t xml:space="preserve">Byrd</w:t>
      </w:r>
    </w:p>
    <w:p>
      <w:pPr>
        <w:pStyle w:val="Author"/>
      </w:pPr>
      <w:r>
        <w:t xml:space="preserve">Luis</w:t>
      </w:r>
      <w:r>
        <w:t xml:space="preserve"> </w:t>
      </w:r>
      <w:r>
        <w:t xml:space="preserve">FS</w:t>
      </w:r>
      <w:r>
        <w:t xml:space="preserve"> </w:t>
      </w:r>
      <w:r>
        <w:t xml:space="preserve">Castro-de-Araujo</w:t>
      </w:r>
    </w:p>
    <w:p>
      <w:pPr>
        <w:pStyle w:val="Author"/>
      </w:pPr>
      <w:r>
        <w:t xml:space="preserve">Anthony</w:t>
      </w:r>
      <w:r>
        <w:t xml:space="preserve"> </w:t>
      </w:r>
      <w:r>
        <w:t xml:space="preserve">Dick</w:t>
      </w:r>
    </w:p>
    <w:p>
      <w:pPr>
        <w:pStyle w:val="Author"/>
      </w:pPr>
      <w:r>
        <w:t xml:space="preserve">Steven</w:t>
      </w:r>
      <w:r>
        <w:t xml:space="preserve"> </w:t>
      </w:r>
      <w:r>
        <w:t xml:space="preserve">F.</w:t>
      </w:r>
      <w:r>
        <w:t xml:space="preserve"> </w:t>
      </w:r>
      <w:r>
        <w:t xml:space="preserve">Heeringa</w:t>
      </w:r>
    </w:p>
    <w:p>
      <w:pPr>
        <w:pStyle w:val="Author"/>
      </w:pPr>
      <w:r>
        <w:t xml:space="preserve">Christine</w:t>
      </w:r>
      <w:r>
        <w:t xml:space="preserve"> </w:t>
      </w:r>
      <w:r>
        <w:t xml:space="preserve">M.</w:t>
      </w:r>
      <w:r>
        <w:t xml:space="preserve"> </w:t>
      </w:r>
      <w:r>
        <w:t xml:space="preserve">Kaiver</w:t>
      </w:r>
    </w:p>
    <w:p>
      <w:pPr>
        <w:pStyle w:val="Author"/>
      </w:pPr>
      <w:r>
        <w:t xml:space="preserve">Sarah</w:t>
      </w:r>
      <w:r>
        <w:t xml:space="preserve"> </w:t>
      </w:r>
      <w:r>
        <w:t xml:space="preserve">M.</w:t>
      </w:r>
      <w:r>
        <w:t xml:space="preserve"> </w:t>
      </w:r>
      <w:r>
        <w:t xml:space="preserve">Lehman</w:t>
      </w:r>
    </w:p>
    <w:p>
      <w:pPr>
        <w:pStyle w:val="Author"/>
      </w:pPr>
      <w:r>
        <w:t xml:space="preserve">Lin</w:t>
      </w:r>
      <w:r>
        <w:t xml:space="preserve"> </w:t>
      </w:r>
      <w:r>
        <w:t xml:space="preserve">Li</w:t>
      </w:r>
    </w:p>
    <w:p>
      <w:pPr>
        <w:pStyle w:val="Author"/>
      </w:pPr>
      <w:r>
        <w:t xml:space="preserve">Janosch</w:t>
      </w:r>
      <w:r>
        <w:t xml:space="preserve"> </w:t>
      </w:r>
      <w:r>
        <w:t xml:space="preserve">Linkersdörfer</w:t>
      </w:r>
    </w:p>
    <w:p>
      <w:pPr>
        <w:pStyle w:val="Author"/>
      </w:pPr>
      <w:r>
        <w:t xml:space="preserve">Thomas</w:t>
      </w:r>
      <w:r>
        <w:t xml:space="preserve"> </w:t>
      </w:r>
      <w:r>
        <w:t xml:space="preserve">J.</w:t>
      </w:r>
      <w:r>
        <w:t xml:space="preserve"> </w:t>
      </w:r>
      <w:r>
        <w:t xml:space="preserve">Maullin-Sapey</w:t>
      </w:r>
    </w:p>
    <w:p>
      <w:pPr>
        <w:pStyle w:val="Author"/>
      </w:pPr>
      <w:r>
        <w:t xml:space="preserve">Michael</w:t>
      </w:r>
      <w:r>
        <w:t xml:space="preserve"> </w:t>
      </w:r>
      <w:r>
        <w:t xml:space="preserve">C.</w:t>
      </w:r>
      <w:r>
        <w:t xml:space="preserve"> </w:t>
      </w:r>
      <w:r>
        <w:t xml:space="preserve">Neale</w:t>
      </w:r>
    </w:p>
    <w:p>
      <w:pPr>
        <w:pStyle w:val="Author"/>
      </w:pPr>
      <w:r>
        <w:t xml:space="preserve">Thomas</w:t>
      </w:r>
      <w:r>
        <w:t xml:space="preserve"> </w:t>
      </w:r>
      <w:r>
        <w:t xml:space="preserve">E.</w:t>
      </w:r>
      <w:r>
        <w:t xml:space="preserve"> </w:t>
      </w:r>
      <w:r>
        <w:t xml:space="preserve">Nichols</w:t>
      </w:r>
    </w:p>
    <w:p>
      <w:pPr>
        <w:pStyle w:val="Author"/>
      </w:pPr>
      <w:r>
        <w:t xml:space="preserve">Samantha</w:t>
      </w:r>
      <w:r>
        <w:t xml:space="preserve"> </w:t>
      </w:r>
      <w:r>
        <w:t xml:space="preserve">Perlstein</w:t>
      </w:r>
    </w:p>
    <w:p>
      <w:pPr>
        <w:pStyle w:val="Author"/>
      </w:pPr>
      <w:r>
        <w:t xml:space="preserve">Susan</w:t>
      </w:r>
      <w:r>
        <w:t xml:space="preserve"> </w:t>
      </w:r>
      <w:r>
        <w:t xml:space="preserve">F.</w:t>
      </w:r>
      <w:r>
        <w:t xml:space="preserve"> </w:t>
      </w:r>
      <w:r>
        <w:t xml:space="preserve">Tapert</w:t>
      </w:r>
    </w:p>
    <w:p>
      <w:pPr>
        <w:pStyle w:val="Author"/>
      </w:pPr>
      <w:r>
        <w:t xml:space="preserve">Colin</w:t>
      </w:r>
      <w:r>
        <w:t xml:space="preserve"> </w:t>
      </w:r>
      <w:r>
        <w:t xml:space="preserve">E.</w:t>
      </w:r>
      <w:r>
        <w:t xml:space="preserve"> </w:t>
      </w:r>
      <w:r>
        <w:t xml:space="preserve">Vize</w:t>
      </w:r>
    </w:p>
    <w:p>
      <w:pPr>
        <w:pStyle w:val="Author"/>
      </w:pPr>
      <w:r>
        <w:t xml:space="preserve">Margot</w:t>
      </w:r>
      <w:r>
        <w:t xml:space="preserve"> </w:t>
      </w:r>
      <w:r>
        <w:t xml:space="preserve">Wagner</w:t>
      </w:r>
    </w:p>
    <w:p>
      <w:pPr>
        <w:pStyle w:val="Author"/>
      </w:pPr>
      <w:r>
        <w:t xml:space="preserve">Rebecca</w:t>
      </w:r>
      <w:r>
        <w:t xml:space="preserve"> </w:t>
      </w:r>
      <w:r>
        <w:t xml:space="preserve">Waller</w:t>
      </w:r>
    </w:p>
    <w:p>
      <w:pPr>
        <w:pStyle w:val="Author"/>
      </w:pPr>
      <w:r>
        <w:t xml:space="preserve">Wesley</w:t>
      </w:r>
      <w:r>
        <w:t xml:space="preserve"> </w:t>
      </w:r>
      <w:r>
        <w:t xml:space="preserve">K.</w:t>
      </w:r>
      <w:r>
        <w:t xml:space="preserve"> </w:t>
      </w:r>
      <w:r>
        <w:t xml:space="preserve">Thompson</w:t>
      </w:r>
    </w:p>
    <w:p>
      <w:pPr>
        <w:pStyle w:val="AbstractTitle"/>
      </w:pPr>
      <w:r>
        <w:t xml:space="preserve">Abstract</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approximately</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5" w:name="introduction"/>
    <w:p>
      <w:pPr>
        <w:pStyle w:val="Heading1"/>
      </w:pPr>
      <w:r>
        <w:t xml:space="preserve">1. Introduction</w:t>
      </w:r>
    </w:p>
    <w:p>
      <w:pPr>
        <w:pStyle w:val="FirstParagraph"/>
      </w:pPr>
      <w:hyperlink r:id="rId20">
        <w:r>
          <w:rPr>
            <w:rStyle w:val="Hyperlink"/>
          </w:rPr>
          <w:t xml:space="preserve">The Adolescent Brain Cognitive Development (ABCD) Study®</w:t>
        </w:r>
      </w:hyperlink>
      <w:r>
        <w:t xml:space="preserve"> </w:t>
      </w:r>
      <w:r>
        <w:t xml:space="preserve">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w:t>
      </w:r>
      <w:r>
        <w:t xml:space="preserve"> </w:t>
      </w:r>
      <w:hyperlink r:id="rId21">
        <w:r>
          <w:rPr>
            <w:rStyle w:val="Hyperlink"/>
          </w:rPr>
          <w:t xml:space="preserve">Quarto</w:t>
        </w:r>
      </w:hyperlink>
      <w:r>
        <w:t xml:space="preserve"> </w:t>
      </w:r>
      <w:r>
        <w:t xml:space="preserve">files, accessible in the project’s</w:t>
      </w:r>
      <w:r>
        <w:t xml:space="preserve"> </w:t>
      </w:r>
      <w:hyperlink r:id="rId22">
        <w:r>
          <w:rPr>
            <w:rStyle w:val="Hyperlink"/>
          </w:rPr>
          <w:t xml:space="preserve">GitHub repository</w:t>
        </w:r>
      </w:hyperlink>
      <w:r>
        <w:t xml:space="preserve">.</w:t>
      </w:r>
    </w:p>
    <w:bookmarkStart w:id="23" w:name="the-abcd-study-data"/>
    <w:p>
      <w:pPr>
        <w:pStyle w:val="Heading2"/>
      </w:pPr>
      <w:r>
        <w:t xml:space="preserve">1.1 The ABCD Study Data</w:t>
      </w:r>
    </w:p>
    <w:p>
      <w:pPr>
        <w:pStyle w:val="FirstParagraph"/>
      </w:pPr>
      <w:r>
        <w:t xml:space="preserve">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w:t>
      </w:r>
      <w:r>
        <w:t xml:space="preserve">;</w:t>
      </w:r>
      <w:r>
        <w:t xml:space="preserve"> </w:t>
      </w:r>
      <w:r>
        <w:t xml:space="preserve">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w:t>
      </w:r>
      <w:r>
        <w:t xml:space="preserve">;</w:t>
      </w:r>
      <w:r>
        <w:t xml:space="preserve"> </w:t>
      </w:r>
      <w:r>
        <w:t xml:space="preserve">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w:t>
      </w:r>
      <w:r>
        <w:t xml:space="preserve">;</w:t>
      </w:r>
      <w:r>
        <w:t xml:space="preserve"> </w:t>
      </w:r>
      <w:r>
        <w:t xml:space="preserve">Hagler et al. (2019)</w:t>
      </w:r>
      <w:r>
        <w:t xml:space="preserve">;</w:t>
      </w:r>
      <w:r>
        <w:t xml:space="preserve"> </w:t>
      </w:r>
      <w:r>
        <w:t xml:space="preserve">Palmer et al. (2022)</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brief telephone or online assessments.</w:t>
      </w:r>
    </w:p>
    <w:p>
      <w:pPr>
        <w:pStyle w:val="BodyText"/>
      </w:pPr>
      <w:r>
        <w:t xml:space="preserve">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bookmarkEnd w:id="23"/>
    <w:bookmarkStart w:id="24"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Introduction</w:t>
            </w:r>
          </w:p>
          <w:p>
            <w:pPr>
              <w:numPr>
                <w:ilvl w:val="0"/>
                <w:numId w:val="1001"/>
              </w:numPr>
              <w:pStyle w:val="Compact"/>
            </w:pPr>
            <w:r>
              <w:t xml:space="preserve">The ABCD Study®</w:t>
            </w:r>
          </w:p>
          <w:p>
            <w:pPr>
              <w:pStyle w:val="FirstParagraph"/>
            </w:pPr>
            <w:r>
              <w:t xml:space="preserve">• Part II. Developmental Research</w:t>
            </w:r>
          </w:p>
          <w:p>
            <w:pPr>
              <w:numPr>
                <w:ilvl w:val="0"/>
                <w:numId w:val="1002"/>
              </w:numPr>
              <w:pStyle w:val="Compact"/>
            </w:pPr>
            <w:r>
              <w:t xml:space="preserve">Fundamental Concepts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4"/>
    <w:bookmarkEnd w:id="25"/>
    <w:bookmarkStart w:id="31" w:name="developmental-research"/>
    <w:p>
      <w:pPr>
        <w:pStyle w:val="Heading1"/>
      </w:pPr>
      <w:r>
        <w:t xml:space="preserve">2. Developmental Research</w:t>
      </w:r>
    </w:p>
    <w:bookmarkStart w:id="30"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6"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w:t>
      </w:r>
      <w:r>
        <w:t xml:space="preserve">;</w:t>
      </w:r>
      <w:r>
        <w:t xml:space="preserve"> </w:t>
      </w:r>
      <w:r>
        <w:t xml:space="preserve">Bechtold et al. (2016)</w:t>
      </w:r>
      <w:r>
        <w:t xml:space="preserve">;</w:t>
      </w:r>
      <w:r>
        <w:t xml:space="preserve"> </w:t>
      </w:r>
      <w:r>
        <w:t xml:space="preserve">Hasan et al. (2020)</w:t>
      </w:r>
      <w:r>
        <w:t xml:space="preserve">;</w:t>
      </w:r>
      <w:r>
        <w:t xml:space="preserve"> </w:t>
      </w:r>
      <w:r>
        <w:t xml:space="preserve">Semple, McIntosh, and Lawrie (2005)</w:t>
      </w:r>
      <w:r>
        <w:t xml:space="preserve">. Similarly, rodent brains are especially sensitive to the neurotoxic effects of alcohol on brain structure and learning early in development, corresponding to early adolescence in humans</w:t>
      </w:r>
      <w:r>
        <w:t xml:space="preserve"> </w:t>
      </w:r>
      <w:r>
        <w:t xml:space="preserve">Spear (2016)</w:t>
      </w:r>
      <w:r>
        <w:t xml:space="preserve">;</w:t>
      </w:r>
      <w:r>
        <w:t xml:space="preserve"> </w:t>
      </w:r>
      <w:r>
        <w:t xml:space="preserve">Crews et al. (2000)</w:t>
      </w:r>
      <w:r>
        <w:t xml:space="preserve">;</w:t>
      </w:r>
      <w:r>
        <w:t xml:space="preserve"> </w:t>
      </w:r>
      <w:r>
        <w:t xml:space="preserve">Ji et al. (2018)</w:t>
      </w:r>
      <w:r>
        <w:t xml:space="preserve">. In another example, longitudinal data from the National Consortium on Alcohol and Neurodevelopment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6"/>
    <w:bookmarkStart w:id="27"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 (e.g.,</w:t>
      </w:r>
      <w:r>
        <w:t xml:space="preserve"> </w:t>
      </w:r>
      <w:r>
        <w:t xml:space="preserve">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similar to those prior to entering the environment.</w:t>
      </w:r>
    </w:p>
    <w:bookmarkEnd w:id="27"/>
    <w:bookmarkStart w:id="28"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 (e.g.,</w:t>
      </w:r>
      <w:r>
        <w:t xml:space="preserve"> </w:t>
      </w:r>
      <w:r>
        <w:t xml:space="preserve">Masten et al. (2005)</w:t>
      </w:r>
      <w:r>
        <w:t xml:space="preserve">;</w:t>
      </w:r>
      <w:r>
        <w:t xml:space="preserve"> </w:t>
      </w:r>
      <w:r>
        <w:t xml:space="preserve">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bookmarkEnd w:id="28"/>
    <w:bookmarkStart w:id="29" w:name="mediational-processes."/>
    <w:p>
      <w:pPr>
        <w:pStyle w:val="Heading3"/>
      </w:pPr>
      <w:r>
        <w:t xml:space="preserve">2.1.4 Mediational Processes.</w:t>
      </w:r>
    </w:p>
    <w:p>
      <w:pPr>
        <w:pStyle w:val="FirstParagraph"/>
      </w:pPr>
      <w:r>
        <w:t xml:space="preserve">Questions regarding the biological mechanisms whereby exposures impact outcomes can often be framed in terms of mediation analyses</w:t>
      </w:r>
      <w:r>
        <w:t xml:space="preserve"> </w:t>
      </w:r>
      <w:r>
        <w:t xml:space="preserve">MacKinnon, Fairchild, and Fritz (2007)</w:t>
      </w:r>
      <w:r>
        <w:t xml:space="preserve">;</w:t>
      </w:r>
      <w:r>
        <w:t xml:space="preserve"> </w:t>
      </w:r>
      <w:r>
        <w:t xml:space="preserve">VanderWeele (2016)</w:t>
      </w:r>
      <w:r>
        <w:t xml:space="preserve">. Mediation analyses can be implemented using the causal steps approach</w:t>
      </w:r>
      <w:r>
        <w:t xml:space="preserve"> </w:t>
      </w:r>
      <w:r>
        <w:t xml:space="preserve">Baron and Kenny (1986)</w:t>
      </w:r>
      <w:r>
        <w:t xml:space="preserve"> </w:t>
      </w:r>
      <w:r>
        <w:t xml:space="preserve">and structural equation models (SEM)</w:t>
      </w:r>
      <w:r>
        <w:t xml:space="preserve"> </w:t>
      </w:r>
      <w:r>
        <w:t xml:space="preserve">Preacher, Zhang, and Zyphur (2011)</w:t>
      </w:r>
      <w:r>
        <w:t xml:space="preserve">. More recently, mediation models have been adapted for longitudinal exposures, mediators, and/or outcomes</w:t>
      </w:r>
      <w:r>
        <w:t xml:space="preserve"> </w:t>
      </w:r>
      <w:r>
        <w:t xml:space="preserve">Bind et al. (2016)</w:t>
      </w:r>
      <w:r>
        <w:t xml:space="preserve">;</w:t>
      </w:r>
      <w:r>
        <w:t xml:space="preserve"> </w:t>
      </w:r>
      <w:r>
        <w:t xml:space="preserve">VanderWeele and Tchetgen Tchetgen (2017)</w:t>
      </w:r>
      <w:r>
        <w:t xml:space="preserve">. All of these modeling approaches decompose the total effects of an exposure on an outcome into direct and indirect effects, where indirect effects of an exposure flow through its impact on a mediating process.</w:t>
      </w:r>
      <w:r>
        <w:t xml:space="preserve"> </w:t>
      </w:r>
      <w:r>
        <w:t xml:space="preserve">VanderWeele and Tchetgen Tchetgen (2017)</w:t>
      </w:r>
      <w:r>
        <w:t xml:space="preserve"> </w:t>
      </w:r>
      <w:r>
        <w:t xml:space="preserve">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w:t>
      </w:r>
      <w:r>
        <w:t xml:space="preserve"> </w:t>
      </w:r>
      <w:r>
        <w:t xml:space="preserve">Lindquist (2012)</w:t>
      </w:r>
      <w:r>
        <w:t xml:space="preserve">;</w:t>
      </w:r>
      <w:r>
        <w:t xml:space="preserve"> </w:t>
      </w:r>
      <w:r>
        <w:t xml:space="preserve">Zhao et al. (2018)</w:t>
      </w:r>
      <w:r>
        <w:t xml:space="preserve">.</w:t>
      </w:r>
    </w:p>
    <w:bookmarkEnd w:id="29"/>
    <w:bookmarkEnd w:id="30"/>
    <w:bookmarkEnd w:id="31"/>
    <w:bookmarkStart w:id="51" w:name="longitudinal-data"/>
    <w:p>
      <w:pPr>
        <w:pStyle w:val="Heading1"/>
      </w:pPr>
      <w:r>
        <w:t xml:space="preserve">3. Longitudinal Data</w:t>
      </w:r>
    </w:p>
    <w:bookmarkStart w:id="50" w:name="considerations-and-challenges"/>
    <w:p>
      <w:pPr>
        <w:pStyle w:val="Heading2"/>
      </w:pPr>
      <w:r>
        <w:t xml:space="preserve">3.1 Considerations and Challenges</w:t>
      </w:r>
    </w:p>
    <w:p>
      <w:pPr>
        <w:pStyle w:val="FirstParagraph"/>
      </w:pPr>
      <w:r>
        <w:t xml:space="preserve">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bookmarkStart w:id="32"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three or more assessment points, given it is impossible for data based on two-time points to determine the shape of development (given that linear change is the only estimable form for two assessment waves; (see</w:t>
      </w:r>
      <w:r>
        <w:t xml:space="preserve"> </w:t>
      </w:r>
      <w:r>
        <w:t xml:space="preserve">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32"/>
    <w:bookmarkStart w:id="37"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w:t>
      </w:r>
      <w:r>
        <w:t xml:space="preserve">;</w:t>
      </w:r>
      <w:r>
        <w:t xml:space="preserve"> </w:t>
      </w:r>
      <w:r>
        <w:t xml:space="preserve">Roberts and DelVecchio (2000)</w:t>
      </w:r>
      <w:r>
        <w:t xml:space="preserve">;</w:t>
      </w:r>
      <w:r>
        <w:t xml:space="preserve"> </w:t>
      </w:r>
      <w:r>
        <w:t xml:space="preserve">Roberts, Walton, and Viechtbauer (2006)</w:t>
      </w:r>
      <w:r>
        <w:t xml:space="preserve">.</w:t>
      </w:r>
    </w:p>
    <w:p>
      <w:pPr>
        <w:pStyle w:val="BodyText"/>
      </w:pPr>
      <w:r>
        <w:t xml:space="preserve">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type="pct" w:w="5000"/>
        <w:tblLook w:firstRow="0" w:lastRow="0" w:firstColumn="0" w:lastColumn="0" w:noHBand="0" w:noVBand="0" w:val="0000"/>
        <w:jc w:val="start"/>
        <w:tblLayout w:type="fixed"/>
      </w:tblPr>
      <w:tblGrid>
        <w:gridCol w:w="7920"/>
      </w:tblGrid>
      <w:tr>
        <w:tc>
          <w:tcPr/>
          <w:bookmarkStart w:id="36" w:name="fig-StablityChange"/>
          <w:p>
            <w:pPr>
              <w:pStyle w:val="Compact"/>
              <w:jc w:val="left"/>
            </w:pPr>
            <w:r>
              <w:drawing>
                <wp:inline>
                  <wp:extent cx="5334000" cy="3643442"/>
                  <wp:effectExtent b="0" l="0" r="0" t="0"/>
                  <wp:docPr descr="" title="" id="34" name="Picture"/>
                  <a:graphic>
                    <a:graphicData uri="http://schemas.openxmlformats.org/drawingml/2006/picture">
                      <pic:pic>
                        <pic:nvPicPr>
                          <pic:cNvPr descr="img/StabilityChange.png" id="35" name="Picture"/>
                          <pic:cNvPicPr>
                            <a:picLocks noChangeArrowheads="1" noChangeAspect="1"/>
                          </pic:cNvPicPr>
                        </pic:nvPicPr>
                        <pic:blipFill>
                          <a:blip r:embed="rId33"/>
                          <a:stretch>
                            <a:fillRect/>
                          </a:stretch>
                        </pic:blipFill>
                        <pic:spPr bwMode="auto">
                          <a:xfrm>
                            <a:off x="0" y="0"/>
                            <a:ext cx="5334000" cy="3643442"/>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6"/>
        </w:tc>
      </w:tr>
    </w:tbl>
    <w:bookmarkEnd w:id="37"/>
    <w:bookmarkStart w:id="38"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 (e.g.,</w:t>
      </w:r>
      <w:r>
        <w:t xml:space="preserve"> </w:t>
      </w:r>
      <w:r>
        <w:t xml:space="preserve">Patrick J. Curran and Bauer (2011)</w:t>
      </w:r>
      <w:r>
        <w:t xml:space="preserve">;</w:t>
      </w:r>
      <w:r>
        <w:t xml:space="preserve"> </w:t>
      </w:r>
      <w:r>
        <w:t xml:space="preserve">Hoffman (2015)</w:t>
      </w:r>
      <w:r>
        <w:t xml:space="preserve">;</w:t>
      </w:r>
      <w:r>
        <w:t xml:space="preserve"> </w:t>
      </w:r>
      <w:r>
        <w:t xml:space="preserve">Andrew K. Littlefield et al. (2021)</w:t>
      </w:r>
      <w:r>
        <w:t xml:space="preserve">). First, developmental studies typically involve the use of prospective data to inform theories that are concerned with clear within-person processes (e.g., how phenotypes change or remain stable within individuals over time, (e.g.,</w:t>
      </w:r>
      <w:r>
        <w:t xml:space="preserve"> </w:t>
      </w:r>
      <w:r>
        <w:t xml:space="preserve">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w:t>
      </w:r>
      <w:r>
        <w:t xml:space="preserve"> </w:t>
      </w:r>
      <w:r>
        <w:t xml:space="preserve">Andrew K. Littlefield et al. (2021)</w:t>
      </w:r>
      <w:r>
        <w:t xml:space="preserve">;</w:t>
      </w:r>
      <w:r>
        <w:t xml:space="preserve"> </w:t>
      </w:r>
      <w:r>
        <w:t xml:space="preserve">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w:t>
      </w:r>
      <w:r>
        <w:t xml:space="preserve"> </w:t>
      </w:r>
      <w:r>
        <w:t xml:space="preserve">Andrew K. Littlefield et al. (2021)</w:t>
      </w:r>
      <w:r>
        <w:t xml:space="preserve">, for further discussion).</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pPr>
        <w:pStyle w:val="BodyText"/>
      </w:pPr>
      <w:r>
        <w:t xml:space="preserve">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w:t>
      </w:r>
      <w:r>
        <w:t xml:space="preserve"> </w:t>
      </w:r>
      <w:r>
        <w:t xml:space="preserve">Wood (2017)</w:t>
      </w:r>
      <w:r>
        <w:t xml:space="preserve">) and at the individual level (e.g., Functional Data Analysis [FDA];</w:t>
      </w:r>
      <w:r>
        <w:t xml:space="preserve"> </w:t>
      </w:r>
      <w:r>
        <w:t xml:space="preserve">Ramsay and Silverman (2002)</w:t>
      </w:r>
      <w:r>
        <w:t xml:space="preserve">)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w:t>
      </w:r>
      <w:r>
        <w:t xml:space="preserve"> </w:t>
      </w:r>
      <w:r>
        <w:t xml:space="preserve">Wesley K. Thompson et al. (2013)</w:t>
      </w:r>
      <w:r>
        <w:t xml:space="preserve">.</w:t>
      </w:r>
    </w:p>
    <w:bookmarkEnd w:id="38"/>
    <w:bookmarkStart w:id="39" w:name="continuous-and-discrete-outcomes"/>
    <w:p>
      <w:pPr>
        <w:pStyle w:val="Heading3"/>
      </w:pPr>
      <w:r>
        <w:t xml:space="preserve">3.1.4 Continuous and Discrete Outcomes</w:t>
      </w:r>
    </w:p>
    <w:p>
      <w:pPr>
        <w:pStyle w:val="FirstParagraph"/>
      </w:pPr>
      <w: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w:t>
      </w:r>
      <w:r>
        <w:t xml:space="preserve"> </w:t>
      </w:r>
      <w:r>
        <w:t xml:space="preserve">Lenz (2016)</w:t>
      </w:r>
      <w:r>
        <w:t xml:space="preserve">). For example, the Mplus manual</w:t>
      </w:r>
      <w:r>
        <w:t xml:space="preserve"> </w:t>
      </w:r>
      <w:r>
        <w:t xml:space="preserve">L. K. 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account for issues that may occur when working with discrete outcomes, including overdispersion, i.e., when the variance is higher than would be expected based on a given parametric distribution (see</w:t>
      </w:r>
      <w:r>
        <w:t xml:space="preserve"> </w:t>
      </w:r>
      <w:r>
        <w:t xml:space="preserve">Lenz (2016)</w:t>
      </w:r>
      <w:r>
        <w:t xml:space="preserve">). Given the sheer breadth of issues relevant to determining adequate models for discrete outcomes, it is not uncommon for texts on LDA to only cover models and approaches that assume continuous variables (e.g.,</w:t>
      </w:r>
      <w:r>
        <w:t xml:space="preserve"> </w:t>
      </w:r>
      <w:r>
        <w:t xml:space="preserve">T. D. Little (2013)</w:t>
      </w:r>
      <w:r>
        <w:t xml:space="preserve">). However, some textbooks on categorical data analysis provide more detailed coverage of the myriad issues and modeling choices to consider when working with discrete outcomes:</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9"/>
    <w:bookmarkStart w:id="40" w:name="X991a5f27e795407b86eff343645ded6e53bd2cd"/>
    <w:p>
      <w:pPr>
        <w:pStyle w:val="Heading3"/>
      </w:pPr>
      <w:r>
        <w:t xml:space="preserve">3.1.5 Issues in attributing longitudinal change to development</w:t>
      </w:r>
    </w:p>
    <w:p>
      <w:pPr>
        <w:pStyle w:val="FirstParagraph"/>
      </w:pPr>
      <w:r>
        <w:t xml:space="preserve">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w:t>
      </w:r>
      <w:r>
        <w:t xml:space="preserve"> </w:t>
      </w:r>
      <w:r>
        <w:t xml:space="preserve">Another prerequisite for valid developmental interpretations of longitudinal data is to establish whether a construct is measured consistently over time, i.e., longitudinal measurement invariance</w:t>
      </w:r>
      <w:r>
        <w:t xml:space="preserve"> </w:t>
      </w:r>
      <w:r>
        <w:t xml:space="preserve">Liu et al. (2017)</w:t>
      </w:r>
      <w:r>
        <w:t xml:space="preserve">;</w:t>
      </w:r>
      <w:r>
        <w:t xml:space="preserve"> </w:t>
      </w:r>
      <w:r>
        <w:t xml:space="preserve">Van De Schoot et al. (2015)</w:t>
      </w:r>
      <w:r>
        <w:t xml:space="preserve">;</w:t>
      </w:r>
      <w:r>
        <w:t xml:space="preserve"> </w:t>
      </w:r>
      <w:r>
        <w:t xml:space="preserve">Willoughby, Wirth, and Blair (2012)</w:t>
      </w:r>
      <w:r>
        <w:t xml:space="preserve">. Establishing longitudinal measurement invariance ensures that change over time for a given construct is attributable to individual development rather than merely a measurement artifact. For instance, one study using data from the ABCD Study</w:t>
      </w:r>
      <w:r>
        <w:t xml:space="preserve"> </w:t>
      </w:r>
      <w:r>
        <w:t xml:space="preserve">Brislin et al. (2023)</w:t>
      </w:r>
      <w:r>
        <w:t xml:space="preserve"> </w:t>
      </w:r>
      <w:r>
        <w:t xml:space="preserve">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w:t>
      </w:r>
      <w:r>
        <w:t xml:space="preserve"> </w:t>
      </w:r>
      <w:r>
        <w:t xml:space="preserve">Vize et al. (2023)</w:t>
      </w:r>
      <w:r>
        <w:t xml:space="preserve"> </w:t>
      </w:r>
      <w:r>
        <w:t xml:space="preserve">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w:t>
      </w:r>
      <w:r>
        <w:t xml:space="preserve"> </w:t>
      </w:r>
      <w:r>
        <w:t xml:space="preserve">A. T. Beck et al. (1961)</w:t>
      </w:r>
      <w:r>
        <w:t xml:space="preserve">;</w:t>
      </w:r>
      <w:r>
        <w:t xml:space="preserve"> </w:t>
      </w:r>
      <w:r>
        <w:t xml:space="preserve">French and Sutton (2010)</w:t>
      </w:r>
      <w:r>
        <w:t xml:space="preserve">) 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artifactually elevated (see</w:t>
      </w:r>
      <w:r>
        <w:t xml:space="preserve"> </w:t>
      </w:r>
      <w:r>
        <w:t xml:space="preserve">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40"/>
    <w:bookmarkStart w:id="41" w:name="modeling-covariance"/>
    <w:p>
      <w:pPr>
        <w:pStyle w:val="Heading3"/>
      </w:pPr>
      <w:r>
        <w:t xml:space="preserve">3.1.6 Modeling Covariance</w:t>
      </w:r>
    </w:p>
    <w:p>
      <w:pPr>
        <w:pStyle w:val="FirstParagraph"/>
      </w:pPr>
      <w:r>
        <w:t xml:space="preserve">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pPr>
        <w:pStyle w:val="BodyText"/>
      </w:pPr>
      <w: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more or less appropriate for each specific application (e.g., see</w:t>
      </w:r>
      <w:r>
        <w:t xml:space="preserve"> </w:t>
      </w:r>
      <w:r>
        <w:t xml:space="preserve">Kincaid (2005)</w:t>
      </w:r>
      <w:r>
        <w:t xml:space="preserve">).</w:t>
      </w:r>
    </w:p>
    <w:p>
      <w:pPr>
        <w:pStyle w:val="BodyText"/>
      </w:pPr>
      <w:r>
        <w:t xml:space="preserve">The most common approach is to use random effects. Essentially, random effects allow for covariance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w:t>
      </w:r>
      <w:r>
        <w:t xml:space="preserve"> </w:t>
      </w:r>
      <w:r>
        <w:t xml:space="preserve">Singer (1998)</w:t>
      </w:r>
      <w:r>
        <w:t xml:space="preserve">).</w:t>
      </w:r>
    </w:p>
    <w:p>
      <w:pPr>
        <w:pStyle w:val="BodyText"/>
      </w:pPr>
      <w: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w:t>
      </w:r>
      <w:r>
        <w:t xml:space="preserve"> </w:t>
      </w:r>
      <w:r>
        <w:t xml:space="preserve">Patrick J. Curran (2003)</w:t>
      </w:r>
      <w:r>
        <w:t xml:space="preserve">.</w:t>
      </w:r>
    </w:p>
    <w:p>
      <w:pPr>
        <w:pStyle w:val="BodyText"/>
      </w:pPr>
      <w: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AR(1),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AR(1)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AR(1) model is parsimonious in that it only requires two parameters: the variance of the residuals and the autoregressive coefficient.</w:t>
      </w:r>
    </w:p>
    <w:p>
      <w:pPr>
        <w:pStyle w:val="BodyText"/>
      </w:pPr>
      <w:r>
        <w:t xml:space="preserve">Notably, the assumption of constant autoregressive relations between assessments is often relaxed in commonly employed designs that use autoregressive modeling (e.g., CLPM). These designs still typically assume an AR(1) process. However, the magnitude of these relations is often allowed to differ across different AR(1) pairs of assessment (e.g., the relation between visit 1 and visit 2 can be different from the relation between visit 2 and visit 3). These models also often relax the assumption of equal variances of the repeated assessments.</w:t>
      </w:r>
    </w:p>
    <w:p>
      <w:pPr>
        <w:pStyle w:val="BodyText"/>
      </w:pPr>
      <w:r>
        <w:t xml:space="preserve">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Note also, discrete-time autoregressive structures such as AR(1) implicitly assumes relatively constant time gaps between visits; this may not be true in many applications using the ABCD Study data.</w:t>
      </w:r>
    </w:p>
    <w:bookmarkEnd w:id="41"/>
    <w:bookmarkStart w:id="42" w:name="missing-dataattrition"/>
    <w:p>
      <w:pPr>
        <w:pStyle w:val="Heading3"/>
      </w:pPr>
      <w:r>
        <w:t xml:space="preserve">3.1.7 Missing Data/Attrition</w:t>
      </w:r>
    </w:p>
    <w:p>
      <w:pPr>
        <w:pStyle w:val="FirstParagraph"/>
      </w:pPr>
      <w:r>
        <w:t xml:space="preserve">Attrition from a longitudinal study such as ABCD is inevitable and represents a potential threat to the external validity of analyses conducted at later visits, especially since attrition can only be expected to grow over time</w:t>
      </w:r>
      <w:r>
        <w:t xml:space="preserve"> </w:t>
      </w:r>
      <w:r>
        <w:t xml:space="preserve">Andrew K. Littlefield et al. (2022)</w:t>
      </w:r>
      <w:r>
        <w:t xml:space="preserve">.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w:t>
      </w:r>
      <w:r>
        <w:t xml:space="preserve">;</w:t>
      </w:r>
      <w:r>
        <w:t xml:space="preserve"> </w:t>
      </w:r>
      <w:r>
        <w:t xml:space="preserve">Hill et al. (2016)</w:t>
      </w:r>
      <w:r>
        <w:t xml:space="preserve">;</w:t>
      </w:r>
      <w:r>
        <w:t xml:space="preserve"> </w:t>
      </w:r>
      <w:r>
        <w:t xml:space="preserve">Watson et al. (2018)</w:t>
      </w:r>
      <w:r>
        <w:t xml:space="preserve">. However, even the best-executed studies need to anticipate growing attrition over the length of the study and implement analytic strategies designed to provide the most valid inferences.</w:t>
      </w:r>
    </w:p>
    <w:p>
      <w:pPr>
        <w:pStyle w:val="BodyText"/>
      </w:pPr>
      <w:r>
        <w:t xml:space="preserve">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R. J. Little and Rubin (1989)</w:t>
      </w:r>
      <w:r>
        <w:t xml:space="preserve">;</w:t>
      </w:r>
      <w:r>
        <w:t xml:space="preserve"> </w:t>
      </w:r>
      <w:r>
        <w:t xml:space="preserve">T. D. Little (2013)</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full-information maximum likelihood, propensity weighting, auxiliary variables and multiple imputation avoid the biases of older approaches (see</w:t>
      </w:r>
      <w:r>
        <w:t xml:space="preserve"> </w:t>
      </w:r>
      <w:r>
        <w:t xml:space="preserve">Enders (2010)</w:t>
      </w:r>
      <w:r>
        <w:t xml:space="preserve">;</w:t>
      </w:r>
      <w:r>
        <w:t xml:space="preserve"> </w:t>
      </w:r>
      <w:r>
        <w:t xml:space="preserve">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 but also see</w:t>
      </w:r>
      <w:r>
        <w:t xml:space="preserve"> </w:t>
      </w:r>
      <w:r>
        <w:t xml:space="preserve">Twisk et al. (2013)</w:t>
      </w:r>
      <w:r>
        <w:t xml:space="preserve">). The ABCD Biostatistics Workgroup is currently implementing several missing data approaches which are being implemented and compared to each other (and listwise deletion) in the 5.0 data release, including, propensity score weighting, and multiple (multilevel) imputation.</w:t>
      </w:r>
    </w:p>
    <w:bookmarkEnd w:id="42"/>
    <w:bookmarkStart w:id="43" w:name="quantifying-effect-sizes-longitudinally"/>
    <w:p>
      <w:pPr>
        <w:pStyle w:val="Heading3"/>
      </w:pPr>
      <w:r>
        <w:t xml:space="preserve">3.1.8 Quantifying effect sizes longitudinally</w:t>
      </w:r>
    </w:p>
    <w:p>
      <w:pPr>
        <w:pStyle w:val="FirstParagraph"/>
      </w:pPr>
      <w:r>
        <w:t xml:space="preserve">Given that longitudinal data involve multiple sources of variation, quantifying effect sizes longitudinally is more complex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 Common effect size metrics include the Pearson correlation r between two variables and the standardized difference between two means, Cohen’s d</w:t>
      </w:r>
      <w:r>
        <w:t xml:space="preserve"> </w:t>
      </w:r>
      <w:r>
        <w:t xml:space="preserve">Cohen (1988)</w:t>
      </w:r>
      <w:r>
        <w:t xml:space="preserve">. An extensive discussion of cross-sectional effect sizes and their relevance for ABCD is given in</w:t>
      </w:r>
      <w:r>
        <w:t xml:space="preserve"> </w:t>
      </w:r>
      <w:r>
        <w:t xml:space="preserve">Dick et al. (2021)</w:t>
      </w:r>
      <w:r>
        <w:t xml:space="preserve">.</w:t>
      </w:r>
    </w:p>
    <w:p>
      <w:pPr>
        <w:pStyle w:val="BodyText"/>
      </w:pPr>
      <w:r>
        <w:t xml:space="preserve">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 (see</w:t>
      </w:r>
      <w:r>
        <w:t xml:space="preserve"> </w:t>
      </w:r>
      <w:r>
        <w:t xml:space="preserve">Wang et al. (2019)</w:t>
      </w:r>
      <w:r>
        <w:t xml:space="preserve">, for more details).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cross-sectional analysis (see</w:t>
      </w:r>
      <w:r>
        <w:t xml:space="preserve"> </w:t>
      </w:r>
      <w:r>
        <w:t xml:space="preserve">Feingold (2009)</w:t>
      </w:r>
      <w:r>
        <w:t xml:space="preserve">, for more details).</w:t>
      </w:r>
    </w:p>
    <w:p>
      <w:pPr>
        <w:pStyle w:val="BodyText"/>
      </w:pPr>
      <w:r>
        <w:t xml:space="preserve">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(e.g.,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bookmarkEnd w:id="43"/>
    <w:bookmarkStart w:id="49" w:name="longitudinal-data-structures"/>
    <w:p>
      <w:pPr>
        <w:pStyle w:val="Heading3"/>
      </w:pPr>
      <w:r>
        <w:t xml:space="preserve">3.1.9 Longitudinal Data Structures</w:t>
      </w:r>
    </w:p>
    <w:p>
      <w:pPr>
        <w:pStyle w:val="FirstParagraph"/>
      </w:pPr>
      <w:r>
        <w:t xml:space="preserve">An ideal longitudinal analysis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w:t>
      </w:r>
      <w:r>
        <w:t xml:space="preserve"> </w:t>
      </w:r>
      <w:r>
        <w:t xml:space="preserve">Bauer and Curran (2019)</w:t>
      </w:r>
      <w:r>
        <w:t xml:space="preserve"> </w:t>
      </w:r>
      <w:r>
        <w:t xml:space="preserve">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w:t>
      </w:r>
      <w:r>
        <w:t xml:space="preserve">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w:t>
      </w:r>
      <w:r>
        <w:t xml:space="preserve"> </w:t>
      </w:r>
      <w:r>
        <w:t xml:space="preserve">Hosmer Jr, Lemeshow, and May (2008)</w:t>
      </w:r>
      <w:r>
        <w:t xml:space="preserve">;</w:t>
      </w:r>
      <w:r>
        <w:t xml:space="preserve"> </w:t>
      </w:r>
      <w:r>
        <w:t xml:space="preserve">Rizopoulos (2012)</w:t>
      </w:r>
      <w:r>
        <w:t xml:space="preserve">, including a recent analysis examining exclusionary discipline in schools using data from the ABCD Study</w:t>
      </w:r>
      <w:r>
        <w:t xml:space="preserve">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p>
      <w:pPr>
        <w:pStyle w:val="BodyText"/>
      </w:pPr>
      <w:bookmarkStart w:id="47" w:name="fig-StablityChange"/>
      <w:r>
        <w:drawing>
          <wp:inline>
            <wp:extent cx="5334000" cy="2172441"/>
            <wp:effectExtent b="0" l="0" r="0" t="0"/>
            <wp:docPr descr="Longitudinal Data Analysis Structural Diagram" title="" id="45" name="Picture"/>
            <a:graphic>
              <a:graphicData uri="http://schemas.openxmlformats.org/drawingml/2006/picture">
                <pic:pic>
                  <pic:nvPicPr>
                    <pic:cNvPr descr="img/LDAStructure2.png" id="46" name="Picture"/>
                    <pic:cNvPicPr>
                      <a:picLocks noChangeArrowheads="1" noChangeAspect="1"/>
                    </pic:cNvPicPr>
                  </pic:nvPicPr>
                  <pic:blipFill>
                    <a:blip r:embed="rId44"/>
                    <a:stretch>
                      <a:fillRect/>
                    </a:stretch>
                  </pic:blipFill>
                  <pic:spPr bwMode="auto">
                    <a:xfrm>
                      <a:off x="0" y="0"/>
                      <a:ext cx="5334000" cy="2172441"/>
                    </a:xfrm>
                    <a:prstGeom prst="rect">
                      <a:avLst/>
                    </a:prstGeom>
                    <a:noFill/>
                    <a:ln w="9525">
                      <a:noFill/>
                      <a:headEnd/>
                      <a:tailEnd/>
                    </a:ln>
                  </pic:spPr>
                </pic:pic>
              </a:graphicData>
            </a:graphic>
          </wp:inline>
        </w:drawing>
      </w:r>
      <w:bookmarkEnd w:id="47"/>
      <w:r>
        <w:t xml:space="preserve"> </w:t>
      </w:r>
      <w:hyperlink r:id="rId48">
        <w:r>
          <w:rPr>
            <w:rStyle w:val="Hyperlink"/>
          </w:rPr>
          <w:t xml:space="preserve">Link</w:t>
        </w:r>
      </w:hyperlink>
    </w:p>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pPr>
        <w:pStyle w:val="BodyText"/>
      </w:pPr>
      <w:r>
        <w:t xml:space="preserve">A related type of repeated measures analysis is Intensive Longitudinal Data (ILD). Similar to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each individual’s data to model individual difference outcomes.</w:t>
      </w:r>
    </w:p>
    <w:p>
      <w:pPr>
        <w:pStyle w:val="BodyText"/>
      </w:pPr>
      <w:r>
        <w:t xml:space="preserve">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9"/>
    <w:bookmarkEnd w:id="50"/>
    <w:bookmarkEnd w:id="51"/>
    <w:bookmarkStart w:id="72" w:name="longitudinal-analysis"/>
    <w:p>
      <w:pPr>
        <w:pStyle w:val="Heading1"/>
      </w:pPr>
      <w:r>
        <w:t xml:space="preserve">4. Longitudinal Analysis</w:t>
      </w:r>
    </w:p>
    <w:bookmarkStart w:id="7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several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DataStructures"/>
          <w:p>
            <w:pPr>
              <w:pStyle w:val="Compact"/>
              <w:jc w:val="left"/>
            </w:pPr>
            <w:r>
              <w:drawing>
                <wp:inline>
                  <wp:extent cx="5334000" cy="5889054"/>
                  <wp:effectExtent b="0" l="0" r="0" t="0"/>
                  <wp:docPr descr="" title="" id="53" name="Picture"/>
                  <a:graphic>
                    <a:graphicData uri="http://schemas.openxmlformats.org/drawingml/2006/picture">
                      <pic:pic>
                        <pic:nvPicPr>
                          <pic:cNvPr descr="img/Mindmap1.png" id="54" name="Picture"/>
                          <pic:cNvPicPr>
                            <a:picLocks noChangeArrowheads="1" noChangeAspect="1"/>
                          </pic:cNvPicPr>
                        </pic:nvPicPr>
                        <pic:blipFill>
                          <a:blip r:embed="rId52"/>
                          <a:stretch>
                            <a:fillRect/>
                          </a:stretch>
                        </pic:blipFill>
                        <pic:spPr bwMode="auto">
                          <a:xfrm>
                            <a:off x="0" y="0"/>
                            <a:ext cx="5334000" cy="5889054"/>
                          </a:xfrm>
                          <a:prstGeom prst="rect">
                            <a:avLst/>
                          </a:prstGeom>
                          <a:noFill/>
                          <a:ln w="9525">
                            <a:noFill/>
                            <a:headEnd/>
                            <a:tailEnd/>
                          </a:ln>
                        </pic:spPr>
                      </pic:pic>
                    </a:graphicData>
                  </a:graphic>
                </wp:inline>
              </w:drawing>
            </w:r>
          </w:p>
          <w:p>
            <w:pPr>
              <w:jc w:val="left"/>
            </w:pPr>
            <w:pPr>
              <w:jc w:val="start"/>
              <w:spacing w:before="200"/>
              <w:pStyle w:val="ImageCaption"/>
            </w:pPr>
            <w:r>
              <w:t xml:space="preserve">Figure 2: Longitudinal Models/Data Structures</w:t>
            </w:r>
          </w:p>
          <w:bookmarkEnd w:id="55"/>
        </w:tc>
      </w:tr>
    </w:tbl>
    <w:bookmarkStart w:id="56"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 </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bookmarkEnd w:id="56"/>
    <w:bookmarkStart w:id="57" w:name="modern-glm-extensions"/>
    <w:p>
      <w:pPr>
        <w:pStyle w:val="Heading4"/>
      </w:pPr>
      <w:r>
        <w:t xml:space="preserve">Modern GLM Extensions</w:t>
      </w:r>
    </w:p>
    <w:p>
      <w:pPr>
        <w:pStyle w:val="FirstParagraph"/>
      </w:pPr>
      <w:r>
        <w:t xml:space="preserve">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10-year-olds across the US.</w:t>
      </w:r>
    </w:p>
    <w:p>
      <w:pPr>
        <w:pStyle w:val="BodyText"/>
      </w:pPr>
      <w:r>
        <w:t xml:space="preserve">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w:t>
      </w:r>
      <w:r>
        <w:t xml:space="preserve"> </w:t>
      </w:r>
      <w:r>
        <w:t xml:space="preserve">Martz et al. (2022)</w:t>
      </w:r>
      <w:r>
        <w:t xml:space="preserve">) screen media use</w:t>
      </w:r>
      <w:r>
        <w:t xml:space="preserve"> </w:t>
      </w:r>
      <w:r>
        <w:t xml:space="preserve">Lees et al. (2020)</w:t>
      </w:r>
      <w:r>
        <w:t xml:space="preserve">, and microstructure of the brain</w:t>
      </w:r>
      <w:r>
        <w:t xml:space="preserve"> </w:t>
      </w:r>
      <w:r>
        <w:t xml:space="preserve">Palmer et al. (2022)</w:t>
      </w:r>
      <w:r>
        <w:t xml:space="preserve">.</w:t>
      </w:r>
    </w:p>
    <w:p>
      <w:pPr>
        <w:pStyle w:val="BodyText"/>
      </w:pPr>
      <w:r>
        <w:t xml:space="preserve">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7"/>
    <w:bookmarkStart w:id="58" w:name="structural-equation-modeling-sem"/>
    <w:p>
      <w:pPr>
        <w:pStyle w:val="Heading4"/>
      </w:pPr>
      <w:r>
        <w:t xml:space="preserve">Structural Equation Modeling (SEM)</w:t>
      </w:r>
    </w:p>
    <w:p>
      <w:pPr>
        <w:pStyle w:val="FirstParagraph"/>
      </w:pPr>
      <w:r>
        <w:t xml:space="preserve">Structural Equation Modeling (SEM) is a flexible modeling framework that integrates elements of path analysis and confirmatory factor analysis (CFA) to examine complex relationships between a set of observable variables and latent constructs</w:t>
      </w:r>
      <w:r>
        <w:t xml:space="preserve"> </w:t>
      </w:r>
      <w:r>
        <w:t xml:space="preserve">Hair Jr et al. (2021)</w:t>
      </w:r>
      <w:r>
        <w:t xml:space="preserve">. The integration of structural (regression) and measurement (CFA) components within a unified framework supports a theory-driven approach that allows researchers to rigorously test hypothesized relationships among variables of interest and their underlying causes</w:t>
      </w:r>
      <w:r>
        <w:t xml:space="preserve"> </w:t>
      </w:r>
      <w:r>
        <w:t xml:space="preserve">Hair Jr et al. (2021)</w:t>
      </w:r>
      <w:r>
        <w:t xml:space="preserve">;</w:t>
      </w:r>
      <w:r>
        <w:t xml:space="preserve"> </w:t>
      </w:r>
      <w:r>
        <w:t xml:space="preserve">Raykov and Marcoulides (2012)</w:t>
      </w:r>
      <w:r>
        <w:t xml:space="preserve">. Over the years, the flexibility of the SEM framework has evolved to become particularly adept for modeling autoregressive processes (which often assume underlying stationarity) and growth processes which accommodate both, mean trajectories and individual differences in them</w:t>
      </w:r>
      <w:r>
        <w:t xml:space="preserve"> </w:t>
      </w:r>
      <w:r>
        <w:t xml:space="preserve">J. J. McArdle (2009)</w:t>
      </w:r>
      <w:r>
        <w:t xml:space="preserve">;</w:t>
      </w:r>
      <w:r>
        <w:t xml:space="preserve"> </w:t>
      </w:r>
      <w:r>
        <w:t xml:space="preserve">T. D. Little (2013)</w:t>
      </w:r>
      <w:r>
        <w:t xml:space="preserve">.</w:t>
      </w:r>
    </w:p>
    <w:p>
      <w:pPr>
        <w:pStyle w:val="BodyText"/>
      </w:pPr>
      <w:r>
        <w:t xml:space="preserve">Longitudinal SEM techniques share many similarities with mixed-effects methods and research demonstrates their mathematical equivalence in many situations</w:t>
      </w:r>
      <w:r>
        <w:t xml:space="preserve"> </w:t>
      </w:r>
      <w:r>
        <w:t xml:space="preserve">Patrick J. Curran (2003)</w:t>
      </w:r>
      <w:r>
        <w:t xml:space="preserve">;</w:t>
      </w:r>
      <w:r>
        <w:t xml:space="preserve"> </w:t>
      </w:r>
      <w:r>
        <w:t xml:space="preserve">Mehta and Neale (2005)</w:t>
      </w:r>
      <w:r>
        <w:t xml:space="preserve">.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w:t>
      </w:r>
      <w:r>
        <w:t xml:space="preserve"> </w:t>
      </w:r>
      <w:r>
        <w:t xml:space="preserve">McNeish and Matta (2018)</w:t>
      </w:r>
      <w:r>
        <w:t xml:space="preserve">;</w:t>
      </w:r>
      <w:r>
        <w:t xml:space="preserve"> </w:t>
      </w:r>
      <w:r>
        <w:t xml:space="preserve">Hedeker and Gibbons (2006)</w:t>
      </w:r>
      <w:r>
        <w:t xml:space="preserve">.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w:t>
      </w:r>
      <w:r>
        <w:t xml:space="preserve"> </w:t>
      </w:r>
      <w:r>
        <w:t xml:space="preserve">McNeish and Matta (2018)</w:t>
      </w:r>
      <w:r>
        <w:t xml:space="preserve">;</w:t>
      </w:r>
      <w:r>
        <w:t xml:space="preserve"> </w:t>
      </w:r>
      <w:r>
        <w:t xml:space="preserve">Patrick J. Curran and Hancock (2021)</w:t>
      </w:r>
      <w:r>
        <w:t xml:space="preserve">. These models have grown increasingly popular for modeling longitudinal outcomes particularly due to their ability to build statistical models that match some particular underlying theory</w:t>
      </w:r>
      <w:r>
        <w:t xml:space="preserve"> </w:t>
      </w:r>
      <w:r>
        <w:t xml:space="preserve">Serang, Grimm, and Zhang (2019)</w:t>
      </w:r>
      <w:r>
        <w:t xml:space="preserve">.</w:t>
      </w:r>
    </w:p>
    <w:p>
      <w:pPr>
        <w:pStyle w:val="BodyText"/>
      </w:pPr>
      <w:r>
        <w:t xml:space="preserve">Considering the variety of available techniques, it can be helpful to classify longitudinal SEM, broadly (if not coarsely), into variable-centered, person-centered, and hybrid analyses, each with unique strengths and limitations. Variable-centered analyses (e.g., latent growth curves</w:t>
      </w:r>
      <w:r>
        <w:t xml:space="preserve"> </w:t>
      </w:r>
      <w:r>
        <w:t xml:space="preserve">Patrick J. Curran (2003)</w:t>
      </w:r>
      <w:r>
        <w:t xml:space="preserve">, latent change scores</w:t>
      </w:r>
      <w:r>
        <w:t xml:space="preserve"> </w:t>
      </w:r>
      <w:r>
        <w:t xml:space="preserve">J. J. McArdle and Hamagami (2001)</w:t>
      </w:r>
      <w:r>
        <w:t xml:space="preserve">, latent state-trait models</w:t>
      </w:r>
      <w:r>
        <w:t xml:space="preserve"> </w:t>
      </w:r>
      <w:r>
        <w:t xml:space="preserve">Geiser and Lockhart (2012)</w:t>
      </w:r>
      <w:r>
        <w:t xml:space="preserve">) are primarily concerned with understanding covariation among variables at the group level and characterizing population-level patterns of change, while person-centered analyses (e.g., latent class and latent transition models) identify distinct subgroups or patterns within the data</w:t>
      </w:r>
      <w:r>
        <w:t xml:space="preserve"> </w:t>
      </w:r>
      <w:r>
        <w:t xml:space="preserve">B. Muthén and Muthén (2000)</w:t>
      </w:r>
      <w:r>
        <w:t xml:space="preserve">;</w:t>
      </w:r>
      <w:r>
        <w:t xml:space="preserve"> </w:t>
      </w:r>
      <w:r>
        <w:t xml:space="preserve">Woo et al. (2024)</w:t>
      </w:r>
      <w:r>
        <w:t xml:space="preserve">;</w:t>
      </w:r>
      <w:r>
        <w:t xml:space="preserve"> </w:t>
      </w:r>
      <w:r>
        <w:t xml:space="preserve">Howard and Hoffman (2018)</w:t>
      </w:r>
      <w:r>
        <w:t xml:space="preserve">. Hybrid models combine these perspectives to offer a comprehensive analysis of latent subgroups and growth parameter relationships</w:t>
      </w:r>
      <w:r>
        <w:t xml:space="preserve"> </w:t>
      </w:r>
      <w:r>
        <w:t xml:space="preserve">Morin, Bujacz, and Gagné (2018)</w:t>
      </w:r>
      <w:r>
        <w:t xml:space="preserve">;</w:t>
      </w:r>
      <w:r>
        <w:t xml:space="preserve"> </w:t>
      </w:r>
      <w:r>
        <w:t xml:space="preserve">G. H. Lubke and Muthén (2005)</w:t>
      </w:r>
      <w:r>
        <w:t xml:space="preserve">. The choice between these approaches is primarily driven by the research question, data structure, and relevant underlying assumptions.</w:t>
      </w:r>
    </w:p>
    <w:bookmarkEnd w:id="58"/>
    <w:bookmarkStart w:id="59" w:name="variable-centered-models"/>
    <w:p>
      <w:pPr>
        <w:pStyle w:val="Heading4"/>
      </w:pPr>
      <w:r>
        <w:t xml:space="preserve">Variable-centered models</w:t>
      </w:r>
    </w:p>
    <w:p>
      <w:pPr>
        <w:pStyle w:val="FirstParagraph"/>
      </w:pPr>
      <w: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w:t>
      </w:r>
      <w:r>
        <w:t xml:space="preserve"> </w:t>
      </w:r>
      <w:r>
        <w:t xml:space="preserve">Patrick J. Curran (2003)</w:t>
      </w:r>
      <w:r>
        <w:t xml:space="preserve">. These models are similar to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w:t>
      </w:r>
      <w:r>
        <w:t xml:space="preserve"> </w:t>
      </w:r>
      <w:r>
        <w:t xml:space="preserve">McNeish and Matta (2018)</w:t>
      </w:r>
      <w:r>
        <w:t xml:space="preserve">.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w:t>
      </w:r>
      <w:r>
        <w:t xml:space="preserve"> </w:t>
      </w:r>
      <w:r>
        <w:t xml:space="preserve">Trevino et al. (2023)</w:t>
      </w:r>
      <w:r>
        <w:t xml:space="preserve"> </w:t>
      </w:r>
      <w:r>
        <w:t xml:space="preserve">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w:t>
      </w:r>
      <w:r>
        <w:t xml:space="preserve"> </w:t>
      </w:r>
      <w:r>
        <w:t xml:space="preserve">Roy et al. (2024)</w:t>
      </w:r>
      <w:r>
        <w:t xml:space="preserve"> </w:t>
      </w:r>
      <w:r>
        <w:t xml:space="preserve">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w:t>
      </w:r>
      <w:r>
        <w:t xml:space="preserve"> </w:t>
      </w:r>
      <w:r>
        <w:t xml:space="preserve">Preacher, Zyphur, and Zhang (2010)</w:t>
      </w:r>
      <w:r>
        <w:t xml:space="preserve">;</w:t>
      </w:r>
      <w:r>
        <w:t xml:space="preserve"> </w:t>
      </w:r>
      <w:r>
        <w:t xml:space="preserve">Preacher (2018)</w:t>
      </w:r>
      <w:r>
        <w:t xml:space="preserve">;</w:t>
      </w:r>
      <w:r>
        <w:t xml:space="preserve"> </w:t>
      </w:r>
      <w:r>
        <w:t xml:space="preserve">Patrick J. Curran, Obeidat, and Losardo (2010)</w:t>
      </w:r>
      <w:r>
        <w:t xml:space="preserve">).</w:t>
      </w:r>
    </w:p>
    <w:p>
      <w:pPr>
        <w:pStyle w:val="BodyText"/>
      </w:pPr>
      <w:r>
        <w:t xml:space="preserve">The latent change score model (LCSM) is a variable-centered approach uniquely tailored for analyzing temporal variations in how a construct changes over time</w:t>
      </w:r>
      <w:r>
        <w:t xml:space="preserve"> </w:t>
      </w:r>
      <w:r>
        <w:t xml:space="preserve">J. McArdle and Nesselroade (1994)</w:t>
      </w:r>
      <w:r>
        <w:t xml:space="preserve">;</w:t>
      </w:r>
      <w:r>
        <w:t xml:space="preserve"> </w:t>
      </w:r>
      <w:r>
        <w:t xml:space="preserve">J. J. McArdle and Hamagami (2001)</w:t>
      </w:r>
      <w:r>
        <w:t xml:space="preserve">. These models share many features with growth curve analysis, but with a more explicit focus on how change occurs between measurement occasions</w:t>
      </w:r>
      <w:r>
        <w:t xml:space="preserve"> </w:t>
      </w:r>
      <w:r>
        <w:t xml:space="preserve">Serang, Grimm, and Zhang (2019)</w:t>
      </w:r>
      <w:r>
        <w:t xml:space="preserve">;</w:t>
      </w:r>
      <w:r>
        <w:t xml:space="preserve"> </w:t>
      </w:r>
      <w:r>
        <w:t xml:space="preserve">J. J. McArdle (2009)</w:t>
      </w:r>
      <w:r>
        <w:t xml:space="preserve">. Specifically, LCSM estimates a series of latent variables to model change in an outcome from one time point to the next, as a function of scores on that outcome at prior time points</w:t>
      </w:r>
      <w:r>
        <w:t xml:space="preserve"> </w:t>
      </w:r>
      <w:r>
        <w:t xml:space="preserve">J. J. McArdle and Hamagami (2001)</w:t>
      </w:r>
      <w:r>
        <w:t xml:space="preserve">;</w:t>
      </w:r>
      <w:r>
        <w:t xml:space="preserve"> </w:t>
      </w:r>
      <w:r>
        <w:t xml:space="preserve">Ghisletta and McArdle (2012)</w:t>
      </w:r>
      <w:r>
        <w:t xml:space="preserve">.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in a given process are related to future changes in the same process</w:t>
      </w:r>
      <w:r>
        <w:t xml:space="preserve"> </w:t>
      </w:r>
      <w:r>
        <w:t xml:space="preserve">Serang, Grimm, and Zhang (2019)</w:t>
      </w:r>
      <w:r>
        <w:t xml:space="preserve">;</w:t>
      </w:r>
      <w:r>
        <w:t xml:space="preserve"> </w:t>
      </w:r>
      <w:r>
        <w:t xml:space="preserve">Kievit et al. (2018)</w:t>
      </w:r>
      <w:r>
        <w:t xml:space="preserve">.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w:t>
      </w:r>
      <w:r>
        <w:t xml:space="preserve"> </w:t>
      </w:r>
      <w:r>
        <w:t xml:space="preserve">Wiker et al. (2023)</w:t>
      </w:r>
      <w:r>
        <w:t xml:space="preserve">;</w:t>
      </w:r>
      <w:r>
        <w:t xml:space="preserve"> </w:t>
      </w:r>
      <w:r>
        <w:t xml:space="preserve">Rapuano et al. (2022)</w:t>
      </w:r>
      <w:r>
        <w:t xml:space="preserve">;</w:t>
      </w:r>
      <w:r>
        <w:t xml:space="preserve"> </w:t>
      </w:r>
      <w:r>
        <w:t xml:space="preserve">D. Beck et al. (2023)</w:t>
      </w:r>
      <w:r>
        <w:t xml:space="preserve">;</w:t>
      </w:r>
      <w:r>
        <w:t xml:space="preserve"> </w:t>
      </w:r>
      <w:r>
        <w:t xml:space="preserve">Nweze et al. (2023)</w:t>
      </w:r>
      <w:r>
        <w:t xml:space="preserve">;</w:t>
      </w:r>
      <w:r>
        <w:t xml:space="preserve"> </w:t>
      </w:r>
      <w:r>
        <w:t xml:space="preserve">Mewton et al. (2023)</w:t>
      </w:r>
      <w:r>
        <w:t xml:space="preserve">.</w:t>
      </w:r>
    </w:p>
    <w:p>
      <w:pPr>
        <w:pStyle w:val="BodyText"/>
      </w:pPr>
      <w:r>
        <w:t xml:space="preserve">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w:t>
      </w:r>
      <w:r>
        <w:t xml:space="preserve"> </w:t>
      </w:r>
      <w:r>
        <w:t xml:space="preserve">Kenny and Zautra (2001)</w:t>
      </w:r>
      <w:r>
        <w:t xml:space="preserve">;</w:t>
      </w:r>
      <w:r>
        <w:t xml:space="preserve"> </w:t>
      </w:r>
      <w:r>
        <w:t xml:space="preserve">Steyer et al. (2015)</w:t>
      </w:r>
      <w:r>
        <w:t xml:space="preserve">. Based on LST theory</w:t>
      </w:r>
      <w:r>
        <w:t xml:space="preserve"> </w:t>
      </w:r>
      <w:r>
        <w:t xml:space="preserve">Steyer, Schmitt, and Eid (1999)</w:t>
      </w:r>
      <w:r>
        <w:t xml:space="preserve">;</w:t>
      </w:r>
      <w:r>
        <w:t xml:space="preserve"> </w:t>
      </w:r>
      <w:r>
        <w:t xml:space="preserve">Steyer, Ferring, and Schmitt (1992)</w:t>
      </w:r>
      <w:r>
        <w:t xml:space="preserve">, these models hold that scores on a repeated measures outcome can be partitioned into an enduring latent trait variable that reflects between-individual differences, and a transient latent state residual that represents situational influences</w:t>
      </w:r>
      <w:r>
        <w:t xml:space="preserve"> </w:t>
      </w:r>
      <w:r>
        <w:t xml:space="preserve">Stadtbaeumer, Kreissl, and Mayer (2022)</w:t>
      </w:r>
      <w:r>
        <w:t xml:space="preserve">;</w:t>
      </w:r>
      <w:r>
        <w:t xml:space="preserve"> </w:t>
      </w:r>
      <w:r>
        <w:t xml:space="preserve">Geiser and Lockhart (2012)</w:t>
      </w:r>
      <w:r>
        <w:t xml:space="preserve">. Beyond parsing out these key variance components, LSTM can be extended in many ways, such as by incorporating autoregressive effects to capture relative stability and the influence of past states on future responses (i.e. carry-over effects;</w:t>
      </w:r>
      <w:r>
        <w:t xml:space="preserve"> </w:t>
      </w:r>
      <w:r>
        <w:t xml:space="preserve">Cole, Martin, and Steiger (2005)</w:t>
      </w:r>
      <w:r>
        <w:t xml:space="preserve">;</w:t>
      </w:r>
      <w:r>
        <w:t xml:space="preserve"> </w:t>
      </w:r>
      <w:r>
        <w:t xml:space="preserve">Eid et al. (2017)</w:t>
      </w:r>
      <w:r>
        <w:t xml:space="preserve">;</w:t>
      </w:r>
      <w:r>
        <w:t xml:space="preserve"> </w:t>
      </w:r>
      <w:r>
        <w:t xml:space="preserve">Geiser and Lockhart (2012)</w:t>
      </w:r>
      <w:r>
        <w:t xml:space="preserve">). The merits of this approach are highlighted in a recent review by</w:t>
      </w:r>
      <w:r>
        <w:t xml:space="preserve"> </w:t>
      </w:r>
      <w:r>
        <w:t xml:space="preserve">Sanchez-Alonso and Aslin (2020)</w:t>
      </w:r>
      <w:r>
        <w:t xml:space="preserve"> </w:t>
      </w:r>
      <w:r>
        <w:t xml:space="preserve">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w:t>
      </w:r>
      <w:r>
        <w:t xml:space="preserve"> </w:t>
      </w:r>
      <w:r>
        <w:t xml:space="preserve">Kenny and Zautra (2001)</w:t>
      </w:r>
      <w:r>
        <w:t xml:space="preserve">;</w:t>
      </w:r>
      <w:r>
        <w:t xml:space="preserve"> </w:t>
      </w:r>
      <w:r>
        <w:t xml:space="preserve">Steyer, Geiser, and Loßnitzer (2023)</w:t>
      </w:r>
      <w:r>
        <w:t xml:space="preserve">;</w:t>
      </w:r>
      <w:r>
        <w:t xml:space="preserve"> </w:t>
      </w:r>
      <w:r>
        <w:t xml:space="preserve">Steyer, Schmitt, and Eid (1999)</w:t>
      </w:r>
      <w:r>
        <w:t xml:space="preserve">).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w:t>
      </w:r>
      <w:r>
        <w:t xml:space="preserve"> </w:t>
      </w:r>
      <w:r>
        <w:t xml:space="preserve">Kievit et al. (2018)</w:t>
      </w:r>
      <w:r>
        <w:t xml:space="preserve">;</w:t>
      </w:r>
      <w:r>
        <w:t xml:space="preserve"> </w:t>
      </w:r>
      <w:r>
        <w:t xml:space="preserve">J. J. McArdle (2009)</w:t>
      </w:r>
      <w:r>
        <w:t xml:space="preserve">;</w:t>
      </w:r>
      <w:r>
        <w:t xml:space="preserve"> </w:t>
      </w:r>
      <w:r>
        <w:t xml:space="preserve">Ghisletta and McArdle (2012)</w:t>
      </w:r>
      <w:r>
        <w:t xml:space="preserve">, for discussion), which is critical for informing the interpretation and applicability of the research findings.</w:t>
      </w:r>
    </w:p>
    <w:bookmarkEnd w:id="59"/>
    <w:bookmarkStart w:id="60" w:name="person-centered-models"/>
    <w:p>
      <w:pPr>
        <w:pStyle w:val="Heading4"/>
      </w:pPr>
      <w:r>
        <w:t xml:space="preserve">Person-centered models</w:t>
      </w:r>
    </w:p>
    <w:p>
      <w:pPr>
        <w:pStyle w:val="FirstParagraph"/>
      </w:pPr>
      <w: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w:t>
      </w:r>
    </w:p>
    <w:p>
      <w:pPr>
        <w:pStyle w:val="BodyText"/>
      </w:pPr>
      <w:r>
        <w:t xml:space="preserve">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(jung2008;</w:t>
      </w:r>
      <w:r>
        <w:t xml:space="preserve"> </w:t>
      </w:r>
      <w:r>
        <w:t xml:space="preserve">B. Muthén and Muthén (2000)</w:t>
      </w:r>
      <w:r>
        <w:t xml:space="preserve">) and factor-mixture</w:t>
      </w:r>
      <w:r>
        <w:t xml:space="preserve"> </w:t>
      </w:r>
      <w:r>
        <w:t xml:space="preserve">G. H. Lubke and Muthén (2005)</w:t>
      </w:r>
      <w:r>
        <w:t xml:space="preserve">;</w:t>
      </w:r>
      <w:r>
        <w:t xml:space="preserve"> </w:t>
      </w:r>
      <w:r>
        <w:t xml:space="preserve">G. Lubke and Muthén (2007)</w:t>
      </w:r>
      <w:r>
        <w:t xml:space="preserve"> </w:t>
      </w:r>
      <w:r>
        <w:t xml:space="preserve">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60"/>
    <w:bookmarkStart w:id="61" w:name="advanced-structural-equation-models"/>
    <w:p>
      <w:pPr>
        <w:pStyle w:val="Heading4"/>
      </w:pPr>
      <w:r>
        <w:t xml:space="preserve">Advanced Structural Equation Models</w:t>
      </w:r>
    </w:p>
    <w:p>
      <w:pPr>
        <w:pStyle w:val="FirstParagraph"/>
      </w:pPr>
      <w:r>
        <w:t xml:space="preserve">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bookmarkEnd w:id="61"/>
    <w:bookmarkStart w:id="70" w:name="X1858178944a62931c7266afc095a284ef591c40"/>
    <w:p>
      <w:pPr>
        <w:pStyle w:val="Heading4"/>
      </w:pPr>
      <w:r>
        <w:t xml:space="preserve">Longitudinal Analysis of Neuroimaging Data</w:t>
      </w:r>
    </w:p>
    <w:p>
      <w:pPr>
        <w:pStyle w:val="FirstParagraph"/>
      </w:pPr>
      <w:r>
        <w:t xml:space="preserve">Neuroimaging data, characterized by its large scale, spatial structure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pPr>
        <w:pStyle w:val="BodyText"/>
      </w:pPr>
      <w:r>
        <w:t xml:space="preserve">AFNI (https://afni.nimh.nih.gov/), a well-established tool in neuroimaging, integrates 3dLMEr</w:t>
      </w:r>
      <w:r>
        <w:t xml:space="preserve"> </w:t>
      </w:r>
      <w:r>
        <w:t xml:space="preserve">Chen et al. (2013)</w:t>
      </w:r>
      <w:r>
        <w:t xml:space="preserve">;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w:t>
      </w:r>
      <w:r>
        <w:t xml:space="preserve"> </w:t>
      </w:r>
      <w:r>
        <w:t xml:space="preserve">Bernal-Rusiel, Greve, et al. (2013)</w:t>
      </w:r>
      <w:r>
        <w:t xml:space="preserve">; https://surfer.nmr.mgh.harvard.edu/fswiki/LinearMixedEffectsModels. This tool is able to apply spatial regularization of LMM parameters with surface-based ROIs to improve stability</w:t>
      </w:r>
      <w:r>
        <w:t xml:space="preserve"> </w:t>
      </w:r>
      <w:r>
        <w:t xml:space="preserve">Bernal-Rusiel, Reuter, et al. (2013)</w:t>
      </w:r>
      <w:r>
        <w:t xml:space="preserve">.</w:t>
      </w:r>
    </w:p>
    <w:p>
      <w:pPr>
        <w:pStyle w:val="BodyText"/>
      </w:pPr>
      <w:r>
        <w:t xml:space="preserve">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w:t>
      </w:r>
      <w:r>
        <w:t xml:space="preserve"> </w:t>
      </w:r>
      <w:r>
        <w:t xml:space="preserve">Maullin-Sapey and Nichols (2022)</w:t>
      </w:r>
      <w:r>
        <w:t xml:space="preserve">;</w:t>
      </w:r>
      <w:r>
        <w:t xml:space="preserve"> </w:t>
      </w:r>
      <w:r>
        <w:t xml:space="preserve">Maullin-Sapey and Nichols (2021)</w:t>
      </w:r>
      <w:r>
        <w:t xml:space="preserve">. BLMM further separates the computation of sufficient statistics and parameter estimation, allowing sensitive image data to remain private if needed.</w:t>
      </w:r>
    </w:p>
    <w:p>
      <w:pPr>
        <w:pStyle w:val="BodyText"/>
      </w:pPr>
      <w:r>
        <w:t xml:space="preserve">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w:t>
      </w:r>
      <w:r>
        <w:t xml:space="preserve"> </w:t>
      </w:r>
      <w:r>
        <w:t xml:space="preserve">Parekh et al. (2021)</w:t>
      </w:r>
      <w:r>
        <w:t xml:space="preserve">. While this method uses different approximations, the authors have shown it provides results that closely match a traditional LMM implementation.</w:t>
      </w:r>
    </w:p>
    <w:p>
      <w:pPr>
        <w:pStyle w:val="BodyText"/>
      </w:pPr>
      <w:r>
        <w:t xml:space="preserve">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w:t>
      </w:r>
      <w:r>
        <w:t xml:space="preserve"> </w:t>
      </w:r>
      <w:r>
        <w:t xml:space="preserve">“</w:t>
      </w:r>
      <w:r>
        <w:t xml:space="preserve">working covariance</w:t>
      </w:r>
      <w:r>
        <w:t xml:space="preserve">”</w:t>
      </w:r>
      <w:r>
        <w:t xml:space="preserve"> </w:t>
      </w:r>
      <w:r>
        <w:t xml:space="preserve">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w:t>
      </w:r>
      <w:r>
        <w:t xml:space="preserve"> </w:t>
      </w:r>
      <w:r>
        <w:t xml:space="preserve">“</w:t>
      </w:r>
      <w:r>
        <w:t xml:space="preserve">sandwich estimator</w:t>
      </w:r>
      <w:r>
        <w:t xml:space="preserve">”</w:t>
      </w:r>
      <w:r>
        <w:t xml:space="preserve"> </w:t>
      </w:r>
      <w:r>
        <w:t xml:space="preserve">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w:t>
      </w:r>
      <w:r>
        <w:t xml:space="preserve"> </w:t>
      </w:r>
      <w:r>
        <w:t xml:space="preserve">Guillaume et al. (2014)</w:t>
      </w:r>
      <w:r>
        <w:t xml:space="preserve">.</w:t>
      </w:r>
    </w:p>
    <w:p>
      <w:pPr>
        <w:pStyle w:val="BodyText"/>
      </w:pPr>
      <w:bookmarkStart w:id="65" w:name="fig-StatBrainModel-1"/>
      <w:r>
        <w:drawing>
          <wp:inline>
            <wp:extent cx="3158836" cy="4092419"/>
            <wp:effectExtent b="0" l="0" r="0" t="0"/>
            <wp:docPr descr="Figure 3 Statistical modeling of brain imaging data" title="" id="63" name="Picture"/>
            <a:graphic>
              <a:graphicData uri="http://schemas.openxmlformats.org/drawingml/2006/picture">
                <pic:pic>
                  <pic:nvPicPr>
                    <pic:cNvPr descr="img/Picture1.png" id="64" name="Picture"/>
                    <pic:cNvPicPr>
                      <a:picLocks noChangeArrowheads="1" noChangeAspect="1"/>
                    </pic:cNvPicPr>
                  </pic:nvPicPr>
                  <pic:blipFill>
                    <a:blip r:embed="rId62"/>
                    <a:stretch>
                      <a:fillRect/>
                    </a:stretch>
                  </pic:blipFill>
                  <pic:spPr bwMode="auto">
                    <a:xfrm>
                      <a:off x="0" y="0"/>
                      <a:ext cx="3158836" cy="4092419"/>
                    </a:xfrm>
                    <a:prstGeom prst="rect">
                      <a:avLst/>
                    </a:prstGeom>
                    <a:noFill/>
                    <a:ln w="9525">
                      <a:noFill/>
                      <a:headEnd/>
                      <a:tailEnd/>
                    </a:ln>
                  </pic:spPr>
                </pic:pic>
              </a:graphicData>
            </a:graphic>
          </wp:inline>
        </w:drawing>
      </w:r>
      <w:bookmarkEnd w:id="65"/>
      <w:r>
        <w:t xml:space="preserve"> </w:t>
      </w:r>
      <w:bookmarkStart w:id="69" w:name="fig-StatBrainModel-2"/>
      <w:r>
        <w:drawing>
          <wp:inline>
            <wp:extent cx="4066841" cy="1598601"/>
            <wp:effectExtent b="0" l="0" r="0" t="0"/>
            <wp:docPr descr="Figure 4 Statistical modeling of brain imaging data" title="" id="67" name="Picture"/>
            <a:graphic>
              <a:graphicData uri="http://schemas.openxmlformats.org/drawingml/2006/picture">
                <pic:pic>
                  <pic:nvPicPr>
                    <pic:cNvPr descr="img/Picture2.png" id="68" name="Picture"/>
                    <pic:cNvPicPr>
                      <a:picLocks noChangeArrowheads="1" noChangeAspect="1"/>
                    </pic:cNvPicPr>
                  </pic:nvPicPr>
                  <pic:blipFill>
                    <a:blip r:embed="rId66"/>
                    <a:stretch>
                      <a:fillRect/>
                    </a:stretch>
                  </pic:blipFill>
                  <pic:spPr bwMode="auto">
                    <a:xfrm>
                      <a:off x="0" y="0"/>
                      <a:ext cx="4066841" cy="1598601"/>
                    </a:xfrm>
                    <a:prstGeom prst="rect">
                      <a:avLst/>
                    </a:prstGeom>
                    <a:noFill/>
                    <a:ln w="9525">
                      <a:noFill/>
                      <a:headEnd/>
                      <a:tailEnd/>
                    </a:ln>
                  </pic:spPr>
                </pic:pic>
              </a:graphicData>
            </a:graphic>
          </wp:inline>
        </w:drawing>
      </w:r>
      <w:bookmarkEnd w:id="69"/>
    </w:p>
    <w:bookmarkEnd w:id="70"/>
    <w:bookmarkEnd w:id="71"/>
    <w:bookmarkEnd w:id="72"/>
    <w:bookmarkStart w:id="73" w:name="discussion"/>
    <w:p>
      <w:pPr>
        <w:pStyle w:val="Heading1"/>
      </w:pPr>
      <w:r>
        <w:t xml:space="preserve">5. Discussion</w:t>
      </w:r>
    </w:p>
    <w:p>
      <w:pPr>
        <w:pStyle w:val="FirstParagraph"/>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pPr>
        <w:pStyle w:val="BodyText"/>
      </w:pPr>
      <w:r>
        <w:t xml:space="preserve">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pPr>
        <w:pStyle w:val="BodyText"/>
      </w:pPr>
    </w:p>
    <w:bookmarkEnd w:id="73"/>
    <w:bookmarkStart w:id="241" w:name="acknowledgements"/>
    <w:p>
      <w:pPr>
        <w:pStyle w:val="Heading1"/>
      </w:pPr>
      <w:r>
        <w:t xml:space="preserve">6. Acknowledgements</w:t>
      </w:r>
    </w:p>
    <w:p>
      <w:pPr>
        <w:pStyle w:val="FirstParagraph"/>
      </w:pPr>
      <w:r>
        <w:t xml:space="preserve">Data used in the preparation of this article were obtained from the Adolescent Brain Cognitive DevelopmentSM (ABCD) Study (https://abcdstudy.org), held in the NIMH Data Archive (NDA). This is a multisite, longitudinal study designed to recruit more than 10,000 children age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pPr>
        <w:pStyle w:val="BodyText"/>
      </w:pPr>
      <w:r>
        <w:t xml:space="preserve">The ABCD data repository grows and changes over time. The ABCD data used in this report came from DOI: 10.15154/z563-zd24. DOIs can be found at the following</w:t>
      </w:r>
      <w:r>
        <w:t xml:space="preserve"> </w:t>
      </w:r>
      <w:hyperlink r:id="rId74">
        <w:r>
          <w:rPr>
            <w:rStyle w:val="Hyperlink"/>
          </w:rPr>
          <w:t xml:space="preserve">link</w:t>
        </w:r>
      </w:hyperlink>
      <w:r>
        <w:t xml:space="preserve">.</w:t>
      </w:r>
    </w:p>
    <w:bookmarkStart w:id="240" w:name="refs"/>
    <w:bookmarkStart w:id="75"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75"/>
    <w:bookmarkStart w:id="76"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76"/>
    <w:bookmarkStart w:id="77"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77"/>
    <w:bookmarkStart w:id="78" w:name="ref-baron1986"/>
    <w:p>
      <w:pPr>
        <w:pStyle w:val="Bibliography"/>
      </w:pPr>
      <w:r>
        <w:t xml:space="preserve">Baron, Reuben M, and David A Kenny. 1986.</w:t>
      </w:r>
      <w:r>
        <w:t xml:space="preserve"> </w:t>
      </w:r>
      <w:r>
        <w:t xml:space="preserve">“The Moderator–Mediator Variable Distinction in Social Psychological Research: Conceptual, Strategic, and Statistical Considerations.”</w:t>
      </w:r>
      <w:r>
        <w:t xml:space="preserve"> </w:t>
      </w:r>
      <w:r>
        <w:rPr>
          <w:iCs/>
          <w:i/>
        </w:rPr>
        <w:t xml:space="preserve">Journal of Personality and Social Psychology</w:t>
      </w:r>
      <w:r>
        <w:t xml:space="preserve"> </w:t>
      </w:r>
      <w:r>
        <w:t xml:space="preserve">51 (6): 1173.</w:t>
      </w:r>
    </w:p>
    <w:bookmarkEnd w:id="78"/>
    <w:bookmarkStart w:id="80"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79">
        <w:r>
          <w:rPr>
            <w:rStyle w:val="Hyperlink"/>
          </w:rPr>
          <w:t xml:space="preserve">https://centerstat.org/wp-content/uploads/2019/03/SRCD2019-2up.pdf</w:t>
        </w:r>
      </w:hyperlink>
      <w:r>
        <w:t xml:space="preserve">.</w:t>
      </w:r>
    </w:p>
    <w:bookmarkEnd w:id="80"/>
    <w:bookmarkStart w:id="81"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81"/>
    <w:bookmarkStart w:id="82"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82"/>
    <w:bookmarkStart w:id="83" w:name="ref-beck2023"/>
    <w:p>
      <w:pPr>
        <w:pStyle w:val="Bibliography"/>
      </w:pPr>
      <w:r>
        <w:t xml:space="preserve">Beck, Dani, Lia Ferschmann, Niamh MacSweeney, Linn B Norbom, Thea Wiker, Eira Aksnes, Valerie Karl, et al. 2023.</w:t>
      </w:r>
      <w:r>
        <w:t xml:space="preserve"> </w:t>
      </w:r>
      <w:r>
        <w:t xml:space="preserve">“Puberty Differentially Predicts Brain Maturation in Male and Female Youth: A Longitudinal ABCD Study.”</w:t>
      </w:r>
      <w:r>
        <w:t xml:space="preserve"> </w:t>
      </w:r>
      <w:r>
        <w:rPr>
          <w:iCs/>
          <w:i/>
        </w:rPr>
        <w:t xml:space="preserve">Developmental Cognitive Neuroscience</w:t>
      </w:r>
      <w:r>
        <w:t xml:space="preserve">, 101261.</w:t>
      </w:r>
    </w:p>
    <w:bookmarkEnd w:id="83"/>
    <w:bookmarkStart w:id="84" w:name="ref-bernal2013statistical"/>
    <w:p>
      <w:pPr>
        <w:pStyle w:val="Bibliography"/>
      </w:pPr>
      <w:r>
        <w:t xml:space="preserve">Bernal-Rusiel, Jorge L, Douglas N Greve, Martin Reuter, Bruce Fischl, Mert R Sabuncu, Alzheimer’s Disease Neuroimaging Initiative, et al. 2013.</w:t>
      </w:r>
      <w:r>
        <w:t xml:space="preserve"> </w:t>
      </w:r>
      <w:r>
        <w:t xml:space="preserve">“Statistical Analysis of Longitudinal Neuroimage Data with Linear Mixed Effects Models.”</w:t>
      </w:r>
      <w:r>
        <w:t xml:space="preserve"> </w:t>
      </w:r>
      <w:r>
        <w:rPr>
          <w:iCs/>
          <w:i/>
        </w:rPr>
        <w:t xml:space="preserve">Neuroimage</w:t>
      </w:r>
      <w:r>
        <w:t xml:space="preserve"> </w:t>
      </w:r>
      <w:r>
        <w:t xml:space="preserve">66: 249–60.</w:t>
      </w:r>
    </w:p>
    <w:bookmarkEnd w:id="84"/>
    <w:bookmarkStart w:id="85" w:name="ref-bernal2013spatiotemporal"/>
    <w:p>
      <w:pPr>
        <w:pStyle w:val="Bibliography"/>
      </w:pPr>
      <w:r>
        <w:t xml:space="preserve">Bernal-Rusiel, Jorge L, Martin Reuter, Douglas N Greve, Bruce Fischl, Mert R Sabuncu, Alzheimer’s Disease Neuroimaging Initiative, et al. 2013.</w:t>
      </w:r>
      <w:r>
        <w:t xml:space="preserve"> </w:t>
      </w:r>
      <w:r>
        <w:t xml:space="preserve">“Spatiotemporal Linear Mixed Effects Modeling for the Mass-Univariate Analysis of Longitudinal Neuroimage Data.”</w:t>
      </w:r>
      <w:r>
        <w:t xml:space="preserve"> </w:t>
      </w:r>
      <w:r>
        <w:rPr>
          <w:iCs/>
          <w:i/>
        </w:rPr>
        <w:t xml:space="preserve">Neuroimage</w:t>
      </w:r>
      <w:r>
        <w:t xml:space="preserve"> </w:t>
      </w:r>
      <w:r>
        <w:t xml:space="preserve">81: 358–70.</w:t>
      </w:r>
    </w:p>
    <w:bookmarkEnd w:id="85"/>
    <w:bookmarkStart w:id="86" w:name="ref-bind2016"/>
    <w:p>
      <w:pPr>
        <w:pStyle w:val="Bibliography"/>
      </w:pPr>
      <w:r>
        <w:t xml:space="preserve">Bind, M-AC, TJ Vanderweele, BA Coull, and JD Schwartz. 2016.</w:t>
      </w:r>
      <w:r>
        <w:t xml:space="preserve"> </w:t>
      </w:r>
      <w:r>
        <w:t xml:space="preserve">“Causal Mediation Analysis for Longitudinal Data with Exogenous Exposure.”</w:t>
      </w:r>
      <w:r>
        <w:t xml:space="preserve"> </w:t>
      </w:r>
      <w:r>
        <w:rPr>
          <w:iCs/>
          <w:i/>
        </w:rPr>
        <w:t xml:space="preserve">Biostatistics</w:t>
      </w:r>
      <w:r>
        <w:t xml:space="preserve"> </w:t>
      </w:r>
      <w:r>
        <w:t xml:space="preserve">17 (1): 122–34.</w:t>
      </w:r>
    </w:p>
    <w:bookmarkEnd w:id="86"/>
    <w:bookmarkStart w:id="87"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87"/>
    <w:bookmarkStart w:id="88"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88"/>
    <w:bookmarkStart w:id="89"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89"/>
    <w:bookmarkStart w:id="90"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90"/>
    <w:bookmarkStart w:id="92"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91">
        <w:r>
          <w:rPr>
            <w:rStyle w:val="Hyperlink"/>
          </w:rPr>
          <w:t xml:space="preserve">https://doi.org/10.1016/j.dcn.2018.03.001</w:t>
        </w:r>
      </w:hyperlink>
      <w:r>
        <w:t xml:space="preserve">.</w:t>
      </w:r>
    </w:p>
    <w:bookmarkEnd w:id="92"/>
    <w:bookmarkStart w:id="94"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93">
        <w:r>
          <w:rPr>
            <w:rStyle w:val="Hyperlink"/>
          </w:rPr>
          <w:t xml:space="preserve">https://doi.org/10.1177/0265407517718387</w:t>
        </w:r>
      </w:hyperlink>
      <w:r>
        <w:t xml:space="preserve">.</w:t>
      </w:r>
    </w:p>
    <w:bookmarkEnd w:id="94"/>
    <w:bookmarkStart w:id="95" w:name="ref-chen2013"/>
    <w:p>
      <w:pPr>
        <w:pStyle w:val="Bibliography"/>
      </w:pPr>
      <w:r>
        <w:t xml:space="preserve">Chen, Gang, Ziad S Saad, Jennifer C Britton, Daniel S Pine, and Robert W Cox. 2013.</w:t>
      </w:r>
      <w:r>
        <w:t xml:space="preserve"> </w:t>
      </w:r>
      <w:r>
        <w:t xml:space="preserve">“Linear Mixed-Effects Modeling Approach to FMRI Group Analysis.”</w:t>
      </w:r>
      <w:r>
        <w:t xml:space="preserve"> </w:t>
      </w:r>
      <w:r>
        <w:rPr>
          <w:iCs/>
          <w:i/>
        </w:rPr>
        <w:t xml:space="preserve">Neuroimage</w:t>
      </w:r>
      <w:r>
        <w:t xml:space="preserve"> </w:t>
      </w:r>
      <w:r>
        <w:t xml:space="preserve">73: 176–90.</w:t>
      </w:r>
    </w:p>
    <w:bookmarkEnd w:id="95"/>
    <w:bookmarkStart w:id="9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96"/>
    <w:bookmarkStart w:id="97" w:name="ref-cole2005"/>
    <w:p>
      <w:pPr>
        <w:pStyle w:val="Bibliography"/>
      </w:pPr>
      <w:r>
        <w:t xml:space="preserve">Cole, David A, Nina C Martin, and James H Steiger. 2005.</w:t>
      </w:r>
      <w:r>
        <w:t xml:space="preserve"> </w:t>
      </w:r>
      <w:r>
        <w:t xml:space="preserve">“Empirical and Conceptual Problems with Longitudinal Trait-State Models: Introducing a Trait-State-Occasion Model.”</w:t>
      </w:r>
      <w:r>
        <w:t xml:space="preserve"> </w:t>
      </w:r>
      <w:r>
        <w:rPr>
          <w:iCs/>
          <w:i/>
        </w:rPr>
        <w:t xml:space="preserve">Psychological Methods</w:t>
      </w:r>
      <w:r>
        <w:t xml:space="preserve"> </w:t>
      </w:r>
      <w:r>
        <w:t xml:space="preserve">10 (1): 3.</w:t>
      </w:r>
    </w:p>
    <w:bookmarkEnd w:id="97"/>
    <w:bookmarkStart w:id="9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98"/>
    <w:bookmarkStart w:id="9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99"/>
    <w:bookmarkStart w:id="10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100"/>
    <w:bookmarkStart w:id="10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101"/>
    <w:bookmarkStart w:id="10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102"/>
    <w:bookmarkStart w:id="10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103"/>
    <w:bookmarkStart w:id="10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104">
        <w:r>
          <w:rPr>
            <w:rStyle w:val="Hyperlink"/>
          </w:rPr>
          <w:t xml:space="preserve">https://doi.org/10.1037/a0035297</w:t>
        </w:r>
      </w:hyperlink>
      <w:r>
        <w:t xml:space="preserve">.</w:t>
      </w:r>
    </w:p>
    <w:bookmarkEnd w:id="105"/>
    <w:bookmarkStart w:id="106" w:name="ref-curran2010"/>
    <w:p>
      <w:pPr>
        <w:pStyle w:val="Bibliography"/>
      </w:pPr>
      <w:r>
        <w:t xml:space="preserve">Curran, Patrick J, Khawla Obeidat, and Diane Losardo. 2010.</w:t>
      </w:r>
      <w:r>
        <w:t xml:space="preserve"> </w:t>
      </w:r>
      <w:r>
        <w:t xml:space="preserve">“Twelve Frequently Asked Questions about Growth Curve Modeling.”</w:t>
      </w:r>
      <w:r>
        <w:t xml:space="preserve"> </w:t>
      </w:r>
      <w:r>
        <w:rPr>
          <w:iCs/>
          <w:i/>
        </w:rPr>
        <w:t xml:space="preserve">Journal of Cognition and Development</w:t>
      </w:r>
      <w:r>
        <w:t xml:space="preserve"> </w:t>
      </w:r>
      <w:r>
        <w:t xml:space="preserve">11 (2): 121–36.</w:t>
      </w:r>
    </w:p>
    <w:bookmarkEnd w:id="106"/>
    <w:bookmarkStart w:id="107"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107"/>
    <w:bookmarkStart w:id="109"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108">
        <w:r>
          <w:rPr>
            <w:rStyle w:val="Hyperlink"/>
          </w:rPr>
          <w:t xml:space="preserve">https://doi.org/10.1111/j.1751-9004.2009.00224.x</w:t>
        </w:r>
      </w:hyperlink>
      <w:r>
        <w:t xml:space="preserve">.</w:t>
      </w:r>
    </w:p>
    <w:bookmarkEnd w:id="109"/>
    <w:bookmarkStart w:id="110" w:name="ref-eid2017"/>
    <w:p>
      <w:pPr>
        <w:pStyle w:val="Bibliography"/>
      </w:pPr>
      <w:r>
        <w:t xml:space="preserve">Eid, Michael, Jana Holtmann, Philip Santangelo, and Ulrich Ebner-Priemer. 2017.</w:t>
      </w:r>
      <w:r>
        <w:t xml:space="preserve"> </w:t>
      </w:r>
      <w:r>
        <w:t xml:space="preserve">“On the Definition of Latent-State-Trait Models with Autoregressive Effects.”</w:t>
      </w:r>
      <w:r>
        <w:t xml:space="preserve"> </w:t>
      </w:r>
      <w:r>
        <w:rPr>
          <w:iCs/>
          <w:i/>
        </w:rPr>
        <w:t xml:space="preserve">European Journal of Psychological Assessment</w:t>
      </w:r>
      <w:r>
        <w:t xml:space="preserve">.</w:t>
      </w:r>
    </w:p>
    <w:bookmarkEnd w:id="110"/>
    <w:bookmarkStart w:id="111"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111"/>
    <w:bookmarkStart w:id="112"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112"/>
    <w:bookmarkStart w:id="113"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113"/>
    <w:bookmarkStart w:id="114"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114"/>
    <w:bookmarkStart w:id="115"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115"/>
    <w:bookmarkStart w:id="116"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116"/>
    <w:bookmarkStart w:id="117"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117"/>
    <w:bookmarkStart w:id="118" w:name="ref-geiser2012"/>
    <w:p>
      <w:pPr>
        <w:pStyle w:val="Bibliography"/>
      </w:pPr>
      <w:r>
        <w:t xml:space="preserve">Geiser, Christian, and Ginger Lockhart. 2012.</w:t>
      </w:r>
      <w:r>
        <w:t xml:space="preserve"> </w:t>
      </w:r>
      <w:r>
        <w:t xml:space="preserve">“A Comparison of Four Approaches to Account for Method Effects in Latent State–Trait Analyses.”</w:t>
      </w:r>
      <w:r>
        <w:t xml:space="preserve"> </w:t>
      </w:r>
      <w:r>
        <w:rPr>
          <w:iCs/>
          <w:i/>
        </w:rPr>
        <w:t xml:space="preserve">Psychological Methods</w:t>
      </w:r>
      <w:r>
        <w:t xml:space="preserve"> </w:t>
      </w:r>
      <w:r>
        <w:t xml:space="preserve">17 (2): 255.</w:t>
      </w:r>
    </w:p>
    <w:bookmarkEnd w:id="118"/>
    <w:bookmarkStart w:id="119" w:name="ref-ghisletta2012"/>
    <w:p>
      <w:pPr>
        <w:pStyle w:val="Bibliography"/>
      </w:pPr>
      <w:r>
        <w:t xml:space="preserve">Ghisletta, Paolo, and John J McArdle. 2012.</w:t>
      </w:r>
      <w:r>
        <w:t xml:space="preserve"> </w:t>
      </w:r>
      <w:r>
        <w:t xml:space="preserve">“Latent Curve Models and Latent Change Score Models Estimated in r.”</w:t>
      </w:r>
      <w:r>
        <w:t xml:space="preserve"> </w:t>
      </w:r>
      <w:r>
        <w:rPr>
          <w:iCs/>
          <w:i/>
        </w:rPr>
        <w:t xml:space="preserve">Structural Equation Modeling: A Multidisciplinary Journal</w:t>
      </w:r>
      <w:r>
        <w:t xml:space="preserve"> </w:t>
      </w:r>
      <w:r>
        <w:t xml:space="preserve">19 (4): 651–82.</w:t>
      </w:r>
    </w:p>
    <w:bookmarkEnd w:id="119"/>
    <w:bookmarkStart w:id="120"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120"/>
    <w:bookmarkStart w:id="122"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121">
        <w:r>
          <w:rPr>
            <w:rStyle w:val="Hyperlink"/>
          </w:rPr>
          <w:t xml:space="preserve">https://doi.org/10.1146/annurev.psych.58.110405.085530</w:t>
        </w:r>
      </w:hyperlink>
      <w:r>
        <w:t xml:space="preserve">.</w:t>
      </w:r>
    </w:p>
    <w:bookmarkEnd w:id="122"/>
    <w:bookmarkStart w:id="123" w:name="ref-guillaume2014"/>
    <w:p>
      <w:pPr>
        <w:pStyle w:val="Bibliography"/>
      </w:pPr>
      <w:r>
        <w:t xml:space="preserve">Guillaume, Bryan, Xue Hua, Paul M Thompson, Lourens Waldorp, Thomas E Nichols, Alzheimer’s Disease Neuroimaging Initiative, et al. 2014.</w:t>
      </w:r>
      <w:r>
        <w:t xml:space="preserve"> </w:t>
      </w:r>
      <w:r>
        <w:t xml:space="preserve">“Fast and Accurate Modelling of Longitudinal and Repeated Measures Neuroimaging Data.”</w:t>
      </w:r>
      <w:r>
        <w:t xml:space="preserve"> </w:t>
      </w:r>
      <w:r>
        <w:rPr>
          <w:iCs/>
          <w:i/>
        </w:rPr>
        <w:t xml:space="preserve">Neuroimage</w:t>
      </w:r>
      <w:r>
        <w:t xml:space="preserve"> </w:t>
      </w:r>
      <w:r>
        <w:t xml:space="preserve">94: 287–302.</w:t>
      </w:r>
    </w:p>
    <w:bookmarkEnd w:id="123"/>
    <w:bookmarkStart w:id="12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24">
        <w:r>
          <w:rPr>
            <w:rStyle w:val="Hyperlink"/>
          </w:rPr>
          <w:t xml:space="preserve">https://doi.org/10.1016/j.neuroimage.2019.116091</w:t>
        </w:r>
      </w:hyperlink>
      <w:r>
        <w:t xml:space="preserve">.</w:t>
      </w:r>
    </w:p>
    <w:bookmarkEnd w:id="125"/>
    <w:bookmarkStart w:id="126" w:name="ref-hair2021"/>
    <w:p>
      <w:pPr>
        <w:pStyle w:val="Bibliography"/>
      </w:pPr>
      <w:r>
        <w:t xml:space="preserve">Hair Jr, Joseph F, G Tomas M Hult, Christian M Ringle, Marko Sarstedt, Nicholas P Danks, Soumya Ray, Joseph F Hair, et al. 2021.</w:t>
      </w:r>
      <w:r>
        <w:t xml:space="preserve"> </w:t>
      </w:r>
      <w:r>
        <w:t xml:space="preserve">“An Introduction to Structural Equation Modeling.”</w:t>
      </w:r>
      <w:r>
        <w:t xml:space="preserve"> </w:t>
      </w:r>
      <w:r>
        <w:rPr>
          <w:iCs/>
          <w:i/>
        </w:rPr>
        <w:t xml:space="preserve">Partial Least Squares Structural Equation Modeling (PLS-SEM) Using R: A Workbook</w:t>
      </w:r>
      <w:r>
        <w:t xml:space="preserve">, 1–29.</w:t>
      </w:r>
    </w:p>
    <w:bookmarkEnd w:id="126"/>
    <w:bookmarkStart w:id="12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27">
        <w:r>
          <w:rPr>
            <w:rStyle w:val="Hyperlink"/>
          </w:rPr>
          <w:t xml:space="preserve">https://doi.org/10.1037/a0038889</w:t>
        </w:r>
      </w:hyperlink>
      <w:r>
        <w:t xml:space="preserve">.</w:t>
      </w:r>
    </w:p>
    <w:bookmarkEnd w:id="128"/>
    <w:bookmarkStart w:id="12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29"/>
    <w:bookmarkStart w:id="130"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30"/>
    <w:bookmarkStart w:id="131"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31"/>
    <w:bookmarkStart w:id="132" w:name="ref-hedeker2006"/>
    <w:p>
      <w:pPr>
        <w:pStyle w:val="Bibliography"/>
      </w:pPr>
      <w:r>
        <w:t xml:space="preserve">Hedeker, Donald, and Robert D Gibbons. 2006.</w:t>
      </w:r>
      <w:r>
        <w:t xml:space="preserve"> </w:t>
      </w:r>
      <w:r>
        <w:rPr>
          <w:iCs/>
          <w:i/>
        </w:rPr>
        <w:t xml:space="preserve">Longitudinal Data Analysis.</w:t>
      </w:r>
      <w:r>
        <w:t xml:space="preserve"> Wiley-Interscience.</w:t>
      </w:r>
    </w:p>
    <w:bookmarkEnd w:id="132"/>
    <w:bookmarkStart w:id="13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33"/>
    <w:bookmarkStart w:id="13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34"/>
    <w:bookmarkStart w:id="135" w:name="ref-hosmer2008"/>
    <w:p>
      <w:pPr>
        <w:pStyle w:val="Bibliography"/>
      </w:pPr>
      <w:r>
        <w:t xml:space="preserve">Hosmer Jr, David W, Stanley Lemeshow, and Susanne May. 2008.</w:t>
      </w:r>
      <w:r>
        <w:t xml:space="preserve"> </w:t>
      </w:r>
      <w:r>
        <w:rPr>
          <w:iCs/>
          <w:i/>
        </w:rPr>
        <w:t xml:space="preserve">Applied Survival Analysis: Regression Modeling of Time-to-Event Data</w:t>
      </w:r>
      <w:r>
        <w:t xml:space="preserve">. Vol. 618. John Wiley &amp; Sons.</w:t>
      </w:r>
    </w:p>
    <w:bookmarkEnd w:id="135"/>
    <w:bookmarkStart w:id="136" w:name="ref-howard2018"/>
    <w:p>
      <w:pPr>
        <w:pStyle w:val="Bibliography"/>
      </w:pPr>
      <w:r>
        <w:t xml:space="preserve">Howard, Matt C, and Michael E Hoffman. 2018.</w:t>
      </w:r>
      <w:r>
        <w:t xml:space="preserve"> </w:t>
      </w:r>
      <w:r>
        <w:t xml:space="preserve">“Variable-Centered, Person-Centered, and Person-Specific Approaches: Where Theory Meets the Method.”</w:t>
      </w:r>
      <w:r>
        <w:t xml:space="preserve"> </w:t>
      </w:r>
      <w:r>
        <w:rPr>
          <w:iCs/>
          <w:i/>
        </w:rPr>
        <w:t xml:space="preserve">Organizational Research Methods</w:t>
      </w:r>
      <w:r>
        <w:t xml:space="preserve"> </w:t>
      </w:r>
      <w:r>
        <w:t xml:space="preserve">21 (4): 846–76.</w:t>
      </w:r>
    </w:p>
    <w:bookmarkEnd w:id="136"/>
    <w:bookmarkStart w:id="137"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37"/>
    <w:bookmarkStart w:id="138"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38"/>
    <w:bookmarkStart w:id="140" w:name="ref-kenny2001"/>
    <w:p>
      <w:pPr>
        <w:pStyle w:val="Bibliography"/>
      </w:pPr>
      <w:r>
        <w:t xml:space="preserve">Kenny, David A., and Alex Zautra. 2001.</w:t>
      </w:r>
      <w:r>
        <w:t xml:space="preserve"> </w:t>
      </w:r>
      <w:r>
        <w:t xml:space="preserve">“Trait–State Models for Longitudinal Data.”</w:t>
      </w:r>
      <w:r>
        <w:t xml:space="preserve"> </w:t>
      </w:r>
      <w:r>
        <w:t xml:space="preserve">In</w:t>
      </w:r>
      <w:r>
        <w:t xml:space="preserve"> </w:t>
      </w:r>
      <w:r>
        <w:rPr>
          <w:iCs/>
          <w:i/>
        </w:rPr>
        <w:t xml:space="preserve">New Methods for the Analysis of Change</w:t>
      </w:r>
      <w:r>
        <w:t xml:space="preserve">, edited by Linda M. Collins and A. G. Sayer, 243–63. Washington, DC, US: American Psychological Association.</w:t>
      </w:r>
      <w:r>
        <w:t xml:space="preserve"> </w:t>
      </w:r>
      <w:hyperlink r:id="rId139">
        <w:r>
          <w:rPr>
            <w:rStyle w:val="Hyperlink"/>
          </w:rPr>
          <w:t xml:space="preserve">https://doi.org/10.1037/10409-008</w:t>
        </w:r>
      </w:hyperlink>
      <w:r>
        <w:t xml:space="preserve">.</w:t>
      </w:r>
    </w:p>
    <w:bookmarkEnd w:id="140"/>
    <w:bookmarkStart w:id="141" w:name="ref-kievit2018"/>
    <w:p>
      <w:pPr>
        <w:pStyle w:val="Bibliography"/>
      </w:pPr>
      <w:r>
        <w:t xml:space="preserve">Kievit, Rogier A, Andreas M Brandmaier, Gabriel Ziegler, Anne-Laura van Harmelen, Susanne MM de Mooij, Michael Moutoussis, Ian M Goodyer, et al. 2018.</w:t>
      </w:r>
      <w:r>
        <w:t xml:space="preserve"> </w:t>
      </w:r>
      <w:r>
        <w:t xml:space="preserve">“Developmental Cognitive Neuroscience Using Latent Change Score Models: A Tutorial and Applications.”</w:t>
      </w:r>
      <w:r>
        <w:t xml:space="preserve"> </w:t>
      </w:r>
      <w:r>
        <w:rPr>
          <w:iCs/>
          <w:i/>
        </w:rPr>
        <w:t xml:space="preserve">Developmental Cognitive Neuroscience</w:t>
      </w:r>
      <w:r>
        <w:t xml:space="preserve"> </w:t>
      </w:r>
      <w:r>
        <w:t xml:space="preserve">33: 99–117.</w:t>
      </w:r>
    </w:p>
    <w:bookmarkEnd w:id="141"/>
    <w:bookmarkStart w:id="14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42"/>
    <w:bookmarkStart w:id="14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43">
        <w:r>
          <w:rPr>
            <w:rStyle w:val="Hyperlink"/>
          </w:rPr>
          <w:t xml:space="preserve">https://doi.org/10.1016/j.dcn.2017.11.009</w:t>
        </w:r>
      </w:hyperlink>
      <w:r>
        <w:t xml:space="preserve">.</w:t>
      </w:r>
    </w:p>
    <w:bookmarkEnd w:id="144"/>
    <w:bookmarkStart w:id="14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45"/>
    <w:bookmarkStart w:id="14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46"/>
    <w:bookmarkStart w:id="14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47"/>
    <w:bookmarkStart w:id="148" w:name="ref-lindquist2012"/>
    <w:p>
      <w:pPr>
        <w:pStyle w:val="Bibliography"/>
      </w:pPr>
      <w:r>
        <w:t xml:space="preserve">Lindquist, Martin A. 2012.</w:t>
      </w:r>
      <w:r>
        <w:t xml:space="preserve"> </w:t>
      </w:r>
      <w:r>
        <w:t xml:space="preserve">“Functional Causal Mediation Analysis with an Application to Brain Connectivity.”</w:t>
      </w:r>
      <w:r>
        <w:t xml:space="preserve"> </w:t>
      </w:r>
      <w:r>
        <w:rPr>
          <w:iCs/>
          <w:i/>
        </w:rPr>
        <w:t xml:space="preserve">Journal of the American Statistical Association</w:t>
      </w:r>
      <w:r>
        <w:t xml:space="preserve"> </w:t>
      </w:r>
      <w:r>
        <w:t xml:space="preserve">107 (500): 1297–1309.</w:t>
      </w:r>
    </w:p>
    <w:bookmarkEnd w:id="148"/>
    <w:bookmarkStart w:id="14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49"/>
    <w:bookmarkStart w:id="15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50">
        <w:r>
          <w:rPr>
            <w:rStyle w:val="Hyperlink"/>
          </w:rPr>
          <w:t xml:space="preserve">https://doi.org/10.1177/0049124189018002004</w:t>
        </w:r>
      </w:hyperlink>
      <w:r>
        <w:t xml:space="preserve">.</w:t>
      </w:r>
    </w:p>
    <w:bookmarkEnd w:id="151"/>
    <w:bookmarkStart w:id="15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52"/>
    <w:bookmarkStart w:id="153"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53"/>
    <w:bookmarkStart w:id="155"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54">
        <w:r>
          <w:rPr>
            <w:rStyle w:val="Hyperlink"/>
          </w:rPr>
          <w:t xml:space="preserve">https://doi.org/10.1037/adb0000750</w:t>
        </w:r>
      </w:hyperlink>
      <w:r>
        <w:t xml:space="preserve">.</w:t>
      </w:r>
    </w:p>
    <w:bookmarkEnd w:id="155"/>
    <w:bookmarkStart w:id="156"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56"/>
    <w:bookmarkStart w:id="157"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57"/>
    <w:bookmarkStart w:id="158"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58"/>
    <w:bookmarkStart w:id="159"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59"/>
    <w:bookmarkStart w:id="160" w:name="ref-lubke2005"/>
    <w:p>
      <w:pPr>
        <w:pStyle w:val="Bibliography"/>
      </w:pPr>
      <w:r>
        <w:t xml:space="preserve">Lubke, Gitta H, and Bengt Muthén. 2005.</w:t>
      </w:r>
      <w:r>
        <w:t xml:space="preserve"> </w:t>
      </w:r>
      <w:r>
        <w:t xml:space="preserve">“Investigating Population Heterogeneity with Factor Mixture Models.”</w:t>
      </w:r>
      <w:r>
        <w:t xml:space="preserve"> </w:t>
      </w:r>
      <w:r>
        <w:rPr>
          <w:iCs/>
          <w:i/>
        </w:rPr>
        <w:t xml:space="preserve">Psychological Methods</w:t>
      </w:r>
      <w:r>
        <w:t xml:space="preserve"> </w:t>
      </w:r>
      <w:r>
        <w:t xml:space="preserve">10 (1): 21.</w:t>
      </w:r>
    </w:p>
    <w:bookmarkEnd w:id="160"/>
    <w:bookmarkStart w:id="161" w:name="ref-lubke2007"/>
    <w:p>
      <w:pPr>
        <w:pStyle w:val="Bibliography"/>
      </w:pPr>
      <w:r>
        <w:t xml:space="preserve">Lubke, Gitta, and Bengt O Muthén. 2007.</w:t>
      </w:r>
      <w:r>
        <w:t xml:space="preserve"> </w:t>
      </w:r>
      <w:r>
        <w:t xml:space="preserve">“Performance of Factor Mixture Models as a Function of Model Size, Covariate Effects, and Class-Specific Parameters.”</w:t>
      </w:r>
      <w:r>
        <w:t xml:space="preserve"> </w:t>
      </w:r>
      <w:r>
        <w:rPr>
          <w:iCs/>
          <w:i/>
        </w:rPr>
        <w:t xml:space="preserve">Structural Equation Modeling: A Multidisciplinary Journal</w:t>
      </w:r>
      <w:r>
        <w:t xml:space="preserve"> </w:t>
      </w:r>
      <w:r>
        <w:t xml:space="preserve">14 (1): 26–47.</w:t>
      </w:r>
    </w:p>
    <w:bookmarkEnd w:id="161"/>
    <w:bookmarkStart w:id="162" w:name="ref-luciana2018"/>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62"/>
    <w:bookmarkStart w:id="163" w:name="ref-mackinnon2007"/>
    <w:p>
      <w:pPr>
        <w:pStyle w:val="Bibliography"/>
      </w:pPr>
      <w:r>
        <w:t xml:space="preserve">MacKinnon, David P, Amanda J Fairchild, and Matthew S Fritz. 2007.</w:t>
      </w:r>
      <w:r>
        <w:t xml:space="preserve"> </w:t>
      </w:r>
      <w:r>
        <w:t xml:space="preserve">“Mediation Analysis.”</w:t>
      </w:r>
      <w:r>
        <w:t xml:space="preserve"> </w:t>
      </w:r>
      <w:r>
        <w:rPr>
          <w:iCs/>
          <w:i/>
        </w:rPr>
        <w:t xml:space="preserve">Annu. Rev. Psychol.</w:t>
      </w:r>
      <w:r>
        <w:t xml:space="preserve"> </w:t>
      </w:r>
      <w:r>
        <w:t xml:space="preserve">58: 593–614.</w:t>
      </w:r>
    </w:p>
    <w:bookmarkEnd w:id="163"/>
    <w:bookmarkStart w:id="164"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64"/>
    <w:bookmarkStart w:id="165"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65"/>
    <w:bookmarkStart w:id="166" w:name="ref-maullin2021"/>
    <w:p>
      <w:pPr>
        <w:pStyle w:val="Bibliography"/>
      </w:pPr>
      <w:r>
        <w:t xml:space="preserve">Maullin-Sapey, Thomas, and Thomas E Nichols. 2021.</w:t>
      </w:r>
      <w:r>
        <w:t xml:space="preserve"> </w:t>
      </w:r>
      <w:r>
        <w:t xml:space="preserve">“Fisher Scoring for Crossed Factor Linear Mixed Models.”</w:t>
      </w:r>
      <w:r>
        <w:t xml:space="preserve"> </w:t>
      </w:r>
      <w:r>
        <w:rPr>
          <w:iCs/>
          <w:i/>
        </w:rPr>
        <w:t xml:space="preserve">Statistics and Computing</w:t>
      </w:r>
      <w:r>
        <w:t xml:space="preserve"> </w:t>
      </w:r>
      <w:r>
        <w:t xml:space="preserve">31 (5): 53.</w:t>
      </w:r>
    </w:p>
    <w:bookmarkEnd w:id="166"/>
    <w:bookmarkStart w:id="167" w:name="ref-maullin2022"/>
    <w:p>
      <w:pPr>
        <w:pStyle w:val="Bibliography"/>
      </w:pPr>
      <w:r>
        <w:t xml:space="preserve">———. 2022.</w:t>
      </w:r>
      <w:r>
        <w:t xml:space="preserve"> </w:t>
      </w:r>
      <w:r>
        <w:t xml:space="preserve">“BLMM: Parallelised Computing for Big Linear Mixed Models.”</w:t>
      </w:r>
      <w:r>
        <w:t xml:space="preserve"> </w:t>
      </w:r>
      <w:r>
        <w:rPr>
          <w:iCs/>
          <w:i/>
        </w:rPr>
        <w:t xml:space="preserve">NeuroImage</w:t>
      </w:r>
      <w:r>
        <w:t xml:space="preserve"> </w:t>
      </w:r>
      <w:r>
        <w:t xml:space="preserve">264: 119729.</w:t>
      </w:r>
    </w:p>
    <w:bookmarkEnd w:id="167"/>
    <w:bookmarkStart w:id="168" w:name="ref-mcardle1994"/>
    <w:p>
      <w:pPr>
        <w:pStyle w:val="Bibliography"/>
      </w:pPr>
      <w:r>
        <w:t xml:space="preserve">McArdle, JJ, and John R Nesselroade. 1994.</w:t>
      </w:r>
      <w:r>
        <w:t xml:space="preserve"> </w:t>
      </w:r>
      <w:r>
        <w:t xml:space="preserve">“Using Multivariate Data to Structure Developmental Change.”</w:t>
      </w:r>
      <w:r>
        <w:t xml:space="preserve"> </w:t>
      </w:r>
      <w:r>
        <w:rPr>
          <w:iCs/>
          <w:i/>
        </w:rPr>
        <w:t xml:space="preserve">Life-Span Developmental Psychology: Methodological Contributions</w:t>
      </w:r>
      <w:r>
        <w:t xml:space="preserve">, 223–67.</w:t>
      </w:r>
    </w:p>
    <w:bookmarkEnd w:id="168"/>
    <w:bookmarkStart w:id="169" w:name="ref-mcardle2009"/>
    <w:p>
      <w:pPr>
        <w:pStyle w:val="Bibliography"/>
      </w:pPr>
      <w:r>
        <w:t xml:space="preserve">McArdle, John J. 2009.</w:t>
      </w:r>
      <w:r>
        <w:t xml:space="preserve"> </w:t>
      </w:r>
      <w:r>
        <w:t xml:space="preserve">“Latent Variable Modeling of Differences and Changes with Longitudinal Data.”</w:t>
      </w:r>
      <w:r>
        <w:t xml:space="preserve"> </w:t>
      </w:r>
      <w:r>
        <w:rPr>
          <w:iCs/>
          <w:i/>
        </w:rPr>
        <w:t xml:space="preserve">Annual Review of Psychology</w:t>
      </w:r>
      <w:r>
        <w:t xml:space="preserve"> </w:t>
      </w:r>
      <w:r>
        <w:t xml:space="preserve">60: 577–605.</w:t>
      </w:r>
    </w:p>
    <w:bookmarkEnd w:id="169"/>
    <w:bookmarkStart w:id="170" w:name="ref-mcardle2001"/>
    <w:p>
      <w:pPr>
        <w:pStyle w:val="Bibliography"/>
      </w:pPr>
      <w:r>
        <w:t xml:space="preserve">McArdle, John J, and Fumiaki Hamagami. 2001.</w:t>
      </w:r>
      <w:r>
        <w:t xml:space="preserve"> </w:t>
      </w:r>
      <w:r>
        <w:t xml:space="preserve">“Latent Difference Score Structural Models for Linear Dynamic Analyses with Incomplete Longitudinal Data.”</w:t>
      </w:r>
    </w:p>
    <w:bookmarkEnd w:id="170"/>
    <w:bookmarkStart w:id="171"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71"/>
    <w:bookmarkStart w:id="172" w:name="ref-mcneish2018"/>
    <w:p>
      <w:pPr>
        <w:pStyle w:val="Bibliography"/>
      </w:pPr>
      <w:r>
        <w:t xml:space="preserve">McNeish, Daniel, and Tyler Matta. 2018.</w:t>
      </w:r>
      <w:r>
        <w:t xml:space="preserve"> </w:t>
      </w:r>
      <w:r>
        <w:t xml:space="preserve">“Differentiating Between Mixed-Effects and Latent-Curve Approaches to Growth Modeling.”</w:t>
      </w:r>
      <w:r>
        <w:t xml:space="preserve"> </w:t>
      </w:r>
      <w:r>
        <w:rPr>
          <w:iCs/>
          <w:i/>
        </w:rPr>
        <w:t xml:space="preserve">Behavior Research Methods</w:t>
      </w:r>
      <w:r>
        <w:t xml:space="preserve"> </w:t>
      </w:r>
      <w:r>
        <w:t xml:space="preserve">50: 1398–1414.</w:t>
      </w:r>
    </w:p>
    <w:bookmarkEnd w:id="172"/>
    <w:bookmarkStart w:id="173" w:name="ref-mehta2005"/>
    <w:p>
      <w:pPr>
        <w:pStyle w:val="Bibliography"/>
      </w:pPr>
      <w:r>
        <w:t xml:space="preserve">Mehta, Paras D, and Michael C Neale. 2005.</w:t>
      </w:r>
      <w:r>
        <w:t xml:space="preserve"> </w:t>
      </w:r>
      <w:r>
        <w:t xml:space="preserve">“People Are Variables Too: Multilevel Structural Equations Modeling.”</w:t>
      </w:r>
      <w:r>
        <w:t xml:space="preserve"> </w:t>
      </w:r>
      <w:r>
        <w:rPr>
          <w:iCs/>
          <w:i/>
        </w:rPr>
        <w:t xml:space="preserve">Psychological Methods</w:t>
      </w:r>
      <w:r>
        <w:t xml:space="preserve"> </w:t>
      </w:r>
      <w:r>
        <w:t xml:space="preserve">10 (3): 259.</w:t>
      </w:r>
    </w:p>
    <w:bookmarkEnd w:id="173"/>
    <w:bookmarkStart w:id="174" w:name="ref-mewton2023"/>
    <w:p>
      <w:pPr>
        <w:pStyle w:val="Bibliography"/>
      </w:pPr>
      <w:r>
        <w:t xml:space="preserve">Mewton, Louise, Sarah Davies, Matthew Sunderland, Katrina Champion, Nicholas Hoy, Nicola Newton, Maree Teesson, and Lindsay M Squeglia. 2023.</w:t>
      </w:r>
      <w:r>
        <w:t xml:space="preserve"> </w:t>
      </w:r>
      <w:r>
        <w:t xml:space="preserve">“Longitudinal Relationships Between Lifestyle Risk Factors and Neurodevelopment in Early Adolescence.”</w:t>
      </w:r>
      <w:r>
        <w:t xml:space="preserve"> </w:t>
      </w:r>
      <w:r>
        <w:rPr>
          <w:iCs/>
          <w:i/>
        </w:rPr>
        <w:t xml:space="preserve">Health Psychology</w:t>
      </w:r>
      <w:r>
        <w:t xml:space="preserve">.</w:t>
      </w:r>
    </w:p>
    <w:bookmarkEnd w:id="174"/>
    <w:bookmarkStart w:id="175"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75"/>
    <w:bookmarkStart w:id="176" w:name="ref-morin2018"/>
    <w:p>
      <w:pPr>
        <w:pStyle w:val="Bibliography"/>
      </w:pPr>
      <w:r>
        <w:t xml:space="preserve">Morin, Alexandre JS, Aleksandra Bujacz, and Marylène Gagné. 2018.</w:t>
      </w:r>
      <w:r>
        <w:t xml:space="preserve"> </w:t>
      </w:r>
      <w:r>
        <w:t xml:space="preserve">“Person-Centered Methodologies in the Organizational Sciences: Introduction to the Feature Topic.”</w:t>
      </w:r>
      <w:r>
        <w:t xml:space="preserve"> </w:t>
      </w:r>
      <w:r>
        <w:rPr>
          <w:iCs/>
          <w:i/>
        </w:rPr>
        <w:t xml:space="preserve">Organizational Research Methods</w:t>
      </w:r>
      <w:r>
        <w:t xml:space="preserve">. Sage Publications Sage CA: Los Angeles, CA.</w:t>
      </w:r>
    </w:p>
    <w:bookmarkEnd w:id="176"/>
    <w:bookmarkStart w:id="177"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77"/>
    <w:bookmarkStart w:id="178" w:name="ref-muthen2000"/>
    <w:p>
      <w:pPr>
        <w:pStyle w:val="Bibliography"/>
      </w:pPr>
      <w:r>
        <w:t xml:space="preserve">Muthén, Bengt, and Linda K Muthén. 2000.</w:t>
      </w:r>
      <w:r>
        <w:t xml:space="preserve"> </w:t>
      </w:r>
      <w:r>
        <w:t xml:space="preserve">“Integrating Person-Centered and Variable-Centered Analyses: Growth Mixture Modeling with Latent Trajectory Classes.”</w:t>
      </w:r>
      <w:r>
        <w:t xml:space="preserve"> </w:t>
      </w:r>
      <w:r>
        <w:rPr>
          <w:iCs/>
          <w:i/>
        </w:rPr>
        <w:t xml:space="preserve">Alcoholism: Clinical and Experimental Research</w:t>
      </w:r>
      <w:r>
        <w:t xml:space="preserve"> </w:t>
      </w:r>
      <w:r>
        <w:t xml:space="preserve">24 (6): 882–91.</w:t>
      </w:r>
    </w:p>
    <w:bookmarkEnd w:id="178"/>
    <w:bookmarkStart w:id="17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79"/>
    <w:bookmarkStart w:id="180" w:name="ref-nweze2023"/>
    <w:p>
      <w:pPr>
        <w:pStyle w:val="Bibliography"/>
      </w:pPr>
      <w:r>
        <w:t xml:space="preserve">Nweze, Tochukwu, Tobias Banaschewski, Cyracius Ajaelu, Chukwuemeka Okoye, Michael Ezenwa, Robert Whelan, Dimitri Papadopoulos Orfanos, et al. 2023.</w:t>
      </w:r>
      <w:r>
        <w:t xml:space="preserve"> </w:t>
      </w:r>
      <w:r>
        <w:t xml:space="preserve">“Trajectories of Cortical Structures Associated with Stress Across Adolescence: A Bivariate Latent Change Score Approach.”</w:t>
      </w:r>
      <w:r>
        <w:t xml:space="preserve"> </w:t>
      </w:r>
      <w:r>
        <w:rPr>
          <w:iCs/>
          <w:i/>
        </w:rPr>
        <w:t xml:space="preserve">Journal of Child Psychology and Psychiatry</w:t>
      </w:r>
      <w:r>
        <w:t xml:space="preserve">.</w:t>
      </w:r>
    </w:p>
    <w:bookmarkEnd w:id="180"/>
    <w:bookmarkStart w:id="181"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81"/>
    <w:bookmarkStart w:id="182"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82"/>
    <w:bookmarkStart w:id="183" w:name="ref-parekh2021"/>
    <w:p>
      <w:pPr>
        <w:pStyle w:val="Bibliography"/>
      </w:pPr>
      <w:r>
        <w:t xml:space="preserve">Parekh, Pravesh, Chun Chieh Fan, Oleksandr Frei, Clare E Palmer, Diana M Smith, Carolina Makowski, John R Iversen, et al. 2021.</w:t>
      </w:r>
      <w:r>
        <w:t xml:space="preserve"> </w:t>
      </w:r>
      <w:r>
        <w:t xml:space="preserve">“FEMA: Fast and Efficient Mixed-Effects Algorithm for Large Sample Whole-Brain Imaging Data.”</w:t>
      </w:r>
      <w:r>
        <w:t xml:space="preserve"> </w:t>
      </w:r>
      <w:r>
        <w:rPr>
          <w:iCs/>
          <w:i/>
        </w:rPr>
        <w:t xml:space="preserve">BioRxiv</w:t>
      </w:r>
      <w:r>
        <w:t xml:space="preserve">, 2021–10.</w:t>
      </w:r>
    </w:p>
    <w:bookmarkEnd w:id="183"/>
    <w:bookmarkStart w:id="184"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84"/>
    <w:bookmarkStart w:id="185" w:name="ref-preacher2018"/>
    <w:p>
      <w:pPr>
        <w:pStyle w:val="Bibliography"/>
      </w:pPr>
      <w:r>
        <w:t xml:space="preserve">Preacher, Kristopher J. 2018.</w:t>
      </w:r>
      <w:r>
        <w:t xml:space="preserve"> </w:t>
      </w:r>
      <w:r>
        <w:t xml:space="preserve">“Latent Growth Curve Models.”</w:t>
      </w:r>
      <w:r>
        <w:t xml:space="preserve"> </w:t>
      </w:r>
      <w:r>
        <w:t xml:space="preserve">In</w:t>
      </w:r>
      <w:r>
        <w:t xml:space="preserve"> </w:t>
      </w:r>
      <w:r>
        <w:rPr>
          <w:iCs/>
          <w:i/>
        </w:rPr>
        <w:t xml:space="preserve">The Reviewer’s Guide to Quantitative Methods in the Social Sciences</w:t>
      </w:r>
      <w:r>
        <w:t xml:space="preserve">, 178–92. Routledge.</w:t>
      </w:r>
    </w:p>
    <w:bookmarkEnd w:id="185"/>
    <w:bookmarkStart w:id="186" w:name="ref-preacher2011"/>
    <w:p>
      <w:pPr>
        <w:pStyle w:val="Bibliography"/>
      </w:pPr>
      <w:r>
        <w:t xml:space="preserve">Preacher, Kristopher J, Zhen Zhang, and Michael J Zyphur. 2011.</w:t>
      </w:r>
      <w:r>
        <w:t xml:space="preserve"> </w:t>
      </w:r>
      <w:r>
        <w:t xml:space="preserve">“Alternative Methods for Assessing Mediation in Multilevel Data: The Advantages of Multilevel SEM.”</w:t>
      </w:r>
      <w:r>
        <w:t xml:space="preserve"> </w:t>
      </w:r>
      <w:r>
        <w:rPr>
          <w:iCs/>
          <w:i/>
        </w:rPr>
        <w:t xml:space="preserve">Structural Equation Modeling</w:t>
      </w:r>
      <w:r>
        <w:t xml:space="preserve"> </w:t>
      </w:r>
      <w:r>
        <w:t xml:space="preserve">18 (2): 161–82.</w:t>
      </w:r>
    </w:p>
    <w:bookmarkEnd w:id="186"/>
    <w:bookmarkStart w:id="187" w:name="ref-preacher2010"/>
    <w:p>
      <w:pPr>
        <w:pStyle w:val="Bibliography"/>
      </w:pPr>
      <w:r>
        <w:t xml:space="preserve">Preacher, Kristopher J, Michael J Zyphur, and Zhen Zhang. 2010.</w:t>
      </w:r>
      <w:r>
        <w:t xml:space="preserve"> </w:t>
      </w:r>
      <w:r>
        <w:t xml:space="preserve">“A General Multilevel SEM Framework for Assessing Multilevel Mediation.”</w:t>
      </w:r>
      <w:r>
        <w:t xml:space="preserve"> </w:t>
      </w:r>
      <w:r>
        <w:rPr>
          <w:iCs/>
          <w:i/>
        </w:rPr>
        <w:t xml:space="preserve">Psychological Methods</w:t>
      </w:r>
      <w:r>
        <w:t xml:space="preserve"> </w:t>
      </w:r>
      <w:r>
        <w:t xml:space="preserve">15 (3): 209.</w:t>
      </w:r>
    </w:p>
    <w:bookmarkEnd w:id="187"/>
    <w:bookmarkStart w:id="188"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88"/>
    <w:bookmarkStart w:id="189" w:name="ref-rapuano2022"/>
    <w:p>
      <w:pPr>
        <w:pStyle w:val="Bibliography"/>
      </w:pPr>
      <w:r>
        <w:t xml:space="preserve">Rapuano, Kristina M, Nia Berrian, Arielle Baskin-Sommers, Léa Décarie-Spain, Sandeep Sharma, Stephanie Fulton, BJ Casey, and Richard Watts. 2022.</w:t>
      </w:r>
      <w:r>
        <w:t xml:space="preserve"> </w:t>
      </w:r>
      <w:r>
        <w:t xml:space="preserve">“Longitudinal Evidence of a Vicious Cycle Between Nucleus Accumbens Microstructure and Childhood Weight Gain.”</w:t>
      </w:r>
      <w:r>
        <w:t xml:space="preserve"> </w:t>
      </w:r>
      <w:r>
        <w:rPr>
          <w:iCs/>
          <w:i/>
        </w:rPr>
        <w:t xml:space="preserve">Journal of Adolescent Health</w:t>
      </w:r>
      <w:r>
        <w:t xml:space="preserve"> </w:t>
      </w:r>
      <w:r>
        <w:t xml:space="preserve">70 (6): 961–69.</w:t>
      </w:r>
    </w:p>
    <w:bookmarkEnd w:id="189"/>
    <w:bookmarkStart w:id="190" w:name="ref-raykov2012"/>
    <w:p>
      <w:pPr>
        <w:pStyle w:val="Bibliography"/>
      </w:pPr>
      <w:r>
        <w:t xml:space="preserve">Raykov, Tenko, and George A Marcoulides. 2012.</w:t>
      </w:r>
      <w:r>
        <w:t xml:space="preserve"> </w:t>
      </w:r>
      <w:r>
        <w:rPr>
          <w:iCs/>
          <w:i/>
        </w:rPr>
        <w:t xml:space="preserve">A First Course in Structural Equation Modeling</w:t>
      </w:r>
      <w:r>
        <w:t xml:space="preserve">. routledge.</w:t>
      </w:r>
    </w:p>
    <w:bookmarkEnd w:id="190"/>
    <w:bookmarkStart w:id="191"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91"/>
    <w:bookmarkStart w:id="192" w:name="ref-rizopoulos2012"/>
    <w:p>
      <w:pPr>
        <w:pStyle w:val="Bibliography"/>
      </w:pPr>
      <w:r>
        <w:t xml:space="preserve">Rizopoulos, Dimitris. 2012.</w:t>
      </w:r>
      <w:r>
        <w:t xml:space="preserve"> </w:t>
      </w:r>
      <w:r>
        <w:rPr>
          <w:iCs/>
          <w:i/>
        </w:rPr>
        <w:t xml:space="preserve">Joint Models for Longitudinal and Time-to-Event Data: With Applications in r</w:t>
      </w:r>
      <w:r>
        <w:t xml:space="preserve">. CRC press.</w:t>
      </w:r>
    </w:p>
    <w:bookmarkEnd w:id="192"/>
    <w:bookmarkStart w:id="193"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93"/>
    <w:bookmarkStart w:id="194"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94"/>
    <w:bookmarkStart w:id="19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95">
        <w:r>
          <w:rPr>
            <w:rStyle w:val="Hyperlink"/>
          </w:rPr>
          <w:t xml:space="preserve">https://jamanetwork.com/journals/jamapsychiatry/article-abstract/493658</w:t>
        </w:r>
      </w:hyperlink>
      <w:r>
        <w:t xml:space="preserve">.</w:t>
      </w:r>
    </w:p>
    <w:bookmarkEnd w:id="196"/>
    <w:bookmarkStart w:id="19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97"/>
    <w:bookmarkStart w:id="19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98"/>
    <w:bookmarkStart w:id="199"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99"/>
    <w:bookmarkStart w:id="200" w:name="ref-roy2024"/>
    <w:p>
      <w:pPr>
        <w:pStyle w:val="Bibliography"/>
      </w:pPr>
      <w:r>
        <w:t xml:space="preserve">Roy, Ethan, Adam Richie-Halford, John Kruper, Manjari Narayan, David Bloom, Pierre Nedelec, Andreas M Rauschecker, et al. 2024.</w:t>
      </w:r>
      <w:r>
        <w:t xml:space="preserve"> </w:t>
      </w:r>
      <w:r>
        <w:t xml:space="preserve">“White Matter and Literacy: A Dynamic System in Flux.”</w:t>
      </w:r>
      <w:r>
        <w:t xml:space="preserve"> </w:t>
      </w:r>
      <w:r>
        <w:rPr>
          <w:iCs/>
          <w:i/>
        </w:rPr>
        <w:t xml:space="preserve">Developmental Cognitive Neuroscience</w:t>
      </w:r>
      <w:r>
        <w:t xml:space="preserve"> </w:t>
      </w:r>
      <w:r>
        <w:t xml:space="preserve">65: 101341.</w:t>
      </w:r>
    </w:p>
    <w:bookmarkEnd w:id="200"/>
    <w:bookmarkStart w:id="201"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201"/>
    <w:bookmarkStart w:id="202" w:name="ref-sanchez2020"/>
    <w:p>
      <w:pPr>
        <w:pStyle w:val="Bibliography"/>
      </w:pPr>
      <w:r>
        <w:t xml:space="preserve">Sanchez-Alonso, Sara, and Richard N Aslin. 2020.</w:t>
      </w:r>
      <w:r>
        <w:t xml:space="preserve"> </w:t>
      </w:r>
      <w:r>
        <w:t xml:space="preserve">“Predictive Modeling of Neurobehavioral State and Trait Variation Across Development.”</w:t>
      </w:r>
      <w:r>
        <w:t xml:space="preserve"> </w:t>
      </w:r>
      <w:r>
        <w:rPr>
          <w:iCs/>
          <w:i/>
        </w:rPr>
        <w:t xml:space="preserve">Developmental Cognitive Neuroscience</w:t>
      </w:r>
      <w:r>
        <w:t xml:space="preserve"> </w:t>
      </w:r>
      <w:r>
        <w:t xml:space="preserve">45: 100855.</w:t>
      </w:r>
    </w:p>
    <w:bookmarkEnd w:id="202"/>
    <w:bookmarkStart w:id="20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203"/>
    <w:bookmarkStart w:id="20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204"/>
    <w:bookmarkStart w:id="205" w:name="ref-serang2019"/>
    <w:p>
      <w:pPr>
        <w:pStyle w:val="Bibliography"/>
      </w:pPr>
      <w:r>
        <w:t xml:space="preserve">Serang, Sarfaraz, Kevin J Grimm, and Zhiyong Zhang. 2019.</w:t>
      </w:r>
      <w:r>
        <w:t xml:space="preserve"> </w:t>
      </w:r>
      <w:r>
        <w:t xml:space="preserve">“On the Correspondence Between the Latent Growth Curve and Latent Change Score Models.”</w:t>
      </w:r>
      <w:r>
        <w:t xml:space="preserve"> </w:t>
      </w:r>
      <w:r>
        <w:rPr>
          <w:iCs/>
          <w:i/>
        </w:rPr>
        <w:t xml:space="preserve">Structural Equation Modeling: A Multidisciplinary Journal</w:t>
      </w:r>
      <w:r>
        <w:t xml:space="preserve"> </w:t>
      </w:r>
      <w:r>
        <w:t xml:space="preserve">26 (4): 623–35.</w:t>
      </w:r>
    </w:p>
    <w:bookmarkEnd w:id="205"/>
    <w:bookmarkStart w:id="206"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206"/>
    <w:bookmarkStart w:id="207"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207"/>
    <w:bookmarkStart w:id="208"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208"/>
    <w:bookmarkStart w:id="209"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209"/>
    <w:bookmarkStart w:id="210" w:name="ref-stadtbaeumer2022"/>
    <w:p>
      <w:pPr>
        <w:pStyle w:val="Bibliography"/>
      </w:pPr>
      <w:r>
        <w:t xml:space="preserve">Stadtbaeumer, Nele, Stefanie Kreissl, and Axel Mayer. 2022.</w:t>
      </w:r>
      <w:r>
        <w:t xml:space="preserve"> </w:t>
      </w:r>
      <w:r>
        <w:t xml:space="preserve">“Comparing Revised Latent State–Trait Models Including Autoregressive Effects.”</w:t>
      </w:r>
      <w:r>
        <w:t xml:space="preserve"> </w:t>
      </w:r>
      <w:r>
        <w:rPr>
          <w:iCs/>
          <w:i/>
        </w:rPr>
        <w:t xml:space="preserve">Psychological Methods</w:t>
      </w:r>
      <w:r>
        <w:t xml:space="preserve">.</w:t>
      </w:r>
    </w:p>
    <w:bookmarkEnd w:id="210"/>
    <w:bookmarkStart w:id="211" w:name="ref-steyer1992"/>
    <w:p>
      <w:pPr>
        <w:pStyle w:val="Bibliography"/>
      </w:pPr>
      <w:r>
        <w:t xml:space="preserve">Steyer, Rolf, Dieter Ferring, and Manfred J Schmitt. 1992.</w:t>
      </w:r>
      <w:r>
        <w:t xml:space="preserve"> </w:t>
      </w:r>
      <w:r>
        <w:t xml:space="preserve">“States and Traits in Psychological Assessment.”</w:t>
      </w:r>
      <w:r>
        <w:t xml:space="preserve"> </w:t>
      </w:r>
      <w:r>
        <w:rPr>
          <w:iCs/>
          <w:i/>
        </w:rPr>
        <w:t xml:space="preserve">European Journal of Psychological Assessment</w:t>
      </w:r>
      <w:r>
        <w:t xml:space="preserve">.</w:t>
      </w:r>
    </w:p>
    <w:bookmarkEnd w:id="211"/>
    <w:bookmarkStart w:id="212" w:name="ref-steyer2023"/>
    <w:p>
      <w:pPr>
        <w:pStyle w:val="Bibliography"/>
      </w:pPr>
      <w:r>
        <w:t xml:space="preserve">Steyer, Rolf, Christian Geiser, and Christiane Loßnitzer. 2023.</w:t>
      </w:r>
      <w:r>
        <w:t xml:space="preserve"> </w:t>
      </w:r>
      <w:r>
        <w:t xml:space="preserve">“Latent State–Trait Models.”</w:t>
      </w:r>
    </w:p>
    <w:bookmarkEnd w:id="212"/>
    <w:bookmarkStart w:id="213" w:name="ref-steyer2015"/>
    <w:p>
      <w:pPr>
        <w:pStyle w:val="Bibliography"/>
      </w:pPr>
      <w:r>
        <w:t xml:space="preserve">Steyer, Rolf, Axel Mayer, Christian Geiser, and David A Cole. 2015.</w:t>
      </w:r>
      <w:r>
        <w:t xml:space="preserve"> </w:t>
      </w:r>
      <w:r>
        <w:t xml:space="preserve">“A Theory of States and Traits—Revised.”</w:t>
      </w:r>
      <w:r>
        <w:t xml:space="preserve"> </w:t>
      </w:r>
      <w:r>
        <w:rPr>
          <w:iCs/>
          <w:i/>
        </w:rPr>
        <w:t xml:space="preserve">Annual Review of Clinical Psychology</w:t>
      </w:r>
      <w:r>
        <w:t xml:space="preserve"> </w:t>
      </w:r>
      <w:r>
        <w:t xml:space="preserve">11: 71–98.</w:t>
      </w:r>
    </w:p>
    <w:bookmarkEnd w:id="213"/>
    <w:bookmarkStart w:id="214" w:name="ref-steyer1999"/>
    <w:p>
      <w:pPr>
        <w:pStyle w:val="Bibliography"/>
      </w:pPr>
      <w:r>
        <w:t xml:space="preserve">Steyer, Rolf, Manfred Schmitt, and Michael Eid. 1999.</w:t>
      </w:r>
      <w:r>
        <w:t xml:space="preserve"> </w:t>
      </w:r>
      <w:r>
        <w:t xml:space="preserve">“Latent State–Trait Theory and Research in Personality and Individual Differences.”</w:t>
      </w:r>
      <w:r>
        <w:t xml:space="preserve"> </w:t>
      </w:r>
      <w:r>
        <w:rPr>
          <w:iCs/>
          <w:i/>
        </w:rPr>
        <w:t xml:space="preserve">European Journal of Personality</w:t>
      </w:r>
      <w:r>
        <w:t xml:space="preserve"> </w:t>
      </w:r>
      <w:r>
        <w:t xml:space="preserve">13 (5): 389–408.</w:t>
      </w:r>
    </w:p>
    <w:bookmarkEnd w:id="214"/>
    <w:bookmarkStart w:id="21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215"/>
    <w:bookmarkStart w:id="21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216"/>
    <w:bookmarkStart w:id="21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217"/>
    <w:bookmarkStart w:id="21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218"/>
    <w:bookmarkStart w:id="219" w:name="ref-trevino2023"/>
    <w:p>
      <w:pPr>
        <w:pStyle w:val="Bibliography"/>
      </w:pPr>
      <w:r>
        <w:t xml:space="preserve">Trevino, Angel D, Belal Jamil, Jinni Su, Fazil Aliev, Kit K Elam, and Kathryn Lemery-Chalfant. 2023.</w:t>
      </w:r>
      <w:r>
        <w:t xml:space="preserve"> </w:t>
      </w:r>
      <w:r>
        <w:t xml:space="preserve">“Alcohol Use Disorder Polygenic Risk Scores and Trajectories of Early Adolescent Externalizing Behaviors: Examining the Role of Parenting and Family Conflict in the Racially/Ethnically Diverse ABCD Sample.”</w:t>
      </w:r>
      <w:r>
        <w:t xml:space="preserve"> </w:t>
      </w:r>
      <w:r>
        <w:rPr>
          <w:iCs/>
          <w:i/>
        </w:rPr>
        <w:t xml:space="preserve">Behavior Genetics</w:t>
      </w:r>
      <w:r>
        <w:t xml:space="preserve">, 1–18.</w:t>
      </w:r>
    </w:p>
    <w:bookmarkEnd w:id="219"/>
    <w:bookmarkStart w:id="220" w:name="ref-twisk2013"/>
    <w:p>
      <w:pPr>
        <w:pStyle w:val="Bibliography"/>
      </w:pPr>
      <w:r>
        <w:t xml:space="preserve">Twisk, Jos, Michiel de Boer, Wieke de Vente, and Martijn Heymans. 2013.</w:t>
      </w:r>
      <w:r>
        <w:t xml:space="preserve"> </w:t>
      </w:r>
      <w:r>
        <w:t xml:space="preserve">“Multiple Imputation of Missing Values Was Not Necessary Before Performing a Longitudinal Mixed-Model Analysis.”</w:t>
      </w:r>
      <w:r>
        <w:t xml:space="preserve"> </w:t>
      </w:r>
      <w:r>
        <w:rPr>
          <w:iCs/>
          <w:i/>
        </w:rPr>
        <w:t xml:space="preserve">Journal of Clinical Epidemiology</w:t>
      </w:r>
      <w:r>
        <w:t xml:space="preserve"> </w:t>
      </w:r>
      <w:r>
        <w:t xml:space="preserve">66 (9): 1022–28.</w:t>
      </w:r>
    </w:p>
    <w:bookmarkEnd w:id="220"/>
    <w:bookmarkStart w:id="22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221">
        <w:r>
          <w:rPr>
            <w:rStyle w:val="Hyperlink"/>
          </w:rPr>
          <w:t xml:space="preserve">https://doi.org/10.1016/j.dcn.2018.03.005</w:t>
        </w:r>
      </w:hyperlink>
      <w:r>
        <w:t xml:space="preserve">.</w:t>
      </w:r>
    </w:p>
    <w:bookmarkEnd w:id="222"/>
    <w:bookmarkStart w:id="22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223"/>
    <w:bookmarkStart w:id="22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224"/>
    <w:bookmarkStart w:id="225" w:name="ref-vanderweele2016"/>
    <w:p>
      <w:pPr>
        <w:pStyle w:val="Bibliography"/>
      </w:pPr>
      <w:r>
        <w:t xml:space="preserve">VanderWeele, Tyler J. 2016.</w:t>
      </w:r>
      <w:r>
        <w:t xml:space="preserve"> </w:t>
      </w:r>
      <w:r>
        <w:t xml:space="preserve">“Mediation Analysis: A Practitioner’s Guide.”</w:t>
      </w:r>
      <w:r>
        <w:t xml:space="preserve"> </w:t>
      </w:r>
      <w:r>
        <w:rPr>
          <w:iCs/>
          <w:i/>
        </w:rPr>
        <w:t xml:space="preserve">Annual Review of Public Health</w:t>
      </w:r>
      <w:r>
        <w:t xml:space="preserve"> </w:t>
      </w:r>
      <w:r>
        <w:t xml:space="preserve">37: 17–32.</w:t>
      </w:r>
    </w:p>
    <w:bookmarkEnd w:id="225"/>
    <w:bookmarkStart w:id="226" w:name="ref-vanderweele2017"/>
    <w:p>
      <w:pPr>
        <w:pStyle w:val="Bibliography"/>
      </w:pPr>
      <w:r>
        <w:t xml:space="preserve">VanderWeele, Tyler J, and Eric J Tchetgen Tchetgen. 2017.</w:t>
      </w:r>
      <w:r>
        <w:t xml:space="preserve"> </w:t>
      </w:r>
      <w:r>
        <w:t xml:space="preserve">“Mediation Analysis with Time Varying Exposures and Mediators.”</w:t>
      </w:r>
      <w:r>
        <w:t xml:space="preserve"> </w:t>
      </w:r>
      <w:r>
        <w:rPr>
          <w:iCs/>
          <w:i/>
        </w:rPr>
        <w:t xml:space="preserve">Journal of the Royal Statistical Society Series B: Statistical Methodology</w:t>
      </w:r>
      <w:r>
        <w:t xml:space="preserve"> </w:t>
      </w:r>
      <w:r>
        <w:t xml:space="preserve">79 (3): 917–38.</w:t>
      </w:r>
    </w:p>
    <w:bookmarkEnd w:id="226"/>
    <w:bookmarkStart w:id="227" w:name="ref-vize2023"/>
    <w:p>
      <w:pPr>
        <w:pStyle w:val="Bibliography"/>
      </w:pPr>
      <w:r>
        <w:t xml:space="preserve">Vize, Colin, Whitney R Ringwald, Emily R Perkins, Rebecca Waller, Samuel Hawes, and Amy L Byrd. 2023.</w:t>
      </w:r>
      <w:r>
        <w:t xml:space="preserve"> </w:t>
      </w:r>
      <w:r>
        <w:t xml:space="preserve">“The Hierarchical Structure and Longitudinal Measurement Invariance of Externalizing Symptoms in the Adolescent Brain and Cognitive Development (ABCD) Study.”</w:t>
      </w:r>
    </w:p>
    <w:bookmarkEnd w:id="227"/>
    <w:bookmarkStart w:id="229"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228">
        <w:r>
          <w:rPr>
            <w:rStyle w:val="Hyperlink"/>
          </w:rPr>
          <w:t xml:space="preserve">https://doi.org/10.1016/j.dcn.2017.10.002</w:t>
        </w:r>
      </w:hyperlink>
      <w:r>
        <w:t xml:space="preserve">.</w:t>
      </w:r>
    </w:p>
    <w:bookmarkEnd w:id="229"/>
    <w:bookmarkStart w:id="230"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230"/>
    <w:bookmarkStart w:id="232"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231">
        <w:r>
          <w:rPr>
            <w:rStyle w:val="Hyperlink"/>
          </w:rPr>
          <w:t xml:space="preserve">https://doi.org/10.1002/9781118884997.ch29</w:t>
        </w:r>
      </w:hyperlink>
      <w:r>
        <w:t xml:space="preserve">.</w:t>
      </w:r>
    </w:p>
    <w:bookmarkEnd w:id="232"/>
    <w:bookmarkStart w:id="233" w:name="ref-wiker2023"/>
    <w:p>
      <w:pPr>
        <w:pStyle w:val="Bibliography"/>
      </w:pPr>
      <w:r>
        <w:t xml:space="preserve">Wiker, Thea, Mads L Pedersen, Lia Ferschmann, Dani Beck, Linn B Norbom, Andreas Dahl, Tilmann von Soest, et al. 2023.</w:t>
      </w:r>
      <w:r>
        <w:t xml:space="preserve"> </w:t>
      </w:r>
      <w:r>
        <w:t xml:space="preserve">“Assessing the Longitudinal Associations Between Decision-Making Processes and Attention Problems in Early Adolescence.”</w:t>
      </w:r>
      <w:r>
        <w:t xml:space="preserve"> </w:t>
      </w:r>
      <w:r>
        <w:rPr>
          <w:iCs/>
          <w:i/>
        </w:rPr>
        <w:t xml:space="preserve">Research on Child and Adolescent Psychopathology</w:t>
      </w:r>
      <w:r>
        <w:t xml:space="preserve">, 1–15.</w:t>
      </w:r>
    </w:p>
    <w:bookmarkEnd w:id="233"/>
    <w:bookmarkStart w:id="23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234"/>
    <w:bookmarkStart w:id="235" w:name="ref-woo2024"/>
    <w:p>
      <w:pPr>
        <w:pStyle w:val="Bibliography"/>
      </w:pPr>
      <w:r>
        <w:t xml:space="preserve">Woo, Sang Eun, Joeri Hofmans, Bart Wille, and Louis Tay. 2024.</w:t>
      </w:r>
      <w:r>
        <w:t xml:space="preserve"> </w:t>
      </w:r>
      <w:r>
        <w:t xml:space="preserve">“Person-Centered Modeling: Techniques for Studying Associations Between People Rather Than Variables.”</w:t>
      </w:r>
      <w:r>
        <w:t xml:space="preserve"> </w:t>
      </w:r>
      <w:r>
        <w:rPr>
          <w:iCs/>
          <w:i/>
        </w:rPr>
        <w:t xml:space="preserve">Annual Review of Organizational Psychology and Organizational Behavior</w:t>
      </w:r>
      <w:r>
        <w:t xml:space="preserve"> </w:t>
      </w:r>
      <w:r>
        <w:t xml:space="preserve">11: 453–80.</w:t>
      </w:r>
    </w:p>
    <w:bookmarkEnd w:id="235"/>
    <w:bookmarkStart w:id="236" w:name="ref-wood2017"/>
    <w:p>
      <w:pPr>
        <w:pStyle w:val="Bibliography"/>
      </w:pPr>
      <w:r>
        <w:t xml:space="preserve">Wood, Simon N. 2017.</w:t>
      </w:r>
      <w:r>
        <w:t xml:space="preserve"> </w:t>
      </w:r>
      <w:r>
        <w:rPr>
          <w:iCs/>
          <w:i/>
        </w:rPr>
        <w:t xml:space="preserve">Generalized Additive Models: An Introduction with r</w:t>
      </w:r>
      <w:r>
        <w:t xml:space="preserve">. chapman; hall/CRC.</w:t>
      </w:r>
    </w:p>
    <w:bookmarkEnd w:id="236"/>
    <w:bookmarkStart w:id="23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237"/>
    <w:bookmarkStart w:id="238" w:name="ref-zhao2018"/>
    <w:p>
      <w:pPr>
        <w:pStyle w:val="Bibliography"/>
      </w:pPr>
      <w:r>
        <w:t xml:space="preserve">Zhao, Yi, Xi Luo, Martin Lindquist, and Brian Caffo. 2018.</w:t>
      </w:r>
      <w:r>
        <w:t xml:space="preserve"> </w:t>
      </w:r>
      <w:r>
        <w:t xml:space="preserve">“Functional Mediation Analysis with an Application to Functional Magnetic Resonance Imaging Data.”</w:t>
      </w:r>
      <w:r>
        <w:t xml:space="preserve"> </w:t>
      </w:r>
      <w:r>
        <w:rPr>
          <w:iCs/>
          <w:i/>
        </w:rPr>
        <w:t xml:space="preserve">arXiv Preprint arXiv:1805.06923</w:t>
      </w:r>
      <w:r>
        <w:t xml:space="preserve">.</w:t>
      </w:r>
    </w:p>
    <w:bookmarkEnd w:id="238"/>
    <w:bookmarkStart w:id="239"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dcterms:created xsi:type="dcterms:W3CDTF">2024-03-26T19:38:34Z</dcterms:created>
  <dcterms:modified xsi:type="dcterms:W3CDTF">2024-03-26T19:38:34Z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