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1ABB5" w14:textId="40B88058" w:rsidR="00EA3966" w:rsidRDefault="00EA3966">
      <w:pPr>
        <w:pStyle w:val="Ttulo1"/>
      </w:pPr>
      <w:r>
        <w:rPr>
          <w:noProof/>
        </w:rPr>
        <w:drawing>
          <wp:inline distT="0" distB="0" distL="0" distR="0" wp14:anchorId="107FB035" wp14:editId="53253414">
            <wp:extent cx="1432560" cy="1104266"/>
            <wp:effectExtent l="0" t="0" r="0" b="635"/>
            <wp:docPr id="307591052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91052" name="Imagen 1" descr="Diagrama, Esquemát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3083" cy="110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5595" w14:textId="18D3A60F" w:rsidR="003749D8" w:rsidRPr="00015CE6" w:rsidRDefault="00EA3966" w:rsidP="008810AA">
      <w:pPr>
        <w:pStyle w:val="Ttulo1"/>
        <w:jc w:val="center"/>
        <w:rPr>
          <w:rFonts w:cstheme="majorHAnsi"/>
          <w:sz w:val="36"/>
          <w:szCs w:val="36"/>
        </w:rPr>
      </w:pPr>
      <w:r w:rsidRPr="00015CE6">
        <w:rPr>
          <w:rFonts w:cstheme="majorHAnsi"/>
          <w:sz w:val="36"/>
          <w:szCs w:val="36"/>
        </w:rPr>
        <w:t>BALANCE TÉCNICO DEL MERCADO ELÉCTRICO EN ESPAÑA 2025</w:t>
      </w:r>
    </w:p>
    <w:p w14:paraId="43D4F849" w14:textId="77777777" w:rsidR="008810AA" w:rsidRPr="00015CE6" w:rsidRDefault="008810AA" w:rsidP="008810AA">
      <w:pPr>
        <w:rPr>
          <w:rFonts w:asciiTheme="majorHAnsi" w:hAnsiTheme="majorHAnsi" w:cstheme="majorHAnsi"/>
          <w:sz w:val="24"/>
          <w:szCs w:val="24"/>
        </w:rPr>
      </w:pPr>
    </w:p>
    <w:p w14:paraId="46691359" w14:textId="77777777" w:rsidR="009820ED" w:rsidRPr="00015CE6" w:rsidRDefault="009820ED">
      <w:pPr>
        <w:rPr>
          <w:rFonts w:asciiTheme="majorHAnsi" w:hAnsiTheme="majorHAnsi" w:cstheme="majorHAnsi"/>
          <w:sz w:val="24"/>
          <w:szCs w:val="24"/>
        </w:rPr>
      </w:pPr>
    </w:p>
    <w:p w14:paraId="4CD6DEF5" w14:textId="77777777" w:rsidR="003749D8" w:rsidRPr="00015CE6" w:rsidRDefault="00D818D1">
      <w:pPr>
        <w:pStyle w:val="Ttulo2"/>
        <w:rPr>
          <w:rFonts w:cstheme="majorHAnsi"/>
          <w:sz w:val="28"/>
          <w:szCs w:val="28"/>
        </w:rPr>
      </w:pPr>
      <w:r w:rsidRPr="00015CE6">
        <w:rPr>
          <w:rFonts w:cstheme="majorHAnsi"/>
          <w:sz w:val="28"/>
          <w:szCs w:val="28"/>
        </w:rPr>
        <w:t>1. Resumen ejecutivo</w:t>
      </w:r>
    </w:p>
    <w:p w14:paraId="6A3434BE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sz w:val="24"/>
          <w:szCs w:val="24"/>
        </w:rPr>
        <w:t>El mercado eléctrico español en 2025 presentó precios medios moderados, un incremento interanual contenido y una elevada volatilidad horaria asociada a la alta penetración de energías renovables.</w:t>
      </w:r>
    </w:p>
    <w:p w14:paraId="6FD851C2" w14:textId="77777777" w:rsidR="003749D8" w:rsidRPr="00015CE6" w:rsidRDefault="00D818D1">
      <w:pPr>
        <w:pStyle w:val="Ttulo2"/>
        <w:rPr>
          <w:rFonts w:cstheme="majorHAnsi"/>
          <w:sz w:val="28"/>
          <w:szCs w:val="28"/>
        </w:rPr>
      </w:pPr>
      <w:r w:rsidRPr="00015CE6">
        <w:rPr>
          <w:rFonts w:cstheme="majorHAnsi"/>
          <w:sz w:val="28"/>
          <w:szCs w:val="28"/>
        </w:rPr>
        <w:t>2. Precios del mercado eléctrico</w:t>
      </w:r>
    </w:p>
    <w:p w14:paraId="58C57F87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sz w:val="24"/>
          <w:szCs w:val="24"/>
        </w:rPr>
        <w:t>El precio medio anual del mercado diario se situó en torno a 65–66 €/MWh, lo que supone un incremento aproximado del 4–5% respecto a 2024.</w:t>
      </w:r>
    </w:p>
    <w:p w14:paraId="22BB2F38" w14:textId="77777777" w:rsidR="003749D8" w:rsidRPr="00015CE6" w:rsidRDefault="00D818D1">
      <w:pPr>
        <w:pStyle w:val="Ttulo2"/>
        <w:rPr>
          <w:rFonts w:cstheme="majorHAnsi"/>
          <w:sz w:val="28"/>
          <w:szCs w:val="28"/>
        </w:rPr>
      </w:pPr>
      <w:r w:rsidRPr="00015CE6">
        <w:rPr>
          <w:rFonts w:cstheme="majorHAnsi"/>
          <w:sz w:val="28"/>
          <w:szCs w:val="28"/>
        </w:rPr>
        <w:t>3. Demanda eléctrica</w:t>
      </w:r>
    </w:p>
    <w:p w14:paraId="020F42A7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sz w:val="24"/>
          <w:szCs w:val="24"/>
        </w:rPr>
        <w:t>La demanda eléctrica alcanzó aproximadamente 256 TWh en 2025, con un crecimiento del 2,6% respecto al año anterior.</w:t>
      </w:r>
    </w:p>
    <w:p w14:paraId="2E7FBEFE" w14:textId="77777777" w:rsidR="003749D8" w:rsidRPr="00015CE6" w:rsidRDefault="00D818D1">
      <w:pPr>
        <w:pStyle w:val="Ttulo2"/>
        <w:rPr>
          <w:rFonts w:cstheme="majorHAnsi"/>
          <w:sz w:val="28"/>
          <w:szCs w:val="28"/>
        </w:rPr>
      </w:pPr>
      <w:r w:rsidRPr="00015CE6">
        <w:rPr>
          <w:rFonts w:cstheme="majorHAnsi"/>
          <w:sz w:val="28"/>
          <w:szCs w:val="28"/>
        </w:rPr>
        <w:t>4. Mix de generación eléctrica</w:t>
      </w:r>
    </w:p>
    <w:p w14:paraId="75CED92E" w14:textId="634E4C99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sz w:val="24"/>
          <w:szCs w:val="24"/>
        </w:rPr>
        <w:t xml:space="preserve">Las energías renovables aportaron alrededor del 56% de la generación total, con la </w:t>
      </w:r>
      <w:proofErr w:type="spellStart"/>
      <w:r w:rsidRPr="00015CE6">
        <w:rPr>
          <w:rFonts w:asciiTheme="majorHAnsi" w:hAnsiTheme="majorHAnsi" w:cstheme="majorHAnsi"/>
          <w:sz w:val="24"/>
          <w:szCs w:val="24"/>
        </w:rPr>
        <w:t>eólica</w:t>
      </w:r>
      <w:proofErr w:type="spellEnd"/>
      <w:r w:rsidRPr="00015CE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15CE6">
        <w:rPr>
          <w:rFonts w:asciiTheme="majorHAnsi" w:hAnsiTheme="majorHAnsi" w:cstheme="majorHAnsi"/>
          <w:sz w:val="24"/>
          <w:szCs w:val="24"/>
        </w:rPr>
        <w:t>como</w:t>
      </w:r>
      <w:proofErr w:type="spellEnd"/>
      <w:r w:rsidRPr="00015CE6">
        <w:rPr>
          <w:rFonts w:asciiTheme="majorHAnsi" w:hAnsiTheme="majorHAnsi" w:cstheme="majorHAnsi"/>
          <w:sz w:val="24"/>
          <w:szCs w:val="24"/>
        </w:rPr>
        <w:t xml:space="preserve"> principal </w:t>
      </w:r>
      <w:proofErr w:type="spellStart"/>
      <w:r w:rsidRPr="00015CE6">
        <w:rPr>
          <w:rFonts w:asciiTheme="majorHAnsi" w:hAnsiTheme="majorHAnsi" w:cstheme="majorHAnsi"/>
          <w:sz w:val="24"/>
          <w:szCs w:val="24"/>
        </w:rPr>
        <w:t>tecnolo</w:t>
      </w:r>
      <w:r w:rsidR="00EC5268" w:rsidRPr="00015CE6">
        <w:rPr>
          <w:rFonts w:asciiTheme="majorHAnsi" w:hAnsiTheme="majorHAnsi" w:cstheme="majorHAnsi"/>
          <w:sz w:val="24"/>
          <w:szCs w:val="24"/>
        </w:rPr>
        <w:t>gía</w:t>
      </w:r>
      <w:proofErr w:type="spellEnd"/>
      <w:r w:rsidR="00EC5268" w:rsidRPr="00015CE6">
        <w:rPr>
          <w:rFonts w:asciiTheme="majorHAnsi" w:hAnsiTheme="majorHAnsi" w:cstheme="majorHAnsi"/>
          <w:noProof/>
          <w:sz w:val="24"/>
          <w:szCs w:val="24"/>
        </w:rPr>
        <w:t>.</w:t>
      </w:r>
    </w:p>
    <w:p w14:paraId="030CEA1B" w14:textId="26F15767" w:rsidR="003749D8" w:rsidRPr="00015CE6" w:rsidRDefault="00D818D1">
      <w:pPr>
        <w:pStyle w:val="Ttulo2"/>
        <w:rPr>
          <w:rFonts w:cstheme="majorHAnsi"/>
          <w:sz w:val="28"/>
          <w:szCs w:val="28"/>
        </w:rPr>
      </w:pPr>
      <w:r w:rsidRPr="00015CE6">
        <w:rPr>
          <w:rFonts w:cstheme="majorHAnsi"/>
          <w:sz w:val="28"/>
          <w:szCs w:val="28"/>
        </w:rPr>
        <w:t>5. Indicadores clave del mercado eléctrico (2025)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3749D8" w:rsidRPr="00015CE6" w14:paraId="6CBFA97B" w14:textId="77777777" w:rsidTr="00C12E8F">
        <w:tc>
          <w:tcPr>
            <w:tcW w:w="4320" w:type="dxa"/>
          </w:tcPr>
          <w:p w14:paraId="217DB61F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Indicador</w:t>
            </w:r>
          </w:p>
        </w:tc>
        <w:tc>
          <w:tcPr>
            <w:tcW w:w="4320" w:type="dxa"/>
          </w:tcPr>
          <w:p w14:paraId="6EC09276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Valor</w:t>
            </w:r>
          </w:p>
        </w:tc>
      </w:tr>
      <w:tr w:rsidR="003749D8" w:rsidRPr="00015CE6" w14:paraId="60A00889" w14:textId="77777777" w:rsidTr="00C12E8F">
        <w:tc>
          <w:tcPr>
            <w:tcW w:w="4320" w:type="dxa"/>
          </w:tcPr>
          <w:p w14:paraId="0FD5D430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Precio medio mercado diario (€/MWh)</w:t>
            </w:r>
          </w:p>
        </w:tc>
        <w:tc>
          <w:tcPr>
            <w:tcW w:w="4320" w:type="dxa"/>
          </w:tcPr>
          <w:p w14:paraId="1939FCB2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65–66</w:t>
            </w:r>
          </w:p>
        </w:tc>
      </w:tr>
      <w:tr w:rsidR="003749D8" w:rsidRPr="00015CE6" w14:paraId="5D6FB526" w14:textId="77777777" w:rsidTr="00C12E8F">
        <w:tc>
          <w:tcPr>
            <w:tcW w:w="4320" w:type="dxa"/>
          </w:tcPr>
          <w:p w14:paraId="767461BC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Variación precio vs 2024</w:t>
            </w:r>
          </w:p>
        </w:tc>
        <w:tc>
          <w:tcPr>
            <w:tcW w:w="4320" w:type="dxa"/>
          </w:tcPr>
          <w:p w14:paraId="69D64DB3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+4–5%</w:t>
            </w:r>
          </w:p>
        </w:tc>
      </w:tr>
      <w:tr w:rsidR="003749D8" w:rsidRPr="00015CE6" w14:paraId="21BAD24D" w14:textId="77777777" w:rsidTr="00C12E8F">
        <w:tc>
          <w:tcPr>
            <w:tcW w:w="4320" w:type="dxa"/>
          </w:tcPr>
          <w:p w14:paraId="21856CF1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Demanda eléctrica (TWh)</w:t>
            </w:r>
          </w:p>
        </w:tc>
        <w:tc>
          <w:tcPr>
            <w:tcW w:w="4320" w:type="dxa"/>
          </w:tcPr>
          <w:p w14:paraId="16B10FE0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≈256</w:t>
            </w:r>
          </w:p>
        </w:tc>
      </w:tr>
      <w:tr w:rsidR="003749D8" w:rsidRPr="00015CE6" w14:paraId="2B5DBA70" w14:textId="77777777" w:rsidTr="00C12E8F">
        <w:tc>
          <w:tcPr>
            <w:tcW w:w="4320" w:type="dxa"/>
          </w:tcPr>
          <w:p w14:paraId="1722AA38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Variación demanda vs 2024</w:t>
            </w:r>
          </w:p>
        </w:tc>
        <w:tc>
          <w:tcPr>
            <w:tcW w:w="4320" w:type="dxa"/>
          </w:tcPr>
          <w:p w14:paraId="27E8DC72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+2,6%</w:t>
            </w:r>
          </w:p>
        </w:tc>
      </w:tr>
      <w:tr w:rsidR="003749D8" w:rsidRPr="00015CE6" w14:paraId="204F130F" w14:textId="77777777" w:rsidTr="00C12E8F">
        <w:tc>
          <w:tcPr>
            <w:tcW w:w="4320" w:type="dxa"/>
          </w:tcPr>
          <w:p w14:paraId="45C616EE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Porcentaje renovable</w:t>
            </w:r>
          </w:p>
        </w:tc>
        <w:tc>
          <w:tcPr>
            <w:tcW w:w="4320" w:type="dxa"/>
          </w:tcPr>
          <w:p w14:paraId="5B6A83CC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≈56%</w:t>
            </w:r>
          </w:p>
        </w:tc>
      </w:tr>
      <w:tr w:rsidR="003749D8" w:rsidRPr="00015CE6" w14:paraId="49667DF1" w14:textId="77777777" w:rsidTr="00C12E8F">
        <w:tc>
          <w:tcPr>
            <w:tcW w:w="4320" w:type="dxa"/>
          </w:tcPr>
          <w:p w14:paraId="149AFA26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Saldo exportador (TWh)</w:t>
            </w:r>
          </w:p>
        </w:tc>
        <w:tc>
          <w:tcPr>
            <w:tcW w:w="4320" w:type="dxa"/>
          </w:tcPr>
          <w:p w14:paraId="187B332A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≈13</w:t>
            </w:r>
          </w:p>
        </w:tc>
      </w:tr>
      <w:tr w:rsidR="003749D8" w:rsidRPr="00015CE6" w14:paraId="109C2343" w14:textId="77777777" w:rsidTr="00C12E8F">
        <w:tc>
          <w:tcPr>
            <w:tcW w:w="4320" w:type="dxa"/>
          </w:tcPr>
          <w:p w14:paraId="7BFA5C6A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Potencia renovable instalada (GW)</w:t>
            </w:r>
          </w:p>
        </w:tc>
        <w:tc>
          <w:tcPr>
            <w:tcW w:w="4320" w:type="dxa"/>
          </w:tcPr>
          <w:p w14:paraId="4EB854DB" w14:textId="77777777" w:rsidR="003749D8" w:rsidRPr="00015CE6" w:rsidRDefault="00D818D1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015CE6">
              <w:rPr>
                <w:rFonts w:asciiTheme="majorHAnsi" w:hAnsiTheme="majorHAnsi" w:cstheme="majorHAnsi"/>
                <w:sz w:val="24"/>
                <w:szCs w:val="24"/>
              </w:rPr>
              <w:t>&gt;93</w:t>
            </w:r>
          </w:p>
        </w:tc>
      </w:tr>
    </w:tbl>
    <w:p w14:paraId="510182AD" w14:textId="2A318467" w:rsidR="003749D8" w:rsidRPr="00015CE6" w:rsidRDefault="00D818D1">
      <w:pPr>
        <w:pStyle w:val="Ttulo2"/>
        <w:rPr>
          <w:rFonts w:cstheme="majorHAnsi"/>
          <w:sz w:val="28"/>
          <w:szCs w:val="28"/>
        </w:rPr>
      </w:pPr>
      <w:r w:rsidRPr="00015CE6">
        <w:rPr>
          <w:rFonts w:cstheme="majorHAnsi"/>
          <w:sz w:val="28"/>
          <w:szCs w:val="28"/>
        </w:rPr>
        <w:lastRenderedPageBreak/>
        <w:t xml:space="preserve">6. Conclusiones </w:t>
      </w:r>
    </w:p>
    <w:p w14:paraId="41FF0FAC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sz w:val="24"/>
          <w:szCs w:val="24"/>
        </w:rPr>
        <w:t>La evolución del mercado eléctrico en 2025 refuerza la importancia de la gestión activa del suministro eléctrico. La volatilidad horaria y la elevada penetración renovable hacen recomendable combinar coberturas de precio, optimización del perfil de consumo y soluciones de autoconsumo y flexibilidad.</w:t>
      </w:r>
    </w:p>
    <w:p w14:paraId="509F34A2" w14:textId="77777777" w:rsidR="00015CE6" w:rsidRPr="00015CE6" w:rsidRDefault="00015CE6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1E37BB6C" w14:textId="77777777" w:rsidR="00015CE6" w:rsidRPr="00015CE6" w:rsidRDefault="00015CE6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710917BE" w14:textId="06B30E49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b/>
          <w:bCs/>
          <w:sz w:val="24"/>
          <w:szCs w:val="24"/>
          <w:u w:val="single"/>
        </w:rPr>
        <w:t>RESUMEN EJECUTIVO</w:t>
      </w:r>
      <w:r w:rsidRPr="00015CE6">
        <w:rPr>
          <w:rFonts w:asciiTheme="majorHAnsi" w:hAnsiTheme="majorHAnsi" w:cstheme="majorHAnsi"/>
          <w:sz w:val="24"/>
          <w:szCs w:val="24"/>
        </w:rPr>
        <w:br/>
      </w:r>
      <w:r w:rsidRPr="00015CE6">
        <w:rPr>
          <w:rFonts w:asciiTheme="majorHAnsi" w:hAnsiTheme="majorHAnsi" w:cstheme="majorHAnsi"/>
          <w:sz w:val="24"/>
          <w:szCs w:val="24"/>
        </w:rPr>
        <w:br/>
        <w:t xml:space="preserve">Durante </w:t>
      </w:r>
      <w:proofErr w:type="spellStart"/>
      <w:r w:rsidRPr="00015CE6">
        <w:rPr>
          <w:rFonts w:asciiTheme="majorHAnsi" w:hAnsiTheme="majorHAnsi" w:cstheme="majorHAnsi"/>
          <w:sz w:val="24"/>
          <w:szCs w:val="24"/>
        </w:rPr>
        <w:t>el</w:t>
      </w:r>
      <w:proofErr w:type="spellEnd"/>
      <w:r w:rsidRPr="00015CE6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015CE6">
        <w:rPr>
          <w:rFonts w:asciiTheme="majorHAnsi" w:hAnsiTheme="majorHAnsi" w:cstheme="majorHAnsi"/>
          <w:sz w:val="24"/>
          <w:szCs w:val="24"/>
        </w:rPr>
        <w:t>año</w:t>
      </w:r>
      <w:proofErr w:type="spellEnd"/>
      <w:r w:rsidRPr="00015CE6">
        <w:rPr>
          <w:rFonts w:asciiTheme="majorHAnsi" w:hAnsiTheme="majorHAnsi" w:cstheme="majorHAnsi"/>
          <w:sz w:val="24"/>
          <w:szCs w:val="24"/>
        </w:rPr>
        <w:t xml:space="preserve"> 2025, el mercado eléctrico español presentó precios medios moderados, con un valor medio anual en torno a 65–66 €/MWh, aunque con una elevada volatilidad horaria y estacional derivada de la alta penetración de energías renovables y del mayor peso de los ciclos combinados en las horas marginales.</w:t>
      </w:r>
      <w:r w:rsidRPr="00015CE6">
        <w:rPr>
          <w:rFonts w:asciiTheme="majorHAnsi" w:hAnsiTheme="majorHAnsi" w:cstheme="majorHAnsi"/>
          <w:sz w:val="24"/>
          <w:szCs w:val="24"/>
        </w:rPr>
        <w:br/>
      </w:r>
      <w:r w:rsidRPr="00015CE6">
        <w:rPr>
          <w:rFonts w:asciiTheme="majorHAnsi" w:hAnsiTheme="majorHAnsi" w:cstheme="majorHAnsi"/>
          <w:sz w:val="24"/>
          <w:szCs w:val="24"/>
        </w:rPr>
        <w:br/>
        <w:t>En este contexto, la correcta gestión del suministro eléctrico ha sido un factor clave para mitigar el impacto de las subidas de precios y aprovechar las oportunidades del mercado. Gracias al traba</w:t>
      </w:r>
      <w:r w:rsidRPr="00015CE6">
        <w:rPr>
          <w:rFonts w:asciiTheme="majorHAnsi" w:hAnsiTheme="majorHAnsi" w:cstheme="majorHAnsi"/>
          <w:sz w:val="24"/>
          <w:szCs w:val="24"/>
        </w:rPr>
        <w:t>jo desarrollado por Open Energies, se ha logrado adaptar las estrategias de compra a la evolución real del mercado eléctrico, optimizando las tarifas y ajustando los contratos a los perfiles de consumo de las empresas.</w:t>
      </w:r>
      <w:r w:rsidRPr="00015CE6">
        <w:rPr>
          <w:rFonts w:asciiTheme="majorHAnsi" w:hAnsiTheme="majorHAnsi" w:cstheme="majorHAnsi"/>
          <w:sz w:val="24"/>
          <w:szCs w:val="24"/>
        </w:rPr>
        <w:br/>
      </w:r>
      <w:r w:rsidRPr="00015CE6">
        <w:rPr>
          <w:rFonts w:asciiTheme="majorHAnsi" w:hAnsiTheme="majorHAnsi" w:cstheme="majorHAnsi"/>
          <w:sz w:val="24"/>
          <w:szCs w:val="24"/>
        </w:rPr>
        <w:br/>
        <w:t>Esta labor de optimización ha permitido reducir la exposición a la volatilidad del mercado diario, mejorar la eficiencia económica del suministro eléctrico y garantizar precios competitivos, alineados con las condiciones reales del mercado durante 2025.</w:t>
      </w:r>
    </w:p>
    <w:p w14:paraId="04E0C133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sz w:val="24"/>
          <w:szCs w:val="24"/>
        </w:rPr>
        <w:br w:type="page"/>
      </w:r>
    </w:p>
    <w:p w14:paraId="3D6067AB" w14:textId="77777777" w:rsidR="003749D8" w:rsidRPr="00015CE6" w:rsidRDefault="00D818D1">
      <w:pPr>
        <w:pStyle w:val="Ttulo1"/>
        <w:rPr>
          <w:rFonts w:cstheme="majorHAnsi"/>
          <w:sz w:val="36"/>
          <w:szCs w:val="36"/>
        </w:rPr>
      </w:pPr>
      <w:r w:rsidRPr="00015CE6">
        <w:rPr>
          <w:rFonts w:cstheme="majorHAnsi"/>
          <w:sz w:val="36"/>
          <w:szCs w:val="36"/>
        </w:rPr>
        <w:lastRenderedPageBreak/>
        <w:t>ANEXO TÉCNICO – GRÁFICAS DEL MERCADO ELÉCTRICO 2025</w:t>
      </w:r>
    </w:p>
    <w:p w14:paraId="3675D00E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sz w:val="24"/>
          <w:szCs w:val="24"/>
        </w:rPr>
        <w:t>Este anexo recoge las principales gráficas de apoyo al análisis del mercado eléctrico español en 2025.</w:t>
      </w:r>
    </w:p>
    <w:p w14:paraId="60BB871F" w14:textId="77777777" w:rsidR="003749D8" w:rsidRPr="00015CE6" w:rsidRDefault="00D818D1">
      <w:pPr>
        <w:pStyle w:val="Ttulo2"/>
        <w:rPr>
          <w:rFonts w:cstheme="majorHAnsi"/>
          <w:sz w:val="32"/>
          <w:szCs w:val="32"/>
        </w:rPr>
      </w:pPr>
      <w:r w:rsidRPr="00015CE6">
        <w:rPr>
          <w:rFonts w:cstheme="majorHAnsi"/>
          <w:sz w:val="32"/>
          <w:szCs w:val="32"/>
        </w:rPr>
        <w:t>Precio medio anual del mercado eléctrico (2023–2025)</w:t>
      </w:r>
    </w:p>
    <w:p w14:paraId="153B8888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42FEB3C" wp14:editId="1D6040AE">
            <wp:extent cx="5029200" cy="38515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5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7BD6" w14:textId="77777777" w:rsidR="003749D8" w:rsidRPr="00015CE6" w:rsidRDefault="00D818D1">
      <w:pPr>
        <w:pStyle w:val="Ttulo2"/>
        <w:rPr>
          <w:rFonts w:cstheme="majorHAnsi"/>
          <w:sz w:val="32"/>
          <w:szCs w:val="32"/>
        </w:rPr>
      </w:pPr>
      <w:r w:rsidRPr="00015CE6">
        <w:rPr>
          <w:rFonts w:cstheme="majorHAnsi"/>
          <w:sz w:val="32"/>
          <w:szCs w:val="32"/>
        </w:rPr>
        <w:t>Precio medio mensual del pool eléctrico – 2025</w:t>
      </w:r>
    </w:p>
    <w:p w14:paraId="76287D95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09E0B8F" wp14:editId="1A2E3735">
            <wp:extent cx="5029200" cy="389270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A9DA" w14:textId="77777777" w:rsidR="003749D8" w:rsidRPr="00015CE6" w:rsidRDefault="00D818D1">
      <w:pPr>
        <w:pStyle w:val="Ttulo2"/>
        <w:rPr>
          <w:rFonts w:cstheme="majorHAnsi"/>
          <w:sz w:val="32"/>
          <w:szCs w:val="32"/>
        </w:rPr>
      </w:pPr>
      <w:r w:rsidRPr="00015CE6">
        <w:rPr>
          <w:rFonts w:cstheme="majorHAnsi"/>
          <w:sz w:val="32"/>
          <w:szCs w:val="32"/>
        </w:rPr>
        <w:lastRenderedPageBreak/>
        <w:t>Curva horaria media de precios (verano vs invierno)</w:t>
      </w:r>
    </w:p>
    <w:p w14:paraId="1F8ED941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A089FF4" wp14:editId="37ED3A38">
            <wp:extent cx="5029200" cy="40716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49E9" w14:textId="77777777" w:rsidR="003749D8" w:rsidRPr="00015CE6" w:rsidRDefault="00D818D1">
      <w:pPr>
        <w:pStyle w:val="Ttulo2"/>
        <w:rPr>
          <w:rFonts w:cstheme="majorHAnsi"/>
          <w:sz w:val="32"/>
          <w:szCs w:val="32"/>
        </w:rPr>
      </w:pPr>
      <w:r w:rsidRPr="00015CE6">
        <w:rPr>
          <w:rFonts w:cstheme="majorHAnsi"/>
          <w:sz w:val="32"/>
          <w:szCs w:val="32"/>
        </w:rPr>
        <w:t>Evolución de la demanda eléctrica (2021–2025)</w:t>
      </w:r>
    </w:p>
    <w:p w14:paraId="6BED4B6E" w14:textId="77777777" w:rsidR="003749D8" w:rsidRPr="00015CE6" w:rsidRDefault="00D818D1">
      <w:pPr>
        <w:rPr>
          <w:rFonts w:asciiTheme="majorHAnsi" w:hAnsiTheme="majorHAnsi" w:cstheme="majorHAnsi"/>
          <w:sz w:val="24"/>
          <w:szCs w:val="24"/>
        </w:rPr>
      </w:pPr>
      <w:r w:rsidRPr="00015CE6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2DF4372" wp14:editId="6A2B42BB">
            <wp:extent cx="5029200" cy="38179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A85C" w14:textId="77777777" w:rsidR="003749D8" w:rsidRPr="00015CE6" w:rsidRDefault="00D818D1">
      <w:pPr>
        <w:pStyle w:val="Ttulo2"/>
        <w:rPr>
          <w:rFonts w:cstheme="majorHAnsi"/>
          <w:sz w:val="32"/>
          <w:szCs w:val="32"/>
        </w:rPr>
      </w:pPr>
      <w:r w:rsidRPr="00015CE6">
        <w:rPr>
          <w:rFonts w:cstheme="majorHAnsi"/>
          <w:sz w:val="32"/>
          <w:szCs w:val="32"/>
        </w:rPr>
        <w:lastRenderedPageBreak/>
        <w:t>Mix de generación eléctrica en España – 2025</w:t>
      </w:r>
    </w:p>
    <w:p w14:paraId="350E8C64" w14:textId="77777777" w:rsidR="003749D8" w:rsidRDefault="00D818D1">
      <w:r>
        <w:rPr>
          <w:noProof/>
        </w:rPr>
        <w:drawing>
          <wp:inline distT="0" distB="0" distL="0" distR="0" wp14:anchorId="18ABE35E" wp14:editId="153E420D">
            <wp:extent cx="5029200" cy="48525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9D8" w:rsidSect="006F3B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105778">
    <w:abstractNumId w:val="8"/>
  </w:num>
  <w:num w:numId="2" w16cid:durableId="1117455823">
    <w:abstractNumId w:val="6"/>
  </w:num>
  <w:num w:numId="3" w16cid:durableId="1987395545">
    <w:abstractNumId w:val="5"/>
  </w:num>
  <w:num w:numId="4" w16cid:durableId="1462460564">
    <w:abstractNumId w:val="4"/>
  </w:num>
  <w:num w:numId="5" w16cid:durableId="948901648">
    <w:abstractNumId w:val="7"/>
  </w:num>
  <w:num w:numId="6" w16cid:durableId="1602107964">
    <w:abstractNumId w:val="3"/>
  </w:num>
  <w:num w:numId="7" w16cid:durableId="1730180009">
    <w:abstractNumId w:val="2"/>
  </w:num>
  <w:num w:numId="8" w16cid:durableId="1052533712">
    <w:abstractNumId w:val="1"/>
  </w:num>
  <w:num w:numId="9" w16cid:durableId="1028145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CE6"/>
    <w:rsid w:val="00034616"/>
    <w:rsid w:val="0006063C"/>
    <w:rsid w:val="0015074B"/>
    <w:rsid w:val="0029639D"/>
    <w:rsid w:val="002C6F73"/>
    <w:rsid w:val="00326F90"/>
    <w:rsid w:val="003749D8"/>
    <w:rsid w:val="006E0366"/>
    <w:rsid w:val="006F3B9C"/>
    <w:rsid w:val="00870AE7"/>
    <w:rsid w:val="008810AA"/>
    <w:rsid w:val="009820ED"/>
    <w:rsid w:val="00AA1D8D"/>
    <w:rsid w:val="00B37633"/>
    <w:rsid w:val="00B47730"/>
    <w:rsid w:val="00C12E8F"/>
    <w:rsid w:val="00CB0664"/>
    <w:rsid w:val="00EA3966"/>
    <w:rsid w:val="00EC5268"/>
    <w:rsid w:val="00EC6A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C9F5EC6-E45A-432F-BDF1-168233F2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Moreno Muñoz</cp:lastModifiedBy>
  <cp:revision>2</cp:revision>
  <dcterms:created xsi:type="dcterms:W3CDTF">2026-01-16T11:17:00Z</dcterms:created>
  <dcterms:modified xsi:type="dcterms:W3CDTF">2026-01-16T11:17:00Z</dcterms:modified>
  <cp:category/>
</cp:coreProperties>
</file>