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Georgia" w:cs="Georgia" w:eastAsia="Georgia" w:hAnsi="Georgia"/>
          <w:b/>
          <w:bCs/>
          <w:color w:val="8B1A1A"/>
          <w:sz w:val="52"/>
          <w:szCs w:val="52"/>
        </w:rPr>
        <w:t xml:space="preserve">Democracy Fund Grant Application</w:t>
      </w:r>
    </w:p>
    <w:p>
      <w:pPr>
        <w:spacing w:after="120"/>
        <w:jc w:val="center"/>
      </w:pPr>
      <w:r>
        <w:rPr>
          <w:rFonts w:ascii="Calibri" w:cs="Calibri" w:eastAsia="Calibri" w:hAnsi="Calibri"/>
          <w:i/>
          <w:iCs/>
          <w:color w:val="555555"/>
          <w:sz w:val="22"/>
          <w:szCs w:val="22"/>
        </w:rPr>
        <w:t xml:space="preserve">Strengthen Democratic Discourse Program</w:t>
      </w:r>
    </w:p>
    <w:p>
      <w:pPr>
        <w:spacing w:after="120"/>
        <w:jc w:val="center"/>
      </w:pPr>
      <w:r>
        <w:rPr>
          <w:rFonts w:ascii="Calibri" w:cs="Calibri" w:eastAsia="Calibri" w:hAnsi="Calibri"/>
          <w:i/>
          <w:iCs/>
          <w:color w:val="555555"/>
          <w:sz w:val="22"/>
          <w:szCs w:val="22"/>
        </w:rPr>
        <w:t xml:space="preserve">Open Feed Network, Inc.  ·  May 11, 2026</w:t>
      </w:r>
    </w:p>
    <w:p>
      <w:pPr>
        <w:spacing w:after="200"/>
      </w:pPr>
    </w:p>
    <w:p>
      <w:pPr>
        <w:pBdr>
          <w:top w:val="single" w:color="8B1A1A" w:sz="4" w:space="1"/>
          <w:bottom w:val="single" w:color="8B1A1A" w:sz="4" w:space="1"/>
          <w:left w:val="single" w:color="8B1A1A" w:sz="14" w:space="6"/>
          <w:right w:val="single" w:color="8B1A1A" w:sz="4" w:space="1"/>
        </w:pBdr>
        <w:shd w:fill="FFF0F0" w:color="auto" w:val="clear"/>
        <w:spacing w:after="160" w:before="160"/>
      </w:pPr>
      <w:r>
        <w:rPr>
          <w:rFonts w:ascii="Calibri" w:cs="Calibri" w:eastAsia="Calibri" w:hAnsi="Calibri"/>
          <w:b/>
          <w:bCs/>
          <w:color w:val="8B1A1A"/>
          <w:sz w:val="20"/>
          <w:szCs w:val="20"/>
        </w:rPr>
        <w:t xml:space="preserve">Funding request: $200,000 — Building open-source infrastructure that protects democratic discourse from algorithmic manipulation, suppression, and disinformation at the platform level.</w:t>
      </w:r>
    </w:p>
    <w:p>
      <w:pPr>
        <w:spacing w:after="200"/>
      </w:pPr>
    </w:p>
    <w:p>
      <w:pPr>
        <w:pStyle w:val="Heading1"/>
        <w:pBdr>
          <w:bottom w:val="single" w:color="8B1A1A" w:sz="6" w:space="2"/>
        </w:pBdr>
        <w:spacing w:after="160" w:before="480"/>
      </w:pPr>
      <w:r>
        <w:rPr>
          <w:rFonts w:ascii="Georgia" w:cs="Georgia" w:eastAsia="Georgia" w:hAnsi="Georgia"/>
          <w:b/>
          <w:bCs/>
          <w:color w:val="8B1A1A"/>
          <w:sz w:val="32"/>
          <w:szCs w:val="32"/>
        </w:rPr>
        <w:t xml:space="preserve">Executive Summary</w:t>
      </w:r>
    </w:p>
    <w:p>
      <w:pPr>
        <w:spacing w:after="160"/>
      </w:pPr>
      <w:r>
        <w:rPr>
          <w:rFonts w:ascii="Calibri" w:cs="Calibri" w:eastAsia="Calibri" w:hAnsi="Calibri"/>
          <w:color w:val="222222"/>
          <w:sz w:val="22"/>
          <w:szCs w:val="22"/>
        </w:rPr>
        <w:t xml:space="preserve">Open Feed Network, Inc. requests $200,000 from Democracy Fund to build and deploy the Open Feed Platform — the first social media platform architecturally designed to protect democratic discourse from the algorithmic suppression and disinformation that threaten informed civic participation.</w:t>
      </w:r>
    </w:p>
    <w:p>
      <w:pPr>
        <w:spacing w:after="160"/>
      </w:pPr>
      <w:r>
        <w:rPr>
          <w:rFonts w:ascii="Calibri" w:cs="Calibri" w:eastAsia="Calibri" w:hAnsi="Calibri"/>
          <w:color w:val="222222"/>
          <w:sz w:val="22"/>
          <w:szCs w:val="22"/>
        </w:rPr>
        <w:t xml:space="preserve">Democracy requires an informed citizenry. When the information infrastructure citizens rely on systematically suppresses accountability journalism, civic organizing, and public-interest whistleblowing — democracy itself is undermined. OFA is infrastructure-level protection for democratic discourse.</w:t>
      </w:r>
    </w:p>
    <w:p>
      <w:pPr>
        <w:pStyle w:val="Heading1"/>
        <w:pBdr>
          <w:bottom w:val="single" w:color="8B1A1A" w:sz="6" w:space="2"/>
        </w:pBdr>
        <w:spacing w:after="160" w:before="480"/>
      </w:pPr>
      <w:r>
        <w:rPr>
          <w:rFonts w:ascii="Georgia" w:cs="Georgia" w:eastAsia="Georgia" w:hAnsi="Georgia"/>
          <w:b/>
          <w:bCs/>
          <w:color w:val="8B1A1A"/>
          <w:sz w:val="32"/>
          <w:szCs w:val="32"/>
        </w:rPr>
        <w:t xml:space="preserve">The Democratic Discourse Crisis</w:t>
      </w:r>
    </w:p>
    <w:p>
      <w:pPr>
        <w:pStyle w:val="Heading2"/>
        <w:spacing w:after="120" w:before="280"/>
      </w:pPr>
      <w:r>
        <w:rPr>
          <w:rFonts w:ascii="Georgia" w:cs="Georgia" w:eastAsia="Georgia" w:hAnsi="Georgia"/>
          <w:b/>
          <w:bCs/>
          <w:color w:val="0E7C3A"/>
          <w:sz w:val="26"/>
          <w:szCs w:val="26"/>
        </w:rPr>
        <w:t xml:space="preserve">How Platforms Undermine Democracy</w:t>
      </w:r>
    </w:p>
    <w:p>
      <w:pPr>
        <w:spacing w:after="160"/>
      </w:pPr>
      <w:r>
        <w:rPr>
          <w:rFonts w:ascii="Calibri" w:cs="Calibri" w:eastAsia="Calibri" w:hAnsi="Calibri"/>
          <w:color w:val="222222"/>
          <w:sz w:val="22"/>
          <w:szCs w:val="22"/>
        </w:rPr>
        <w:t xml:space="preserve">The threat to democratic discourse is not only from disinformation — it is equally from the suppression of legitimate democratic speech. Platform algorithms routinely and invisibly:</w:t>
      </w:r>
    </w:p>
    <w:p>
      <w:pPr>
        <w:pStyle w:val="ListParagraph"/>
        <w:numPr>
          <w:ilvl w:val="0"/>
          <w:numId w:val="2"/>
        </w:numPr>
        <w:spacing w:after="80"/>
      </w:pPr>
      <w:r>
        <w:rPr>
          <w:rFonts w:ascii="Calibri" w:cs="Calibri" w:eastAsia="Calibri" w:hAnsi="Calibri"/>
          <w:color w:val="333333"/>
          <w:sz w:val="22"/>
          <w:szCs w:val="22"/>
        </w:rPr>
        <w:t xml:space="preserve">Suppress local government accountability reporting that citizens need to participate in civic life</w:t>
      </w:r>
    </w:p>
    <w:p>
      <w:pPr>
        <w:pStyle w:val="ListParagraph"/>
        <w:numPr>
          <w:ilvl w:val="0"/>
          <w:numId w:val="2"/>
        </w:numPr>
        <w:spacing w:after="80"/>
      </w:pPr>
      <w:r>
        <w:rPr>
          <w:rFonts w:ascii="Calibri" w:cs="Calibri" w:eastAsia="Calibri" w:hAnsi="Calibri"/>
          <w:color w:val="333333"/>
          <w:sz w:val="22"/>
          <w:szCs w:val="22"/>
        </w:rPr>
        <w:t xml:space="preserve">Deprioritize civic organizing content, reducing community mobilization capacity</w:t>
      </w:r>
    </w:p>
    <w:p>
      <w:pPr>
        <w:pStyle w:val="ListParagraph"/>
        <w:numPr>
          <w:ilvl w:val="0"/>
          <w:numId w:val="2"/>
        </w:numPr>
        <w:spacing w:after="80"/>
      </w:pPr>
      <w:r>
        <w:rPr>
          <w:rFonts w:ascii="Calibri" w:cs="Calibri" w:eastAsia="Calibri" w:hAnsi="Calibri"/>
          <w:color w:val="333333"/>
          <w:sz w:val="22"/>
          <w:szCs w:val="22"/>
        </w:rPr>
        <w:t xml:space="preserve">Remove whistleblower disclosures that expose government and corporate wrongdoing</w:t>
      </w:r>
    </w:p>
    <w:p>
      <w:pPr>
        <w:pStyle w:val="ListParagraph"/>
        <w:numPr>
          <w:ilvl w:val="0"/>
          <w:numId w:val="2"/>
        </w:numPr>
        <w:spacing w:after="80"/>
      </w:pPr>
      <w:r>
        <w:rPr>
          <w:rFonts w:ascii="Calibri" w:cs="Calibri" w:eastAsia="Calibri" w:hAnsi="Calibri"/>
          <w:color w:val="333333"/>
          <w:sz w:val="22"/>
          <w:szCs w:val="22"/>
        </w:rPr>
        <w:t xml:space="preserve">Silence marginalized community voices through opaque 'community standards' enforcement</w:t>
      </w:r>
    </w:p>
    <w:p>
      <w:pPr>
        <w:pStyle w:val="ListParagraph"/>
        <w:numPr>
          <w:ilvl w:val="0"/>
          <w:numId w:val="2"/>
        </w:numPr>
        <w:spacing w:after="80"/>
      </w:pPr>
      <w:r>
        <w:rPr>
          <w:rFonts w:ascii="Calibri" w:cs="Calibri" w:eastAsia="Calibri" w:hAnsi="Calibri"/>
          <w:color w:val="333333"/>
          <w:sz w:val="22"/>
          <w:szCs w:val="22"/>
        </w:rPr>
        <w:t xml:space="preserve">Amplify engagement-bait and outrage content while burying factual civic information</w:t>
      </w:r>
    </w:p>
    <w:p>
      <w:pPr>
        <w:pStyle w:val="Heading2"/>
        <w:spacing w:after="120" w:before="280"/>
      </w:pPr>
      <w:r>
        <w:rPr>
          <w:rFonts w:ascii="Georgia" w:cs="Georgia" w:eastAsia="Georgia" w:hAnsi="Georgia"/>
          <w:b/>
          <w:bCs/>
          <w:color w:val="0E7C3A"/>
          <w:sz w:val="26"/>
          <w:szCs w:val="26"/>
        </w:rPr>
        <w:t xml:space="preserve">The Disinformation Dimension</w:t>
      </w:r>
    </w:p>
    <w:p>
      <w:pPr>
        <w:spacing w:after="160"/>
      </w:pPr>
      <w:r>
        <w:rPr>
          <w:rFonts w:ascii="Calibri" w:cs="Calibri" w:eastAsia="Calibri" w:hAnsi="Calibri"/>
          <w:color w:val="222222"/>
          <w:sz w:val="22"/>
          <w:szCs w:val="22"/>
        </w:rPr>
        <w:t xml:space="preserve">Simultaneously, coordinated disinformation campaigns exploit platform opacity to spread false information about elections, public health, and civic institutions. Without transparent, accountable AI analysis, communities cannot distinguish authentic civic information from manufactured narratives.</w:t>
      </w:r>
    </w:p>
    <w:p>
      <w:pPr>
        <w:pStyle w:val="Heading1"/>
        <w:pBdr>
          <w:bottom w:val="single" w:color="8B1A1A" w:sz="6" w:space="2"/>
        </w:pBdr>
        <w:spacing w:after="160" w:before="480"/>
      </w:pPr>
      <w:r>
        <w:rPr>
          <w:rFonts w:ascii="Georgia" w:cs="Georgia" w:eastAsia="Georgia" w:hAnsi="Georgia"/>
          <w:b/>
          <w:bCs/>
          <w:color w:val="8B1A1A"/>
          <w:sz w:val="32"/>
          <w:szCs w:val="32"/>
        </w:rPr>
        <w:t xml:space="preserve">OFA: Democratic Discourse Infrastructure</w:t>
      </w:r>
    </w:p>
    <w:p>
      <w:pPr>
        <w:pStyle w:val="Heading2"/>
        <w:spacing w:after="120" w:before="280"/>
      </w:pPr>
      <w:r>
        <w:rPr>
          <w:rFonts w:ascii="Georgia" w:cs="Georgia" w:eastAsia="Georgia" w:hAnsi="Georgia"/>
          <w:b/>
          <w:bCs/>
          <w:color w:val="0E7C3A"/>
          <w:sz w:val="26"/>
          <w:szCs w:val="26"/>
        </w:rPr>
        <w:t xml:space="preserve">Anti-Suppression by Design</w:t>
      </w:r>
    </w:p>
    <w:p>
      <w:pPr>
        <w:spacing w:after="160"/>
      </w:pPr>
      <w:r>
        <w:rPr>
          <w:rFonts w:ascii="Calibri" w:cs="Calibri" w:eastAsia="Calibri" w:hAnsi="Calibri"/>
          <w:color w:val="222222"/>
          <w:sz w:val="22"/>
          <w:szCs w:val="22"/>
        </w:rPr>
        <w:t xml:space="preserve">OFA's Open Feed Algorithm replaces black-box ranking with transparent, community-governed scoring:</w:t>
      </w:r>
    </w:p>
    <w:p>
      <w:pPr>
        <w:pStyle w:val="ListParagraph"/>
        <w:numPr>
          <w:ilvl w:val="0"/>
          <w:numId w:val="2"/>
        </w:numPr>
        <w:spacing w:after="80"/>
      </w:pPr>
      <w:r>
        <w:rPr>
          <w:rFonts w:ascii="Calibri" w:cs="Calibri" w:eastAsia="Calibri" w:hAnsi="Calibri"/>
          <w:color w:val="333333"/>
          <w:sz w:val="22"/>
          <w:szCs w:val="22"/>
        </w:rPr>
        <w:t xml:space="preserve">All scoring weights are public — any researcher or journalist can audit them</w:t>
      </w:r>
    </w:p>
    <w:p>
      <w:pPr>
        <w:pStyle w:val="ListParagraph"/>
        <w:numPr>
          <w:ilvl w:val="0"/>
          <w:numId w:val="2"/>
        </w:numPr>
        <w:spacing w:after="80"/>
      </w:pPr>
      <w:r>
        <w:rPr>
          <w:rFonts w:ascii="Calibri" w:cs="Calibri" w:eastAsia="Calibri" w:hAnsi="Calibri"/>
          <w:color w:val="333333"/>
          <w:sz w:val="22"/>
          <w:szCs w:val="22"/>
        </w:rPr>
        <w:t xml:space="preserve">Suppression flags trigger AI review, not auto-demotion</w:t>
      </w:r>
    </w:p>
    <w:p>
      <w:pPr>
        <w:pStyle w:val="ListParagraph"/>
        <w:numPr>
          <w:ilvl w:val="0"/>
          <w:numId w:val="2"/>
        </w:numPr>
        <w:spacing w:after="80"/>
      </w:pPr>
      <w:r>
        <w:rPr>
          <w:rFonts w:ascii="Calibri" w:cs="Calibri" w:eastAsia="Calibri" w:hAnsi="Calibri"/>
          <w:color w:val="333333"/>
          <w:sz w:val="22"/>
          <w:szCs w:val="22"/>
        </w:rPr>
        <w:t xml:space="preserve">Every suppression attempt is logged permanently on-chain — creating accountability records</w:t>
      </w:r>
    </w:p>
    <w:p>
      <w:pPr>
        <w:pStyle w:val="ListParagraph"/>
        <w:numPr>
          <w:ilvl w:val="0"/>
          <w:numId w:val="2"/>
        </w:numPr>
        <w:spacing w:after="80"/>
      </w:pPr>
      <w:r>
        <w:rPr>
          <w:rFonts w:ascii="Calibri" w:cs="Calibri" w:eastAsia="Calibri" w:hAnsi="Calibri"/>
          <w:color w:val="333333"/>
          <w:sz w:val="22"/>
          <w:szCs w:val="22"/>
        </w:rPr>
        <w:t xml:space="preserve">Community governance controls algorithm parameters — no single actor can manipulate ranking</w:t>
      </w:r>
    </w:p>
    <w:p>
      <w:pPr>
        <w:pStyle w:val="Heading2"/>
        <w:spacing w:after="120" w:before="280"/>
      </w:pPr>
      <w:r>
        <w:rPr>
          <w:rFonts w:ascii="Georgia" w:cs="Georgia" w:eastAsia="Georgia" w:hAnsi="Georgia"/>
          <w:b/>
          <w:bCs/>
          <w:color w:val="0E7C3A"/>
          <w:sz w:val="26"/>
          <w:szCs w:val="26"/>
        </w:rPr>
        <w:t xml:space="preserve">Truth Shield: Protecting Civic Information</w:t>
      </w:r>
    </w:p>
    <w:p>
      <w:pPr>
        <w:spacing w:after="160"/>
      </w:pPr>
      <w:r>
        <w:rPr>
          <w:rFonts w:ascii="Calibri" w:cs="Calibri" w:eastAsia="Calibri" w:hAnsi="Calibri"/>
          <w:color w:val="222222"/>
          <w:sz w:val="22"/>
          <w:szCs w:val="22"/>
        </w:rPr>
        <w:t xml:space="preserve">Truth Shield AI analysis specifically protects democratic discourse by:</w:t>
      </w:r>
    </w:p>
    <w:p>
      <w:pPr>
        <w:pStyle w:val="ListParagraph"/>
        <w:numPr>
          <w:ilvl w:val="0"/>
          <w:numId w:val="2"/>
        </w:numPr>
        <w:spacing w:after="80"/>
      </w:pPr>
      <w:r>
        <w:rPr>
          <w:rFonts w:ascii="Calibri" w:cs="Calibri" w:eastAsia="Calibri" w:hAnsi="Calibri"/>
          <w:color w:val="333333"/>
          <w:sz w:val="22"/>
          <w:szCs w:val="22"/>
        </w:rPr>
        <w:t xml:space="preserve">Distinguishing legitimate accountability journalism from disinformation</w:t>
      </w:r>
    </w:p>
    <w:p>
      <w:pPr>
        <w:pStyle w:val="ListParagraph"/>
        <w:numPr>
          <w:ilvl w:val="0"/>
          <w:numId w:val="2"/>
        </w:numPr>
        <w:spacing w:after="80"/>
      </w:pPr>
      <w:r>
        <w:rPr>
          <w:rFonts w:ascii="Calibri" w:cs="Calibri" w:eastAsia="Calibri" w:hAnsi="Calibri"/>
          <w:color w:val="333333"/>
          <w:sz w:val="22"/>
          <w:szCs w:val="22"/>
        </w:rPr>
        <w:t xml:space="preserve">Recognizing whistleblower disclosures as high-public-interest content</w:t>
      </w:r>
    </w:p>
    <w:p>
      <w:pPr>
        <w:pStyle w:val="ListParagraph"/>
        <w:numPr>
          <w:ilvl w:val="0"/>
          <w:numId w:val="2"/>
        </w:numPr>
        <w:spacing w:after="80"/>
      </w:pPr>
      <w:r>
        <w:rPr>
          <w:rFonts w:ascii="Calibri" w:cs="Calibri" w:eastAsia="Calibri" w:hAnsi="Calibri"/>
          <w:color w:val="333333"/>
          <w:sz w:val="22"/>
          <w:szCs w:val="22"/>
        </w:rPr>
        <w:t xml:space="preserve">Detecting coordinated inauthentic behavior targeting civic discourse</w:t>
      </w:r>
    </w:p>
    <w:p>
      <w:pPr>
        <w:pStyle w:val="ListParagraph"/>
        <w:numPr>
          <w:ilvl w:val="0"/>
          <w:numId w:val="2"/>
        </w:numPr>
        <w:spacing w:after="80"/>
      </w:pPr>
      <w:r>
        <w:rPr>
          <w:rFonts w:ascii="Calibri" w:cs="Calibri" w:eastAsia="Calibri" w:hAnsi="Calibri"/>
          <w:color w:val="333333"/>
          <w:sz w:val="22"/>
          <w:szCs w:val="22"/>
        </w:rPr>
        <w:t xml:space="preserve">Providing immutable, auditable records of every content decision</w:t>
      </w:r>
    </w:p>
    <w:p>
      <w:pPr>
        <w:pStyle w:val="ListParagraph"/>
        <w:numPr>
          <w:ilvl w:val="0"/>
          <w:numId w:val="2"/>
        </w:numPr>
        <w:spacing w:after="80"/>
      </w:pPr>
      <w:r>
        <w:rPr>
          <w:rFonts w:ascii="Calibri" w:cs="Calibri" w:eastAsia="Calibri" w:hAnsi="Calibri"/>
          <w:color w:val="333333"/>
          <w:sz w:val="22"/>
          <w:szCs w:val="22"/>
        </w:rPr>
        <w:t xml:space="preserve">Enabling community appeal of any moderation decision</w:t>
      </w:r>
    </w:p>
    <w:p>
      <w:pPr>
        <w:pStyle w:val="Heading2"/>
        <w:spacing w:after="120" w:before="280"/>
      </w:pPr>
      <w:r>
        <w:rPr>
          <w:rFonts w:ascii="Georgia" w:cs="Georgia" w:eastAsia="Georgia" w:hAnsi="Georgia"/>
          <w:b/>
          <w:bCs/>
          <w:color w:val="0E7C3A"/>
          <w:sz w:val="26"/>
          <w:szCs w:val="26"/>
        </w:rPr>
        <w:t xml:space="preserve">Protecting Civic Participants</w:t>
      </w:r>
    </w:p>
    <w:p>
      <w:pPr>
        <w:spacing w:after="160"/>
      </w:pPr>
      <w:r>
        <w:rPr>
          <w:rFonts w:ascii="Calibri" w:cs="Calibri" w:eastAsia="Calibri" w:hAnsi="Calibri"/>
          <w:color w:val="222222"/>
          <w:sz w:val="22"/>
          <w:szCs w:val="22"/>
        </w:rPr>
        <w:t xml:space="preserve">OFA's account tiers specifically protect participants in democratic life:</w:t>
      </w:r>
    </w:p>
    <w:p>
      <w:pPr>
        <w:pStyle w:val="ListParagraph"/>
        <w:numPr>
          <w:ilvl w:val="0"/>
          <w:numId w:val="2"/>
        </w:numPr>
        <w:spacing w:after="80"/>
      </w:pPr>
      <w:r>
        <w:rPr>
          <w:rFonts w:ascii="Calibri" w:cs="Calibri" w:eastAsia="Calibri" w:hAnsi="Calibri"/>
          <w:color w:val="333333"/>
          <w:sz w:val="22"/>
          <w:szCs w:val="22"/>
        </w:rPr>
        <w:t xml:space="preserve">Anonymous tier — for community organizers, activists, and marginalized voices</w:t>
      </w:r>
    </w:p>
    <w:p>
      <w:pPr>
        <w:pStyle w:val="ListParagraph"/>
        <w:numPr>
          <w:ilvl w:val="0"/>
          <w:numId w:val="2"/>
        </w:numPr>
        <w:spacing w:after="80"/>
      </w:pPr>
      <w:r>
        <w:rPr>
          <w:rFonts w:ascii="Calibri" w:cs="Calibri" w:eastAsia="Calibri" w:hAnsi="Calibri"/>
          <w:color w:val="333333"/>
          <w:sz w:val="22"/>
          <w:szCs w:val="22"/>
        </w:rPr>
        <w:t xml:space="preserve">Whistleblower tier — for sources exposing government and corporate wrongdoing</w:t>
      </w:r>
    </w:p>
    <w:p>
      <w:pPr>
        <w:pStyle w:val="ListParagraph"/>
        <w:numPr>
          <w:ilvl w:val="0"/>
          <w:numId w:val="2"/>
        </w:numPr>
        <w:spacing w:after="80"/>
      </w:pPr>
      <w:r>
        <w:rPr>
          <w:rFonts w:ascii="Calibri" w:cs="Calibri" w:eastAsia="Calibri" w:hAnsi="Calibri"/>
          <w:color w:val="333333"/>
          <w:sz w:val="22"/>
          <w:szCs w:val="22"/>
        </w:rPr>
        <w:t xml:space="preserve">Zero-knowledge age verification — protecting youth civic participants</w:t>
      </w:r>
    </w:p>
    <w:p>
      <w:pPr>
        <w:pStyle w:val="Heading1"/>
        <w:pBdr>
          <w:bottom w:val="single" w:color="8B1A1A" w:sz="6" w:space="2"/>
        </w:pBdr>
        <w:spacing w:after="160" w:before="480"/>
      </w:pPr>
      <w:r>
        <w:rPr>
          <w:rFonts w:ascii="Georgia" w:cs="Georgia" w:eastAsia="Georgia" w:hAnsi="Georgia"/>
          <w:b/>
          <w:bCs/>
          <w:color w:val="8B1A1A"/>
          <w:sz w:val="32"/>
          <w:szCs w:val="32"/>
        </w:rPr>
        <w:t xml:space="preserve">Theory of Change</w:t>
      </w:r>
    </w:p>
    <w:p>
      <w:pPr>
        <w:spacing w:after="160"/>
      </w:pPr>
      <w:r>
        <w:rPr>
          <w:rFonts w:ascii="Calibri" w:cs="Calibri" w:eastAsia="Calibri" w:hAnsi="Calibri"/>
          <w:color w:val="222222"/>
          <w:sz w:val="22"/>
          <w:szCs w:val="22"/>
        </w:rPr>
        <w:t xml:space="preserve">If communities have access to a platform that cannot suppress their voices, then:</w:t>
      </w:r>
    </w:p>
    <w:p>
      <w:pPr>
        <w:pStyle w:val="ListParagraph"/>
        <w:numPr>
          <w:ilvl w:val="0"/>
          <w:numId w:val="3"/>
        </w:numPr>
        <w:spacing w:after="80"/>
      </w:pPr>
      <w:r>
        <w:rPr>
          <w:rFonts w:ascii="Calibri" w:cs="Calibri" w:eastAsia="Calibri" w:hAnsi="Calibri"/>
          <w:color w:val="333333"/>
          <w:sz w:val="22"/>
          <w:szCs w:val="22"/>
        </w:rPr>
        <w:t xml:space="preserve">Accountability journalism reaches the communities it serves</w:t>
      </w:r>
    </w:p>
    <w:p>
      <w:pPr>
        <w:pStyle w:val="ListParagraph"/>
        <w:numPr>
          <w:ilvl w:val="0"/>
          <w:numId w:val="3"/>
        </w:numPr>
        <w:spacing w:after="80"/>
      </w:pPr>
      <w:r>
        <w:rPr>
          <w:rFonts w:ascii="Calibri" w:cs="Calibri" w:eastAsia="Calibri" w:hAnsi="Calibri"/>
          <w:color w:val="333333"/>
          <w:sz w:val="22"/>
          <w:szCs w:val="22"/>
        </w:rPr>
        <w:t xml:space="preserve">Civic organizing is amplified rather than suppressed</w:t>
      </w:r>
    </w:p>
    <w:p>
      <w:pPr>
        <w:pStyle w:val="ListParagraph"/>
        <w:numPr>
          <w:ilvl w:val="0"/>
          <w:numId w:val="3"/>
        </w:numPr>
        <w:spacing w:after="80"/>
      </w:pPr>
      <w:r>
        <w:rPr>
          <w:rFonts w:ascii="Calibri" w:cs="Calibri" w:eastAsia="Calibri" w:hAnsi="Calibri"/>
          <w:color w:val="333333"/>
          <w:sz w:val="22"/>
          <w:szCs w:val="22"/>
        </w:rPr>
        <w:t xml:space="preserve">Whistleblowers can safely disclose matters of public concern</w:t>
      </w:r>
    </w:p>
    <w:p>
      <w:pPr>
        <w:pStyle w:val="ListParagraph"/>
        <w:numPr>
          <w:ilvl w:val="0"/>
          <w:numId w:val="3"/>
        </w:numPr>
        <w:spacing w:after="80"/>
      </w:pPr>
      <w:r>
        <w:rPr>
          <w:rFonts w:ascii="Calibri" w:cs="Calibri" w:eastAsia="Calibri" w:hAnsi="Calibri"/>
          <w:color w:val="333333"/>
          <w:sz w:val="22"/>
          <w:szCs w:val="22"/>
        </w:rPr>
        <w:t xml:space="preserve">Disinformation is labeled with context rather than invisibly amplified</w:t>
      </w:r>
    </w:p>
    <w:p>
      <w:pPr>
        <w:pStyle w:val="ListParagraph"/>
        <w:numPr>
          <w:ilvl w:val="0"/>
          <w:numId w:val="3"/>
        </w:numPr>
        <w:spacing w:after="80"/>
      </w:pPr>
      <w:r>
        <w:rPr>
          <w:rFonts w:ascii="Calibri" w:cs="Calibri" w:eastAsia="Calibri" w:hAnsi="Calibri"/>
          <w:color w:val="333333"/>
          <w:sz w:val="22"/>
          <w:szCs w:val="22"/>
        </w:rPr>
        <w:t xml:space="preserve">Communities develop trust in information infrastructure they can audit</w:t>
      </w:r>
    </w:p>
    <w:p>
      <w:pPr>
        <w:pStyle w:val="ListParagraph"/>
        <w:numPr>
          <w:ilvl w:val="0"/>
          <w:numId w:val="3"/>
        </w:numPr>
        <w:spacing w:after="80"/>
      </w:pPr>
      <w:r>
        <w:rPr>
          <w:rFonts w:ascii="Calibri" w:cs="Calibri" w:eastAsia="Calibri" w:hAnsi="Calibri"/>
          <w:color w:val="333333"/>
          <w:sz w:val="22"/>
          <w:szCs w:val="22"/>
        </w:rPr>
        <w:t xml:space="preserve">Democratic participation increases as civic information flows freely</w:t>
      </w:r>
    </w:p>
    <w:p>
      <w:pPr>
        <w:pBdr>
          <w:top w:val="single" w:color="8B1A1A" w:sz="4" w:space="1"/>
          <w:bottom w:val="single" w:color="8B1A1A" w:sz="4" w:space="1"/>
          <w:left w:val="single" w:color="8B1A1A" w:sz="14" w:space="6"/>
          <w:right w:val="single" w:color="8B1A1A" w:sz="4" w:space="1"/>
        </w:pBdr>
        <w:shd w:fill="FFF0F0" w:color="auto" w:val="clear"/>
        <w:spacing w:after="160" w:before="160"/>
      </w:pPr>
      <w:r>
        <w:rPr>
          <w:rFonts w:ascii="Calibri" w:cs="Calibri" w:eastAsia="Calibri" w:hAnsi="Calibri"/>
          <w:b/>
          <w:bCs/>
          <w:color w:val="8B1A1A"/>
          <w:sz w:val="20"/>
          <w:szCs w:val="20"/>
        </w:rPr>
        <w:t xml:space="preserve">Transparency in information infrastructure is infrastructure for democracy itself.</w:t>
      </w:r>
    </w:p>
    <w:p>
      <w:pPr>
        <w:pStyle w:val="Heading1"/>
        <w:pBdr>
          <w:bottom w:val="single" w:color="8B1A1A" w:sz="6" w:space="2"/>
        </w:pBdr>
        <w:spacing w:after="160" w:before="480"/>
      </w:pPr>
      <w:r>
        <w:rPr>
          <w:rFonts w:ascii="Georgia" w:cs="Georgia" w:eastAsia="Georgia" w:hAnsi="Georgia"/>
          <w:b/>
          <w:bCs/>
          <w:color w:val="8B1A1A"/>
          <w:sz w:val="32"/>
          <w:szCs w:val="32"/>
        </w:rPr>
        <w:t xml:space="preserve">Budget</w:t>
      </w:r>
    </w:p>
    <w:p>
      <w:pPr>
        <w:spacing w:after="160"/>
      </w:pPr>
      <w:r>
        <w:rPr>
          <w:rFonts w:ascii="Calibri" w:cs="Calibri" w:eastAsia="Calibri" w:hAnsi="Calibri"/>
          <w:color w:val="222222"/>
          <w:sz w:val="22"/>
          <w:szCs w:val="22"/>
        </w:rPr>
        <w:t xml:space="preserve">Total Request: $200,000 over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c>
          <w:tcPr>
            <w:tcW w:type="dxa" w:w="5160"/>
            <w:tcBorders>
              <w:top w:val="single" w:color="CCCCCC" w:sz="4" w:space="1"/>
              <w:left w:val="single" w:color="CCCCCC" w:sz="4" w:space="1"/>
              <w:bottom w:val="single" w:color="CCCCCC" w:sz="4" w:space="1"/>
              <w:right w:val="single" w:color="CCCCCC" w:sz="4" w:space="1"/>
            </w:tcBorders>
            <w:shd w:fill="D0E4FF" w:color="auto" w:val="clear"/>
            <w:tcMar>
              <w:top w:type="dxa" w:w="80"/>
              <w:left w:type="dxa" w:w="120"/>
              <w:bottom w:type="dxa" w:w="80"/>
              <w:right w:type="dxa" w:w="120"/>
            </w:tcMar>
          </w:tcPr>
          <w:p>
            <w:r>
              <w:rPr>
                <w:rFonts w:ascii="Calibri" w:cs="Calibri" w:eastAsia="Calibri" w:hAnsi="Calibri"/>
                <w:b/>
                <w:bCs/>
                <w:color w:val="222222"/>
                <w:sz w:val="20"/>
                <w:szCs w:val="20"/>
              </w:rPr>
              <w:t xml:space="preserve">Category</w:t>
            </w:r>
          </w:p>
        </w:tc>
        <w:tc>
          <w:tcPr>
            <w:tcW w:type="dxa" w:w="2100"/>
            <w:tcBorders>
              <w:top w:val="single" w:color="CCCCCC" w:sz="4" w:space="1"/>
              <w:left w:val="single" w:color="CCCCCC" w:sz="4" w:space="1"/>
              <w:bottom w:val="single" w:color="CCCCCC" w:sz="4" w:space="1"/>
              <w:right w:val="single" w:color="CCCCCC" w:sz="4" w:space="1"/>
            </w:tcBorders>
            <w:shd w:fill="D0E4FF" w:color="auto" w:val="clear"/>
            <w:tcMar>
              <w:top w:type="dxa" w:w="80"/>
              <w:left w:type="dxa" w:w="120"/>
              <w:bottom w:type="dxa" w:w="80"/>
              <w:right w:type="dxa" w:w="120"/>
            </w:tcMar>
          </w:tcPr>
          <w:p>
            <w:r>
              <w:rPr>
                <w:rFonts w:ascii="Calibri" w:cs="Calibri" w:eastAsia="Calibri" w:hAnsi="Calibri"/>
                <w:b/>
                <w:bCs/>
                <w:color w:val="222222"/>
                <w:sz w:val="20"/>
                <w:szCs w:val="20"/>
              </w:rPr>
              <w:t xml:space="preserve">Amount</w:t>
            </w:r>
          </w:p>
        </w:tc>
        <w:tc>
          <w:tcPr>
            <w:tcW w:type="dxa" w:w="2100"/>
            <w:tcBorders>
              <w:top w:val="single" w:color="CCCCCC" w:sz="4" w:space="1"/>
              <w:left w:val="single" w:color="CCCCCC" w:sz="4" w:space="1"/>
              <w:bottom w:val="single" w:color="CCCCCC" w:sz="4" w:space="1"/>
              <w:right w:val="single" w:color="CCCCCC" w:sz="4" w:space="1"/>
            </w:tcBorders>
            <w:shd w:fill="D0E4FF" w:color="auto" w:val="clear"/>
            <w:tcMar>
              <w:top w:type="dxa" w:w="80"/>
              <w:left w:type="dxa" w:w="120"/>
              <w:bottom w:type="dxa" w:w="80"/>
              <w:right w:type="dxa" w:w="120"/>
            </w:tcMar>
          </w:tcPr>
          <w:p>
            <w:r>
              <w:rPr>
                <w:rFonts w:ascii="Calibri" w:cs="Calibri" w:eastAsia="Calibri" w:hAnsi="Calibri"/>
                <w:b/>
                <w:bCs/>
                <w:color w:val="222222"/>
                <w:sz w:val="20"/>
                <w:szCs w:val="20"/>
              </w:rPr>
              <w:t xml:space="preserve">Timeline</w:t>
            </w:r>
          </w:p>
        </w:tc>
      </w:tr>
      <w:tr>
        <w:tc>
          <w:tcPr>
            <w:tcW w:type="dxa" w:w="51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Platform Development (lead dev)</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$90,000</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Months 1–18</w:t>
            </w:r>
          </w:p>
        </w:tc>
      </w:tr>
      <w:tr>
        <w:tc>
          <w:tcPr>
            <w:tcW w:type="dxa" w:w="51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Civic Partnerships &amp; Outreach</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$35,000</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Months 3–18</w:t>
            </w:r>
          </w:p>
        </w:tc>
      </w:tr>
      <w:tr>
        <w:tc>
          <w:tcPr>
            <w:tcW w:type="dxa" w:w="51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Security &amp; Privacy Audit</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$25,000</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Month 6</w:t>
            </w:r>
          </w:p>
        </w:tc>
      </w:tr>
      <w:tr>
        <w:tc>
          <w:tcPr>
            <w:tcW w:type="dxa" w:w="51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Infrastructure &amp; API Costs</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$20,000</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Ongoing</w:t>
            </w:r>
          </w:p>
        </w:tc>
      </w:tr>
      <w:tr>
        <w:tc>
          <w:tcPr>
            <w:tcW w:type="dxa" w:w="51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Accessibility &amp; Multilingual</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$15,000</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Months 9–18</w:t>
            </w:r>
          </w:p>
        </w:tc>
      </w:tr>
      <w:tr>
        <w:tc>
          <w:tcPr>
            <w:tcW w:type="dxa" w:w="51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Legal &amp; Compliance</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$15,000</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Months 1–6</w:t>
            </w:r>
          </w:p>
        </w:tc>
      </w:tr>
      <w:tr>
        <w:tc>
          <w:tcPr>
            <w:tcW w:type="dxa" w:w="51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TOTAL</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$200,000</w:t>
            </w:r>
          </w:p>
        </w:tc>
        <w:tc>
          <w:tcPr>
            <w:tcW w:type="dxa" w:w="21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18 months</w:t>
            </w:r>
          </w:p>
        </w:tc>
      </w:tr>
    </w:tbl>
    <w:p>
      <w:pPr>
        <w:spacing w:after="200"/>
      </w:pPr>
    </w:p>
    <w:p>
      <w:pPr>
        <w:spacing w:after="200"/>
      </w:pPr>
    </w:p>
    <w:p>
      <w:pPr>
        <w:pBdr>
          <w:bottom w:val="single" w:color="DDDDDD" w:sz="4" w:space="1"/>
        </w:pBdr>
        <w:spacing w:after="240" w:before="240"/>
      </w:pPr>
    </w:p>
    <w:p>
      <w:pPr>
        <w:spacing w:after="160"/>
      </w:pPr>
      <w:r>
        <w:rPr>
          <w:rFonts w:ascii="Calibri" w:cs="Calibri" w:eastAsia="Calibri" w:hAnsi="Calibri"/>
          <w:i/>
          <w:iCs/>
          <w:color w:val="888888"/>
          <w:sz w:val="18"/>
          <w:szCs w:val="18"/>
        </w:rPr>
        <w:t xml:space="preserve">Open Feed Network, Inc.  ·  grants@openfeed.network  ·  openfeed.network  ·  Submitted: May 11, 2026</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rFonts w:ascii="Calibri" w:cs="Calibri" w:eastAsia="Calibri" w:hAnsi="Calibri"/>
        <w:color w:val="888888"/>
        <w:sz w:val="16"/>
        <w:szCs w:val="16"/>
      </w:rPr>
      <w:t xml:space="preserve">grants@openfeed.network  ·  openfeed.network</w:t>
    </w:r>
    <w:r>
      <w:rPr>
        <w:rFonts w:ascii="Calibri" w:cs="Calibri" w:eastAsia="Calibri" w:hAnsi="Calibri"/>
        <w:color w:val="888888"/>
        <w:sz w:val="16"/>
        <w:szCs w:val="16"/>
      </w:rPr>
      <w:t xml:space="preserve">	May 11,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pPr>
    <w:r>
      <w:rPr>
        <w:rFonts w:ascii="Calibri" w:cs="Calibri" w:eastAsia="Calibri" w:hAnsi="Calibri"/>
        <w:color w:val="888888"/>
        <w:sz w:val="16"/>
        <w:szCs w:val="16"/>
      </w:rPr>
      <w:t xml:space="preserve">Open Feed Network, Inc.  ·  Democracy Fund Application</w:t>
    </w:r>
    <w:r>
      <w:rPr>
        <w:rFonts w:ascii="Calibri" w:cs="Calibri" w:eastAsia="Calibri" w:hAnsi="Calibri"/>
        <w:b/>
        <w:bCs/>
        <w:color w:val="1A4A8C"/>
        <w:sz w:val="16"/>
        <w:szCs w:val="16"/>
      </w:rPr>
      <w:t xml:space="preserve">	Democracy Fund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1A4A8C"/>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1A4A8C"/>
      <w:sz w:val="32"/>
      <w:szCs w:val="32"/>
    </w:rPr>
  </w:style>
  <w:style w:type="paragraph" w:styleId="Heading2">
    <w:name w:val="Heading 2"/>
    <w:basedOn w:val="Normal"/>
    <w:next w:val="Normal"/>
    <w:qFormat/>
    <w:pPr>
      <w:spacing w:after="120" w:before="280"/>
      <w:outlineLvl w:val="1"/>
    </w:pPr>
    <w:rPr>
      <w:rFonts w:ascii="Georgia" w:cs="Georgia" w:eastAsia="Georgia" w:hAnsi="Georgia"/>
      <w:b/>
      <w:bCs/>
      <w:color w:val="0E7C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2026-05-11T11:37:32.756Z</dcterms:created>
  <dcterms:modified xsi:type="dcterms:W3CDTF">2026-05-11T11:37:32.756Z</dcterms:modified>
</cp:coreProperties>
</file>

<file path=docProps/custom.xml><?xml version="1.0" encoding="utf-8"?>
<Properties xmlns="http://schemas.openxmlformats.org/officeDocument/2006/custom-properties" xmlns:vt="http://schemas.openxmlformats.org/officeDocument/2006/docPropsVTypes"/>
</file>