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1A3A5C"/>
          <w:sz w:val="52"/>
          <w:szCs w:val="52"/>
        </w:rPr>
        <w:t xml:space="preserve">NSF SBIR Phase I Application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National Science Foundation — Small Business Innovation Research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Program: Convergence Accelerator — Ethical &amp; Responsible AI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Open Feed Network, Inc.  ·  May 11, 2026</w:t>
      </w:r>
    </w:p>
    <w:p>
      <w:pPr>
        <w:spacing w:after="200"/>
      </w:pPr>
    </w:p>
    <w:p>
      <w:pPr>
        <w:pBdr>
          <w:top w:val="single" w:color="1A3A5C" w:sz="4" w:space="1"/>
          <w:bottom w:val="single" w:color="1A3A5C" w:sz="4" w:space="1"/>
          <w:left w:val="single" w:color="1A3A5C" w:sz="14" w:space="6"/>
          <w:right w:val="single" w:color="1A3A5C" w:sz="4" w:space="1"/>
        </w:pBdr>
        <w:shd w:fill="EBF5FF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A3A5C"/>
          <w:sz w:val="20"/>
          <w:szCs w:val="20"/>
        </w:rPr>
        <w:t xml:space="preserve">Award Request: $275,000 (Phase I) — Research and development of open-source, accountable AI content moderation infrastructure with formal verification of anti-suppression guarantees.</w:t>
      </w:r>
    </w:p>
    <w:p>
      <w:pPr>
        <w:spacing w:after="200"/>
      </w:pP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Project Title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TruthShield: Formally Verified, Transparent AI Content Analysis Infrastructure for Disinformation Resistance and Child Safety Protection in Decentralized Social Media Platforms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Technical Innovation &amp; Research Objectives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Innovation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Phase I SBIR proposes research into a novel class of AI content moderation systems characterized by: (1) formal verifiability of anti-suppression properties, (2) cryptographically immutable audit trails, (3) zero-knowledge privacy preservation for vulnerable users, and (4) community-governed algorithm parameters with on-chain governance.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existing commercial or academic system combines all four properties simultaneously. This represents a genuine research gap with significant commercial and societal applications.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Research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Can AI content analysis systems provide formal guarantees against systematic suppression of protected categories of speech while maintaining effectiveness against genuine disinformation?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zero-knowledge proof constructions best preserve user privacy in age verification while satisfying COPPA, GDPR-K, and KOSA regulatory requirements?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How can on-chain community governance mechanisms be designed to resist coordinated manipulation of algorithm parameters while enabling legitimate community control?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multi-modal behavioral signals, analyzed without personal identity data, provide statistically significant minor detection accuracy across diverse user populations?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Phase I Technical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Develop and evaluate Truth Shield AI analysis pipeline using Claude Haiku with formal accuracy metrics across 5 verdict categories (legitimate, disinformation, unverified, satire, opinion)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Research and prototype zero-knowledge age verification circuit compatible with W3C Verifiable Credentials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 and analyze Guardian Shield 7-layer behavioral detection system for statistical minor detection accuracy, false positive rate, and demographic bias evaluation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Prototype community governance mechanism with Sybil-resistance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Evaluate IPFS + Arweave decentralized storage for audit trail immutability and performance characteristics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Commercial Potential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Market Opportunity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content moderation market is projected to exceed $15 billion by 2027. Current solutions are inadequate: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Enterprise: Companies need auditable AI moderation for regulatory compliance (EU AI Act, DSA)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Newsrooms: Fact-checking tools market — $2.3B by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Government: Federal agencies require COPPA-compliant child protection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NGOs &amp; Civil Society: Organizations globally need censorship-resistant communication infrastructure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Revenue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access tiers: $29–$199/month for Truth Shield content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 infrastructure licensing: $500–$5,000/month for organizations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Government contracts: SBIR Phase II and beyond, federal agency licensing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Enterprise deployment: White-label Guardian Shield for platform compliance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Phase II Pathway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Successful Phase I completion enables a $1,000,000 Phase II application focused on: production deployment, enterprise API commercialization, formal security certification, and expanded language support for underserved linguistic communities.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Budget Justification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Phase I Request: $275,000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Principal Investigator (1.0 FTE)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$120,000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research lead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Research Engineer (0.5 FTE)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$55,000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ZK circuit development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Subcontract: Security Audit Firm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Independent verification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API Research Costs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$20,000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Claude API for R&amp;D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Research environment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Travel (NSF conferences)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Dissemination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Indirect Costs (20%)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$27,000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Approved rate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$275,000</w:t>
            </w:r>
          </w:p>
        </w:tc>
        <w:tc>
          <w:tcPr>
            <w:tcW w:type="dxa" w:w="234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 months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Broader Impacts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research addresses fundamental questions in AI safety, content moderation, and democratic information infrastructure. Outcomes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Open-source tools deployable by any organization globally — no vendor lock-in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Academic publications on formally verified content moderation systems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Child safety infrastructure protecting minors across any platform that adopts Guardian Shield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Decentralized information infrastructure enabling communities globally to communicate without suppression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Training data and benchmarks for the broader AI content moderation research community</w:t>
      </w:r>
    </w:p>
    <w:p>
      <w:pPr>
        <w:spacing w:after="200"/>
      </w:pPr>
    </w:p>
    <w:p>
      <w:pPr>
        <w:pBdr>
          <w:bottom w:val="single" w:color="DDDDDD" w:sz="4" w:space="1"/>
        </w:pBdr>
        <w:spacing w:after="240" w:before="2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Open Feed Network, Inc.  ·  grants@openfeed.network  ·  openfeed.network  ·  NSF SBIR Phase I  ·  May 11,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grants@openfeed.network  ·  openfeed.network</w:t>
    </w:r>
    <w:r>
      <w:rPr>
        <w:rFonts w:ascii="Calibri" w:cs="Calibri" w:eastAsia="Calibri" w:hAnsi="Calibri"/>
        <w:color w:val="888888"/>
        <w:sz w:val="16"/>
        <w:szCs w:val="16"/>
      </w:rPr>
      <w:t xml:space="preserve">	May 11,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Open Feed Network, Inc.  ·  NSF SBIR Phase I</w:t>
    </w:r>
    <w:r>
      <w:rPr>
        <w:rFonts w:ascii="Calibri" w:cs="Calibri" w:eastAsia="Calibri" w:hAnsi="Calibri"/>
        <w:b/>
        <w:bCs/>
        <w:color w:val="1A4A8C"/>
        <w:sz w:val="16"/>
        <w:szCs w:val="16"/>
      </w:rPr>
      <w:t xml:space="preserve">	NSF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1A4A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A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0E7C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2026-05-11T11:37:32.823Z</dcterms:created>
  <dcterms:modified xsi:type="dcterms:W3CDTF">2026-05-11T11:37:32.823Z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