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F3864"/>
          <w:sz w:val="52"/>
          <w:szCs w:val="52"/>
        </w:rPr>
        <w:t>OpenG2P</w:t>
      </w:r>
    </w:p>
    <w:p>
      <w:pPr>
        <w:pStyle w:val="Normal"/>
        <w:spacing w:before="0" w:after="80"/>
        <w:jc w:val="center"/>
        <w:rPr/>
      </w:pPr>
      <w:r>
        <w:rPr>
          <w:rFonts w:eastAsia="Arial" w:cs="Arial"/>
          <w:b/>
          <w:bCs/>
          <w:color w:val="2E75B6"/>
          <w:sz w:val="36"/>
          <w:szCs w:val="36"/>
        </w:rPr>
        <w:t>Infrastructure Resource Utilization Report</w:t>
      </w:r>
    </w:p>
    <w:p>
      <w:pPr>
        <w:pStyle w:val="Normal"/>
        <w:spacing w:before="80" w:after="40"/>
        <w:jc w:val="center"/>
        <w:rPr/>
      </w:pPr>
      <w:r>
        <w:rPr>
          <w:rFonts w:eastAsia="Arial" w:cs="Arial"/>
          <w:color w:val="555555"/>
          <w:sz w:val="22"/>
          <w:szCs w:val="22"/>
        </w:rPr>
        <w:t>Date: June 25, 2026</w:t>
      </w:r>
    </w:p>
    <w:p>
      <w:pPr>
        <w:pStyle w:val="Normal"/>
        <w:pBdr>
          <w:bottom w:val="single" w:sz="6" w:space="1" w:color="2E75B6"/>
        </w:pBdr>
        <w:spacing w:before="120" w:after="120"/>
        <w:rPr/>
      </w:pPr>
      <w:r>
        <w:rPr/>
      </w:r>
    </w:p>
    <w:p>
      <w:pPr>
        <w:pStyle w:val="Normal"/>
        <w:spacing w:before="160" w:after="80"/>
        <w:jc w:val="left"/>
        <w:rPr/>
      </w:pPr>
      <w:r>
        <w:rPr>
          <w:rFonts w:eastAsia="Arial" w:cs="Arial"/>
          <w:b w:val="false"/>
          <w:bCs w:val="false"/>
          <w:color w:val="000000"/>
          <w:sz w:val="20"/>
          <w:szCs w:val="20"/>
        </w:rPr>
        <w:t>This report presents a consolidated view of resource utilization across all OpenG2P infrastructure nodes in two phases:</w:t>
      </w:r>
    </w:p>
    <w:p>
      <w:pPr>
        <w:pStyle w:val="Normal"/>
        <w:spacing w:before="60" w:after="40"/>
        <w:jc w:val="left"/>
        <w:rPr/>
      </w:pPr>
      <w:r>
        <w:rPr>
          <w:rFonts w:eastAsia="Arial" w:cs="Arial"/>
          <w:b w:val="false"/>
          <w:bCs w:val="false"/>
          <w:color w:val="000000"/>
          <w:sz w:val="19"/>
          <w:szCs w:val="19"/>
        </w:rPr>
        <w:t>Phase 1 — Infrastructure Cluster Setup: Baseline resource usage once the core cluster infrastructure is provisioned.</w:t>
      </w:r>
    </w:p>
    <w:p>
      <w:pPr>
        <w:pStyle w:val="Normal"/>
        <w:spacing w:before="60" w:after="40"/>
        <w:jc w:val="left"/>
        <w:rPr/>
      </w:pPr>
      <w:r>
        <w:rPr>
          <w:rFonts w:eastAsia="Arial" w:cs="Arial"/>
          <w:b w:val="false"/>
          <w:bCs w:val="false"/>
          <w:color w:val="000000"/>
          <w:sz w:val="19"/>
          <w:szCs w:val="19"/>
        </w:rPr>
        <w:t>Phase 2 — OpenG2P Commons Application Deployment: Resource utilization after deploying the Commons application on the cluster, including incremental consumption over the baseline.</w:t>
      </w:r>
    </w:p>
    <w:p>
      <w:pPr>
        <w:pStyle w:val="Normal"/>
        <w:pBdr>
          <w:bottom w:val="single" w:sz="6" w:space="1" w:color="2E75B6"/>
        </w:pBdr>
        <w:spacing w:before="120" w:after="120"/>
        <w:rPr/>
      </w:pPr>
      <w:r>
        <w:rPr/>
      </w:r>
    </w:p>
    <w:p>
      <w:pPr>
        <w:pStyle w:val="Heading1"/>
        <w:spacing w:before="320" w:after="160"/>
        <w:rPr/>
      </w:pPr>
      <w:r>
        <w:rPr>
          <w:rFonts w:eastAsia="Arial" w:cs="Arial" w:ascii="Arial" w:hAnsi="Arial"/>
          <w:b/>
          <w:bCs/>
          <w:color w:val="1F3864"/>
          <w:sz w:val="32"/>
          <w:szCs w:val="32"/>
        </w:rPr>
        <w:t>1. Resource Usage When OpenG2P Infrastructure Cluster Setup Is Completed</w:t>
      </w:r>
    </w:p>
    <w:p>
      <w:pPr>
        <w:pStyle w:val="Normal"/>
        <w:spacing w:before="80" w:after="200"/>
        <w:jc w:val="left"/>
        <w:rPr/>
      </w:pPr>
      <w:r>
        <w:rPr>
          <w:rFonts w:eastAsia="Arial" w:cs="Arial"/>
          <w:b w:val="false"/>
          <w:bCs w:val="false"/>
          <w:color w:val="000000"/>
          <w:sz w:val="20"/>
          <w:szCs w:val="20"/>
        </w:rPr>
        <w:t>The following data was captured immediately after the OpenG2P infrastructure cluster provisioning was completed, before any application workloads were deployed. Values reflect baseline OS and cluster-management overhead only.</w:t>
      </w:r>
    </w:p>
    <w:p>
      <w:pPr>
        <w:pStyle w:val="Heading2"/>
        <w:spacing w:before="240" w:after="120"/>
        <w:rPr/>
      </w:pPr>
      <w:r>
        <w:rPr>
          <w:rFonts w:eastAsia="Arial" w:cs="Arial" w:ascii="Arial" w:hAnsi="Arial"/>
          <w:b/>
          <w:bCs/>
          <w:color w:val="2E75B6"/>
          <w:sz w:val="26"/>
          <w:szCs w:val="26"/>
        </w:rPr>
        <w:t>1.1  Summary — All Nodes</w:t>
      </w:r>
    </w:p>
    <w:p>
      <w:pPr>
        <w:pStyle w:val="Normal"/>
        <w:spacing w:before="80" w:after="80"/>
        <w:jc w:val="left"/>
        <w:rPr/>
      </w:pPr>
      <w:r>
        <w:rPr/>
      </w:r>
    </w:p>
    <w:tbl>
      <w:tblPr>
        <w:tblW w:w="9600" w:type="dxa"/>
        <w:jc w:val="left"/>
        <w:tblInd w:w="0" w:type="dxa"/>
        <w:tblLayout w:type="fixed"/>
        <w:tblCellMar>
          <w:top w:w="80" w:type="dxa"/>
          <w:left w:w="120" w:type="dxa"/>
          <w:bottom w:w="80" w:type="dxa"/>
          <w:right w:w="120" w:type="dxa"/>
        </w:tblCellMar>
      </w:tblPr>
      <w:tblGrid>
        <w:gridCol w:w="1600"/>
        <w:gridCol w:w="899"/>
        <w:gridCol w:w="1101"/>
        <w:gridCol w:w="1100"/>
        <w:gridCol w:w="1100"/>
        <w:gridCol w:w="1300"/>
        <w:gridCol w:w="1300"/>
        <w:gridCol w:w="1198"/>
      </w:tblGrid>
      <w:tr>
        <w:trPr>
          <w:tblHeader w:val="true"/>
        </w:trPr>
        <w:tc>
          <w:tcPr>
            <w:tcW w:w="16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Node</w:t>
            </w:r>
          </w:p>
        </w:tc>
        <w:tc>
          <w:tcPr>
            <w:tcW w:w="8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CPU Usage (%)</w:t>
            </w:r>
          </w:p>
        </w:tc>
        <w:tc>
          <w:tcPr>
            <w:tcW w:w="11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Total RAM</w:t>
            </w:r>
          </w:p>
        </w:tc>
        <w:tc>
          <w:tcPr>
            <w:tcW w:w="11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RAM Used</w:t>
            </w:r>
          </w:p>
        </w:tc>
        <w:tc>
          <w:tcPr>
            <w:tcW w:w="11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RAM Free</w:t>
            </w:r>
          </w:p>
        </w:tc>
        <w:tc>
          <w:tcPr>
            <w:tcW w:w="1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Total Storage</w:t>
            </w:r>
          </w:p>
        </w:tc>
        <w:tc>
          <w:tcPr>
            <w:tcW w:w="1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Storage Used</w:t>
            </w:r>
          </w:p>
        </w:tc>
        <w:tc>
          <w:tcPr>
            <w:tcW w:w="1198"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Storage Free</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Reverse Proxy</w:t>
            </w:r>
          </w:p>
        </w:tc>
        <w:tc>
          <w:tcPr>
            <w:tcW w:w="8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~0.3%</w:t>
            </w:r>
          </w:p>
        </w:tc>
        <w:tc>
          <w:tcPr>
            <w:tcW w:w="11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3.8 GiB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504 MiB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2.8 GiB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61 GB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2.0 GB</w:t>
            </w:r>
          </w:p>
        </w:tc>
        <w:tc>
          <w:tcPr>
            <w:tcW w:w="11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59 GB</w:t>
            </w:r>
          </w:p>
        </w:tc>
      </w:tr>
      <w:tr>
        <w:trPr/>
        <w:tc>
          <w:tcPr>
            <w:tcW w:w="16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left"/>
              <w:rPr/>
            </w:pPr>
            <w:r>
              <w:rPr>
                <w:rFonts w:eastAsia="Arial" w:cs="Arial"/>
                <w:b/>
                <w:bCs/>
                <w:color w:val="000000"/>
                <w:sz w:val="20"/>
                <w:szCs w:val="20"/>
              </w:rPr>
              <w:t>Compute</w:t>
            </w:r>
          </w:p>
        </w:tc>
        <w:tc>
          <w:tcPr>
            <w:tcW w:w="89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~3.4%</w:t>
            </w:r>
          </w:p>
        </w:tc>
        <w:tc>
          <w:tcPr>
            <w:tcW w:w="1101"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61 GiB</w:t>
            </w:r>
          </w:p>
        </w:tc>
        <w:tc>
          <w:tcPr>
            <w:tcW w:w="11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5.7 GiB</w:t>
            </w:r>
          </w:p>
        </w:tc>
        <w:tc>
          <w:tcPr>
            <w:tcW w:w="11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41 GiB</w:t>
            </w:r>
          </w:p>
        </w:tc>
        <w:tc>
          <w:tcPr>
            <w:tcW w:w="13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123 GB (root) + 247 GB (NFS)</w:t>
            </w:r>
          </w:p>
        </w:tc>
        <w:tc>
          <w:tcPr>
            <w:tcW w:w="13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15 GB (root) + 2.3 GB (NFS)</w:t>
            </w:r>
          </w:p>
        </w:tc>
        <w:tc>
          <w:tcPr>
            <w:tcW w:w="1198"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109 GB (root) + 245 GB (NFS)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Storage</w:t>
            </w:r>
          </w:p>
        </w:tc>
        <w:tc>
          <w:tcPr>
            <w:tcW w:w="8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~0.0%</w:t>
            </w:r>
          </w:p>
        </w:tc>
        <w:tc>
          <w:tcPr>
            <w:tcW w:w="11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31 GiB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771 MiB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29 GiB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247 GB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2.3 GB</w:t>
            </w:r>
          </w:p>
        </w:tc>
        <w:tc>
          <w:tcPr>
            <w:tcW w:w="11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245 GB</w:t>
            </w:r>
          </w:p>
        </w:tc>
      </w:tr>
    </w:tbl>
    <w:p>
      <w:pPr>
        <w:pStyle w:val="Normal"/>
        <w:spacing w:before="80" w:after="80"/>
        <w:jc w:val="left"/>
        <w:rPr>
          <w:rFonts w:ascii="Arial" w:hAnsi="Arial" w:eastAsia="Arial" w:cs="Arial"/>
          <w:b/>
          <w:b/>
          <w:bCs/>
          <w:color w:val="2E75B6"/>
          <w:sz w:val="26"/>
          <w:szCs w:val="26"/>
        </w:rPr>
      </w:pPr>
      <w:r>
        <w:rPr/>
      </w:r>
    </w:p>
    <w:p>
      <w:pPr>
        <w:pStyle w:val="Normal"/>
        <w:pBdr>
          <w:bottom w:val="single" w:sz="6" w:space="1" w:color="2E75B6"/>
        </w:pBdr>
        <w:spacing w:before="120" w:after="120"/>
        <w:rPr/>
      </w:pPr>
      <w:r>
        <w:rPr/>
      </w:r>
    </w:p>
    <w:p>
      <w:pPr>
        <w:pStyle w:val="Heading1"/>
        <w:spacing w:before="320" w:after="160"/>
        <w:rPr/>
      </w:pPr>
      <w:r>
        <w:rPr>
          <w:rFonts w:eastAsia="Arial" w:cs="Arial" w:ascii="Arial" w:hAnsi="Arial"/>
          <w:b/>
          <w:bCs/>
          <w:color w:val="1F3864"/>
          <w:sz w:val="32"/>
          <w:szCs w:val="32"/>
        </w:rPr>
        <w:t>2. Resource Usage When OpenG2P Commons Application Is Deployed on the Cluster</w:t>
      </w:r>
    </w:p>
    <w:p>
      <w:pPr>
        <w:pStyle w:val="Normal"/>
        <w:spacing w:before="80" w:after="200"/>
        <w:jc w:val="left"/>
        <w:rPr/>
      </w:pPr>
      <w:r>
        <w:rPr>
          <w:rFonts w:eastAsia="Arial" w:cs="Arial"/>
          <w:b w:val="false"/>
          <w:bCs w:val="false"/>
          <w:color w:val="000000"/>
          <w:sz w:val="20"/>
          <w:szCs w:val="20"/>
        </w:rPr>
        <w:t>The following data was captured after deploying the OpenG2P Commons application on the same cluster. The compute node shows the most significant increase, driven by application pods, Kubernetes workloads, and additional container image layers on disk.</w:t>
      </w:r>
    </w:p>
    <w:p>
      <w:pPr>
        <w:pStyle w:val="Normal"/>
        <w:spacing w:before="80" w:after="200"/>
        <w:jc w:val="left"/>
        <w:rPr>
          <w:rFonts w:ascii="Arial" w:hAnsi="Arial" w:eastAsia="Arial" w:cs="Arial"/>
          <w:b w:val="false"/>
          <w:b w:val="false"/>
          <w:bCs w:val="false"/>
          <w:color w:val="000000"/>
          <w:sz w:val="20"/>
          <w:szCs w:val="20"/>
        </w:rPr>
      </w:pPr>
      <w:r>
        <w:rPr/>
      </w:r>
    </w:p>
    <w:p>
      <w:pPr>
        <w:pStyle w:val="Heading2"/>
        <w:spacing w:before="240" w:after="120"/>
        <w:rPr/>
      </w:pPr>
      <w:r>
        <w:rPr>
          <w:rFonts w:eastAsia="Arial" w:cs="Arial" w:ascii="Arial" w:hAnsi="Arial"/>
          <w:b/>
          <w:bCs/>
          <w:color w:val="2E75B6"/>
          <w:sz w:val="26"/>
          <w:szCs w:val="26"/>
        </w:rPr>
        <w:t>2.1  Summary — All Nodes (Post-Commons Deployment)</w:t>
      </w:r>
    </w:p>
    <w:p>
      <w:pPr>
        <w:pStyle w:val="Normal"/>
        <w:spacing w:before="80" w:after="80"/>
        <w:jc w:val="left"/>
        <w:rPr/>
      </w:pPr>
      <w:r>
        <w:rPr/>
      </w:r>
    </w:p>
    <w:tbl>
      <w:tblPr>
        <w:tblW w:w="9600" w:type="dxa"/>
        <w:jc w:val="left"/>
        <w:tblInd w:w="0" w:type="dxa"/>
        <w:tblLayout w:type="fixed"/>
        <w:tblCellMar>
          <w:top w:w="80" w:type="dxa"/>
          <w:left w:w="120" w:type="dxa"/>
          <w:bottom w:w="80" w:type="dxa"/>
          <w:right w:w="120" w:type="dxa"/>
        </w:tblCellMar>
      </w:tblPr>
      <w:tblGrid>
        <w:gridCol w:w="1600"/>
        <w:gridCol w:w="899"/>
        <w:gridCol w:w="1101"/>
        <w:gridCol w:w="1100"/>
        <w:gridCol w:w="1100"/>
        <w:gridCol w:w="1300"/>
        <w:gridCol w:w="1300"/>
        <w:gridCol w:w="1198"/>
      </w:tblGrid>
      <w:tr>
        <w:trPr>
          <w:tblHeader w:val="true"/>
        </w:trPr>
        <w:tc>
          <w:tcPr>
            <w:tcW w:w="16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Node</w:t>
            </w:r>
          </w:p>
        </w:tc>
        <w:tc>
          <w:tcPr>
            <w:tcW w:w="8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CPU Usage (%)</w:t>
            </w:r>
          </w:p>
        </w:tc>
        <w:tc>
          <w:tcPr>
            <w:tcW w:w="11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Total RAM</w:t>
            </w:r>
          </w:p>
        </w:tc>
        <w:tc>
          <w:tcPr>
            <w:tcW w:w="11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RAM Used</w:t>
            </w:r>
          </w:p>
        </w:tc>
        <w:tc>
          <w:tcPr>
            <w:tcW w:w="11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RAM Free</w:t>
            </w:r>
          </w:p>
        </w:tc>
        <w:tc>
          <w:tcPr>
            <w:tcW w:w="1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Total Storage</w:t>
            </w:r>
          </w:p>
        </w:tc>
        <w:tc>
          <w:tcPr>
            <w:tcW w:w="1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Storage Used</w:t>
            </w:r>
          </w:p>
        </w:tc>
        <w:tc>
          <w:tcPr>
            <w:tcW w:w="1198"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widowControl w:val="false"/>
              <w:jc w:val="center"/>
              <w:rPr/>
            </w:pPr>
            <w:r>
              <w:rPr>
                <w:rFonts w:eastAsia="Arial" w:cs="Arial"/>
                <w:b/>
                <w:bCs/>
                <w:color w:val="FFFFFF"/>
                <w:sz w:val="20"/>
                <w:szCs w:val="20"/>
              </w:rPr>
              <w:t>Storage Free</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Reverse Proxy</w:t>
            </w:r>
          </w:p>
        </w:tc>
        <w:tc>
          <w:tcPr>
            <w:tcW w:w="8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~0.3%</w:t>
            </w:r>
          </w:p>
        </w:tc>
        <w:tc>
          <w:tcPr>
            <w:tcW w:w="11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3.8 GiB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506 MiB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2.8 GiB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61 GB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2.0 GB</w:t>
            </w:r>
          </w:p>
        </w:tc>
        <w:tc>
          <w:tcPr>
            <w:tcW w:w="11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59 GB</w:t>
            </w:r>
          </w:p>
        </w:tc>
      </w:tr>
      <w:tr>
        <w:trPr/>
        <w:tc>
          <w:tcPr>
            <w:tcW w:w="16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left"/>
              <w:rPr/>
            </w:pPr>
            <w:r>
              <w:rPr>
                <w:rFonts w:eastAsia="Arial" w:cs="Arial"/>
                <w:b/>
                <w:bCs/>
                <w:color w:val="000000"/>
                <w:sz w:val="20"/>
                <w:szCs w:val="20"/>
              </w:rPr>
              <w:t>Compute</w:t>
            </w:r>
          </w:p>
        </w:tc>
        <w:tc>
          <w:tcPr>
            <w:tcW w:w="899"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~4.6%</w:t>
            </w:r>
          </w:p>
        </w:tc>
        <w:tc>
          <w:tcPr>
            <w:tcW w:w="1101"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61 GiB</w:t>
            </w:r>
          </w:p>
        </w:tc>
        <w:tc>
          <w:tcPr>
            <w:tcW w:w="11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17 GiB</w:t>
            </w:r>
          </w:p>
        </w:tc>
        <w:tc>
          <w:tcPr>
            <w:tcW w:w="11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2.7 GiB</w:t>
            </w:r>
          </w:p>
        </w:tc>
        <w:tc>
          <w:tcPr>
            <w:tcW w:w="13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123 GB (root) + 247 GB (NFS)</w:t>
            </w:r>
          </w:p>
        </w:tc>
        <w:tc>
          <w:tcPr>
            <w:tcW w:w="1300"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42 GB (root) + 2.4 GB (NFS)</w:t>
            </w:r>
          </w:p>
        </w:tc>
        <w:tc>
          <w:tcPr>
            <w:tcW w:w="1198" w:type="dxa"/>
            <w:tcBorders>
              <w:top w:val="single" w:sz="2" w:space="0" w:color="CCCCCC"/>
              <w:left w:val="single" w:sz="2" w:space="0" w:color="CCCCCC"/>
              <w:bottom w:val="single" w:sz="2" w:space="0" w:color="CCCCCC"/>
              <w:right w:val="single" w:sz="2" w:space="0" w:color="CCCCCC"/>
            </w:tcBorders>
            <w:shd w:fill="D6E4F0" w:val="clear"/>
            <w:vAlign w:val="center"/>
          </w:tcPr>
          <w:p>
            <w:pPr>
              <w:pStyle w:val="Normal"/>
              <w:widowControl w:val="false"/>
              <w:jc w:val="center"/>
              <w:rPr/>
            </w:pPr>
            <w:r>
              <w:rPr>
                <w:rFonts w:eastAsia="Arial" w:cs="Arial"/>
                <w:b w:val="false"/>
                <w:bCs w:val="false"/>
                <w:color w:val="000000"/>
                <w:sz w:val="20"/>
                <w:szCs w:val="20"/>
              </w:rPr>
              <w:t>82 GB (root) + 245 GB (NFS)</w:t>
            </w:r>
          </w:p>
        </w:tc>
      </w:tr>
      <w:tr>
        <w:trPr/>
        <w:tc>
          <w:tcPr>
            <w:tcW w:w="16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Storage</w:t>
            </w:r>
          </w:p>
        </w:tc>
        <w:tc>
          <w:tcPr>
            <w:tcW w:w="899"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~0.2%</w:t>
            </w:r>
          </w:p>
        </w:tc>
        <w:tc>
          <w:tcPr>
            <w:tcW w:w="1101"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31 GiB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954 MiB</w:t>
            </w:r>
          </w:p>
        </w:tc>
        <w:tc>
          <w:tcPr>
            <w:tcW w:w="11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29 GiB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247 GB</w:t>
            </w:r>
          </w:p>
        </w:tc>
        <w:tc>
          <w:tcPr>
            <w:tcW w:w="1300"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2.4 GB</w:t>
            </w:r>
          </w:p>
        </w:tc>
        <w:tc>
          <w:tcPr>
            <w:tcW w:w="1198"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245 GB</w:t>
            </w:r>
          </w:p>
        </w:tc>
      </w:tr>
    </w:tbl>
    <w:p>
      <w:pPr>
        <w:pStyle w:val="Normal"/>
        <w:spacing w:before="80" w:after="80"/>
        <w:jc w:val="left"/>
        <w:rPr/>
      </w:pPr>
      <w:r>
        <w:rPr/>
      </w:r>
    </w:p>
    <w:p>
      <w:pPr>
        <w:pStyle w:val="Normal"/>
        <w:pBdr>
          <w:bottom w:val="single" w:sz="6" w:space="1" w:color="2E75B6"/>
        </w:pBdr>
        <w:spacing w:before="120" w:after="120"/>
        <w:rPr/>
      </w:pPr>
      <w:r>
        <w:rPr/>
      </w:r>
    </w:p>
    <w:p>
      <w:pPr>
        <w:pStyle w:val="Heading1"/>
        <w:spacing w:before="320" w:after="160"/>
        <w:rPr/>
      </w:pPr>
      <w:r>
        <w:rPr>
          <w:rFonts w:eastAsia="Arial" w:cs="Arial" w:ascii="Arial" w:hAnsi="Arial"/>
          <w:b/>
          <w:bCs/>
          <w:color w:val="1F3864"/>
          <w:sz w:val="32"/>
          <w:szCs w:val="32"/>
        </w:rPr>
        <w:t>3. Incremental Resource Consumption — Commons Application vs Baseline</w:t>
      </w:r>
    </w:p>
    <w:p>
      <w:pPr>
        <w:pStyle w:val="Normal"/>
        <w:spacing w:before="80" w:after="200"/>
        <w:jc w:val="left"/>
        <w:rPr/>
      </w:pPr>
      <w:r>
        <w:rPr>
          <w:rFonts w:eastAsia="Arial" w:cs="Arial"/>
          <w:b w:val="false"/>
          <w:bCs w:val="false"/>
          <w:color w:val="000000"/>
          <w:sz w:val="20"/>
          <w:szCs w:val="20"/>
        </w:rPr>
        <w:t>This section highlights the additional resources consumed by the OpenG2P Commons application over and above the baseline infrastructure footprint.</w:t>
      </w:r>
    </w:p>
    <w:p>
      <w:pPr>
        <w:pStyle w:val="Heading2"/>
        <w:spacing w:before="240" w:after="120"/>
        <w:rPr/>
      </w:pPr>
      <w:r>
        <w:rPr>
          <w:rFonts w:eastAsia="Arial" w:cs="Arial" w:ascii="Arial" w:hAnsi="Arial"/>
          <w:b/>
          <w:bCs/>
          <w:color w:val="2E75B6"/>
          <w:sz w:val="26"/>
          <w:szCs w:val="26"/>
        </w:rPr>
        <w:t>3.1  Delta Summary Table</w:t>
      </w:r>
    </w:p>
    <w:p>
      <w:pPr>
        <w:pStyle w:val="Normal"/>
        <w:spacing w:before="80" w:after="80"/>
        <w:jc w:val="left"/>
        <w:rPr/>
      </w:pPr>
      <w:r>
        <w:rPr>
          <w:rFonts w:eastAsia="Arial" w:cs="Arial"/>
          <w:b w:val="false"/>
          <w:bCs w:val="false"/>
          <w:color w:val="000000"/>
          <w:sz w:val="20"/>
          <w:szCs w:val="20"/>
        </w:rPr>
        <w:t>(Positive Δ = increase in consumption after Commons deployment)</w:t>
      </w:r>
    </w:p>
    <w:p>
      <w:pPr>
        <w:pStyle w:val="Normal"/>
        <w:spacing w:before="80" w:after="80"/>
        <w:jc w:val="left"/>
        <w:rPr/>
      </w:pPr>
      <w:r>
        <w:rPr/>
      </w:r>
    </w:p>
    <w:tbl>
      <w:tblPr>
        <w:tblW w:w="8400" w:type="dxa"/>
        <w:jc w:val="left"/>
        <w:tblInd w:w="0" w:type="dxa"/>
        <w:tblLayout w:type="fixed"/>
        <w:tblCellMar>
          <w:top w:w="80" w:type="dxa"/>
          <w:left w:w="120" w:type="dxa"/>
          <w:bottom w:w="80" w:type="dxa"/>
          <w:right w:w="120" w:type="dxa"/>
        </w:tblCellMar>
      </w:tblPr>
      <w:tblGrid>
        <w:gridCol w:w="1816"/>
        <w:gridCol w:w="1135"/>
        <w:gridCol w:w="1362"/>
        <w:gridCol w:w="1362"/>
        <w:gridCol w:w="1362"/>
        <w:gridCol w:w="1362"/>
      </w:tblGrid>
      <w:tr>
        <w:trPr>
          <w:tblHeader w:val="true"/>
        </w:trPr>
        <w:tc>
          <w:tcPr>
            <w:tcW w:w="1816"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Node</w:t>
            </w:r>
          </w:p>
        </w:tc>
        <w:tc>
          <w:tcPr>
            <w:tcW w:w="1135"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CPU Δ (%)</w:t>
            </w:r>
          </w:p>
        </w:tc>
        <w:tc>
          <w:tcPr>
            <w:tcW w:w="1362"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RAM Used Δ</w:t>
            </w:r>
          </w:p>
        </w:tc>
        <w:tc>
          <w:tcPr>
            <w:tcW w:w="1362"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RAM Free Δ</w:t>
            </w:r>
          </w:p>
        </w:tc>
        <w:tc>
          <w:tcPr>
            <w:tcW w:w="1362"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Storage Used Δ</w:t>
            </w:r>
          </w:p>
        </w:tc>
        <w:tc>
          <w:tcPr>
            <w:tcW w:w="1362" w:type="dxa"/>
            <w:tcBorders>
              <w:top w:val="single" w:sz="2" w:space="0" w:color="CCCCCC"/>
              <w:left w:val="single" w:sz="2" w:space="0" w:color="CCCCCC"/>
              <w:bottom w:val="single" w:sz="2" w:space="0" w:color="CCCCCC"/>
              <w:right w:val="single" w:sz="2" w:space="0" w:color="CCCCCC"/>
            </w:tcBorders>
            <w:shd w:fill="C55A11" w:val="clear"/>
            <w:vAlign w:val="center"/>
          </w:tcPr>
          <w:p>
            <w:pPr>
              <w:pStyle w:val="Normal"/>
              <w:widowControl w:val="false"/>
              <w:jc w:val="center"/>
              <w:rPr/>
            </w:pPr>
            <w:r>
              <w:rPr>
                <w:rFonts w:eastAsia="Arial" w:cs="Arial"/>
                <w:b/>
                <w:bCs/>
                <w:color w:val="FFFFFF"/>
                <w:sz w:val="20"/>
                <w:szCs w:val="20"/>
              </w:rPr>
              <w:t>Storage Free Δ</w:t>
            </w:r>
          </w:p>
        </w:tc>
      </w:tr>
      <w:tr>
        <w:trPr/>
        <w:tc>
          <w:tcPr>
            <w:tcW w:w="181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Reverse Proxy</w:t>
            </w:r>
          </w:p>
        </w:tc>
        <w:tc>
          <w:tcPr>
            <w:tcW w:w="113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+0.0%</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 MiB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-2 MiB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 GB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 GB</w:t>
            </w:r>
          </w:p>
        </w:tc>
      </w:tr>
      <w:tr>
        <w:trPr/>
        <w:tc>
          <w:tcPr>
            <w:tcW w:w="1816"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left"/>
              <w:rPr/>
            </w:pPr>
            <w:r>
              <w:rPr>
                <w:rFonts w:eastAsia="Arial" w:cs="Arial"/>
                <w:b/>
                <w:bCs/>
                <w:color w:val="000000"/>
                <w:sz w:val="20"/>
                <w:szCs w:val="20"/>
              </w:rPr>
              <w:t>Compute</w:t>
            </w:r>
          </w:p>
        </w:tc>
        <w:tc>
          <w:tcPr>
            <w:tcW w:w="1135"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center"/>
              <w:rPr/>
            </w:pPr>
            <w:r>
              <w:rPr>
                <w:rFonts w:eastAsia="Arial" w:cs="Arial"/>
                <w:b w:val="false"/>
                <w:bCs w:val="false"/>
                <w:color w:val="000000"/>
                <w:sz w:val="20"/>
                <w:szCs w:val="20"/>
              </w:rPr>
              <w:t>+1.2%</w:t>
            </w:r>
          </w:p>
        </w:tc>
        <w:tc>
          <w:tcPr>
            <w:tcW w:w="1362"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center"/>
              <w:rPr/>
            </w:pPr>
            <w:r>
              <w:rPr>
                <w:rFonts w:eastAsia="Arial" w:cs="Arial"/>
                <w:b w:val="false"/>
                <w:bCs w:val="false"/>
                <w:color w:val="000000"/>
                <w:sz w:val="20"/>
                <w:szCs w:val="20"/>
              </w:rPr>
              <w:t>+11.3 GiB</w:t>
            </w:r>
          </w:p>
        </w:tc>
        <w:tc>
          <w:tcPr>
            <w:tcW w:w="1362"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center"/>
              <w:rPr/>
            </w:pPr>
            <w:r>
              <w:rPr>
                <w:rFonts w:eastAsia="Arial" w:cs="Arial"/>
                <w:b w:val="false"/>
                <w:bCs w:val="false"/>
                <w:color w:val="000000"/>
                <w:sz w:val="20"/>
                <w:szCs w:val="20"/>
              </w:rPr>
              <w:t>-38.3 GiB</w:t>
            </w:r>
          </w:p>
        </w:tc>
        <w:tc>
          <w:tcPr>
            <w:tcW w:w="1362"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center"/>
              <w:rPr/>
            </w:pPr>
            <w:r>
              <w:rPr>
                <w:rFonts w:eastAsia="Arial" w:cs="Arial"/>
                <w:b w:val="false"/>
                <w:bCs w:val="false"/>
                <w:color w:val="000000"/>
                <w:sz w:val="20"/>
                <w:szCs w:val="20"/>
              </w:rPr>
              <w:t>+27 GB (root)</w:t>
            </w:r>
          </w:p>
        </w:tc>
        <w:tc>
          <w:tcPr>
            <w:tcW w:w="1362" w:type="dxa"/>
            <w:tcBorders>
              <w:top w:val="single" w:sz="2" w:space="0" w:color="CCCCCC"/>
              <w:left w:val="single" w:sz="2" w:space="0" w:color="CCCCCC"/>
              <w:bottom w:val="single" w:sz="2" w:space="0" w:color="CCCCCC"/>
              <w:right w:val="single" w:sz="2" w:space="0" w:color="CCCCCC"/>
            </w:tcBorders>
            <w:shd w:fill="E2EFDA" w:val="clear"/>
            <w:vAlign w:val="center"/>
          </w:tcPr>
          <w:p>
            <w:pPr>
              <w:pStyle w:val="Normal"/>
              <w:widowControl w:val="false"/>
              <w:jc w:val="center"/>
              <w:rPr/>
            </w:pPr>
            <w:r>
              <w:rPr>
                <w:rFonts w:eastAsia="Arial" w:cs="Arial"/>
                <w:b w:val="false"/>
                <w:bCs w:val="false"/>
                <w:color w:val="000000"/>
                <w:sz w:val="20"/>
                <w:szCs w:val="20"/>
              </w:rPr>
              <w:t>-27 GB (root)</w:t>
            </w:r>
          </w:p>
        </w:tc>
      </w:tr>
      <w:tr>
        <w:trPr/>
        <w:tc>
          <w:tcPr>
            <w:tcW w:w="1816"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left"/>
              <w:rPr/>
            </w:pPr>
            <w:r>
              <w:rPr>
                <w:rFonts w:eastAsia="Arial" w:cs="Arial"/>
                <w:b/>
                <w:bCs/>
                <w:color w:val="000000"/>
                <w:sz w:val="20"/>
                <w:szCs w:val="20"/>
              </w:rPr>
              <w:t>Storage</w:t>
            </w:r>
          </w:p>
        </w:tc>
        <w:tc>
          <w:tcPr>
            <w:tcW w:w="1135"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+0.2%</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+183 MiB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-183 MiB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+0.1 GB</w:t>
            </w:r>
          </w:p>
        </w:tc>
        <w:tc>
          <w:tcPr>
            <w:tcW w:w="1362" w:type="dxa"/>
            <w:tcBorders>
              <w:top w:val="single" w:sz="2" w:space="0" w:color="CCCCCC"/>
              <w:left w:val="single" w:sz="2" w:space="0" w:color="CCCCCC"/>
              <w:bottom w:val="single" w:sz="2" w:space="0" w:color="CCCCCC"/>
              <w:right w:val="single" w:sz="2" w:space="0" w:color="CCCCCC"/>
            </w:tcBorders>
            <w:shd w:fill="FFFFFF" w:val="clear"/>
            <w:vAlign w:val="center"/>
          </w:tcPr>
          <w:p>
            <w:pPr>
              <w:pStyle w:val="Normal"/>
              <w:widowControl w:val="false"/>
              <w:jc w:val="center"/>
              <w:rPr/>
            </w:pPr>
            <w:r>
              <w:rPr>
                <w:rFonts w:eastAsia="Arial" w:cs="Arial"/>
                <w:b w:val="false"/>
                <w:bCs w:val="false"/>
                <w:color w:val="000000"/>
                <w:sz w:val="20"/>
                <w:szCs w:val="20"/>
              </w:rPr>
              <w:t>-0.1 GB</w:t>
            </w:r>
          </w:p>
        </w:tc>
      </w:tr>
    </w:tbl>
    <w:p>
      <w:pPr>
        <w:pStyle w:val="Normal"/>
        <w:spacing w:before="80" w:after="80"/>
        <w:jc w:val="left"/>
        <w:rPr/>
      </w:pPr>
      <w:r>
        <w:rPr/>
      </w:r>
    </w:p>
    <w:p>
      <w:pPr>
        <w:pStyle w:val="Normal"/>
        <w:pBdr>
          <w:bottom w:val="single" w:sz="6" w:space="1" w:color="2E75B6"/>
        </w:pBdr>
        <w:spacing w:before="120" w:after="120"/>
        <w:rPr/>
      </w:pPr>
      <w:r>
        <w:rPr/>
      </w:r>
    </w:p>
    <w:p>
      <w:pPr>
        <w:pStyle w:val="Normal"/>
        <w:spacing w:before="160" w:after="80"/>
        <w:jc w:val="left"/>
        <w:rPr/>
      </w:pPr>
      <w:r>
        <w:rPr>
          <w:rFonts w:eastAsia="Arial" w:cs="Arial"/>
          <w:b w:val="false"/>
          <w:bCs w:val="false"/>
          <w:color w:val="666666"/>
          <w:sz w:val="17"/>
          <w:szCs w:val="17"/>
        </w:rPr>
        <w:t>Note: CPU percentages are derived from top output (%us + %sy). RAM and disk values are rounded to the nearest MiB / GB for readability. All data sourced from live node snapshots captured during deployment validation.</w:t>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IN" w:eastAsia="zh-CN" w:bidi="hi-IN"/>
    </w:rPr>
  </w:style>
  <w:style w:type="paragraph" w:styleId="Heading1">
    <w:name w:val="Heading 1"/>
    <w:basedOn w:val="Heading"/>
    <w:qFormat/>
    <w:pPr>
      <w:spacing w:before="320" w:after="160"/>
      <w:outlineLvl w:val="0"/>
    </w:pPr>
    <w:rPr>
      <w:rFonts w:ascii="Arial" w:hAnsi="Arial" w:eastAsia="Arial" w:cs="Arial"/>
      <w:b/>
      <w:bCs/>
      <w:color w:val="1F3864"/>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Pages>
  <Words>432</Words>
  <Characters>2156</Characters>
  <CharactersWithSpaces>2491</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2026-06-25T07:15:33Z</dcterms:created>
  <dc:creator>Un-named</dc:creator>
  <dc:description/>
  <dc:language>en-IN</dc:language>
  <cp:lastModifiedBy/>
  <dcterms:modified xsi:type="dcterms:W3CDTF">2026-06-25T13:23:51Z</dcterms:modified>
  <cp:revision>2</cp:revision>
  <dc:subject/>
  <dc:title/>
</cp:coreProperties>
</file>