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OpenG7 Funding Platform</w:t>
      </w:r>
    </w:p>
    <w:p>
      <w:pPr>
        <w:pStyle w:val="Subtitle"/>
      </w:pPr>
      <w:r>
        <w:t>POLITIQUE DE MODÉRATION DES COMMANDITES ET PUBLICATIONS</w:t>
      </w:r>
    </w:p>
    <w:p>
      <w:r>
        <w:t>Cadrage de gouvernance V1.0  |  11 octobre 2026</w:t>
      </w:r>
    </w:p>
    <w:p>
      <w:r>
        <w:t>Statut : orientations éditoriales approuvées; charte publique et clauses contractuelles proposées, à valider avant publication.</w:t>
      </w:r>
    </w:p>
    <w:p>
      <w:pPr>
        <w:pStyle w:val="Heading1"/>
      </w:pPr>
      <w:r>
        <w:t>Principes fondateurs</w:t>
      </w:r>
    </w:p>
    <w:p>
      <w:pPr>
        <w:pStyle w:val="ListBullet"/>
      </w:pPr>
      <w:r>
        <w:t>Protection des personnes : aucune commandite ne peut promouvoir la haine, la déshumanisation, les menaces ou l’incitation à la violence.</w:t>
      </w:r>
    </w:p>
    <w:p>
      <w:pPr>
        <w:pStyle w:val="ListBullet"/>
      </w:pPr>
      <w:r>
        <w:t>Équité des décisions : une opinion controversée ou un désaccord politique, intellectuel, religieux ou culturel ne constitue pas en lui-même un motif de refus.</w:t>
      </w:r>
    </w:p>
    <w:p>
      <w:pPr>
        <w:pStyle w:val="ListBullet"/>
      </w:pPr>
      <w:r>
        <w:t>Responsabilité vérifiable : chaque décision défavorable doit être motivée, proportionnée, traçable et ouverte à un réexamen humain.</w:t>
      </w:r>
    </w:p>
    <w:p>
      <w:pPr>
        <w:pStyle w:val="ListBullet"/>
      </w:pPr>
      <w:r>
        <w:t>Le paiement donne droit à l’examen et aux prestations contractuelles applicables, mais n’achète jamais une approbation éditoriale.</w:t>
      </w:r>
    </w:p>
    <w:p>
      <w:pPr>
        <w:pStyle w:val="Heading1"/>
      </w:pPr>
      <w:r>
        <w:t>1. Taxonomie des motifs de modération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sz w:val="16"/>
              </w:rPr>
              <w:t>Code</w:t>
            </w:r>
          </w:p>
        </w:tc>
        <w:tc>
          <w:tcPr>
            <w:tcW w:type="dxa" w:w="3312"/>
          </w:tcPr>
          <w:p>
            <w:r>
              <w:rPr>
                <w:sz w:val="16"/>
              </w:rPr>
              <w:t>Définition opérationnelle</w:t>
            </w:r>
          </w:p>
        </w:tc>
        <w:tc>
          <w:tcPr>
            <w:tcW w:type="dxa" w:w="3312"/>
          </w:tcPr>
          <w:p>
            <w:r>
              <w:rPr>
                <w:sz w:val="16"/>
              </w:rPr>
              <w:t>Traitement</w:t>
            </w:r>
          </w:p>
        </w:tc>
      </w:tr>
      <w:tr>
        <w:tc>
          <w:tcPr>
            <w:tcW w:type="dxa" w:w="3312"/>
          </w:tcPr>
          <w:p>
            <w:r>
              <w:rPr>
                <w:sz w:val="16"/>
              </w:rPr>
              <w:t>HATE_TARGETED</w:t>
            </w:r>
          </w:p>
        </w:tc>
        <w:tc>
          <w:tcPr>
            <w:tcW w:type="dxa" w:w="3312"/>
          </w:tcPr>
          <w:p>
            <w:r>
              <w:rPr>
                <w:sz w:val="16"/>
              </w:rPr>
              <w:t>Attaque haineuse visant des personnes en raison de leur appartenance réelle ou supposée à un groupe</w:t>
            </w:r>
          </w:p>
        </w:tc>
        <w:tc>
          <w:tcPr>
            <w:tcW w:type="dxa" w:w="3312"/>
          </w:tcPr>
          <w:p>
            <w:r>
              <w:rPr>
                <w:sz w:val="16"/>
              </w:rPr>
              <w:t>Refus</w:t>
            </w:r>
          </w:p>
        </w:tc>
      </w:tr>
      <w:tr>
        <w:tc>
          <w:tcPr>
            <w:tcW w:type="dxa" w:w="3312"/>
          </w:tcPr>
          <w:p>
            <w:r>
              <w:rPr>
                <w:sz w:val="16"/>
              </w:rPr>
              <w:t>DEHUMANIZATION</w:t>
            </w:r>
          </w:p>
        </w:tc>
        <w:tc>
          <w:tcPr>
            <w:tcW w:type="dxa" w:w="3312"/>
          </w:tcPr>
          <w:p>
            <w:r>
              <w:rPr>
                <w:sz w:val="16"/>
              </w:rPr>
              <w:t>Présentation de personnes comme sous-humaines, nuisibles par nature ou indignes de droits fondamentaux</w:t>
            </w:r>
          </w:p>
        </w:tc>
        <w:tc>
          <w:tcPr>
            <w:tcW w:type="dxa" w:w="3312"/>
          </w:tcPr>
          <w:p>
            <w:r>
              <w:rPr>
                <w:sz w:val="16"/>
              </w:rPr>
              <w:t>Refus</w:t>
            </w:r>
          </w:p>
        </w:tc>
      </w:tr>
      <w:tr>
        <w:tc>
          <w:tcPr>
            <w:tcW w:type="dxa" w:w="3312"/>
          </w:tcPr>
          <w:p>
            <w:r>
              <w:rPr>
                <w:sz w:val="16"/>
              </w:rPr>
              <w:t>DISCRIMINATION</w:t>
            </w:r>
          </w:p>
        </w:tc>
        <w:tc>
          <w:tcPr>
            <w:tcW w:type="dxa" w:w="3312"/>
          </w:tcPr>
          <w:p>
            <w:r>
              <w:rPr>
                <w:sz w:val="16"/>
              </w:rPr>
              <w:t>Promotion d’un traitement défavorable discriminatoire ou d’une exclusion injustifiée</w:t>
            </w:r>
          </w:p>
        </w:tc>
        <w:tc>
          <w:tcPr>
            <w:tcW w:type="dxa" w:w="3312"/>
          </w:tcPr>
          <w:p>
            <w:r>
              <w:rPr>
                <w:sz w:val="16"/>
              </w:rPr>
              <w:t>Correction ou refus</w:t>
            </w:r>
          </w:p>
        </w:tc>
      </w:tr>
      <w:tr>
        <w:tc>
          <w:tcPr>
            <w:tcW w:type="dxa" w:w="3312"/>
          </w:tcPr>
          <w:p>
            <w:r>
              <w:rPr>
                <w:sz w:val="16"/>
              </w:rPr>
              <w:t>TARGETED_HARASSMENT</w:t>
            </w:r>
          </w:p>
        </w:tc>
        <w:tc>
          <w:tcPr>
            <w:tcW w:type="dxa" w:w="3312"/>
          </w:tcPr>
          <w:p>
            <w:r>
              <w:rPr>
                <w:sz w:val="16"/>
              </w:rPr>
              <w:t>Humiliation ciblée, intimidation répétée ou encouragement au harcèlement</w:t>
            </w:r>
          </w:p>
        </w:tc>
        <w:tc>
          <w:tcPr>
            <w:tcW w:type="dxa" w:w="3312"/>
          </w:tcPr>
          <w:p>
            <w:r>
              <w:rPr>
                <w:sz w:val="16"/>
              </w:rPr>
              <w:t>Correction ou refus</w:t>
            </w:r>
          </w:p>
        </w:tc>
      </w:tr>
      <w:tr>
        <w:tc>
          <w:tcPr>
            <w:tcW w:type="dxa" w:w="3312"/>
          </w:tcPr>
          <w:p>
            <w:r>
              <w:rPr>
                <w:sz w:val="16"/>
              </w:rPr>
              <w:t>THREAT</w:t>
            </w:r>
          </w:p>
        </w:tc>
        <w:tc>
          <w:tcPr>
            <w:tcW w:type="dxa" w:w="3312"/>
          </w:tcPr>
          <w:p>
            <w:r>
              <w:rPr>
                <w:sz w:val="16"/>
              </w:rPr>
              <w:t>Menace crédible de préjudice ou intimidation violente</w:t>
            </w:r>
          </w:p>
        </w:tc>
        <w:tc>
          <w:tcPr>
            <w:tcW w:type="dxa" w:w="3312"/>
          </w:tcPr>
          <w:p>
            <w:r>
              <w:rPr>
                <w:sz w:val="16"/>
              </w:rPr>
              <w:t>Refus, escalade</w:t>
            </w:r>
          </w:p>
        </w:tc>
      </w:tr>
      <w:tr>
        <w:tc>
          <w:tcPr>
            <w:tcW w:type="dxa" w:w="3312"/>
          </w:tcPr>
          <w:p>
            <w:r>
              <w:rPr>
                <w:sz w:val="16"/>
              </w:rPr>
              <w:t>VIOLENCE_INCITEMENT</w:t>
            </w:r>
          </w:p>
        </w:tc>
        <w:tc>
          <w:tcPr>
            <w:tcW w:type="dxa" w:w="3312"/>
          </w:tcPr>
          <w:p>
            <w:r>
              <w:rPr>
                <w:sz w:val="16"/>
              </w:rPr>
              <w:t>Encouragement ou instruction à commettre une violence</w:t>
            </w:r>
          </w:p>
        </w:tc>
        <w:tc>
          <w:tcPr>
            <w:tcW w:type="dxa" w:w="3312"/>
          </w:tcPr>
          <w:p>
            <w:r>
              <w:rPr>
                <w:sz w:val="16"/>
              </w:rPr>
              <w:t>Refus, escalade</w:t>
            </w:r>
          </w:p>
        </w:tc>
      </w:tr>
      <w:tr>
        <w:tc>
          <w:tcPr>
            <w:tcW w:type="dxa" w:w="3312"/>
          </w:tcPr>
          <w:p>
            <w:r>
              <w:rPr>
                <w:sz w:val="16"/>
              </w:rPr>
              <w:t>VIOLENCE_GLORIFICATION</w:t>
            </w:r>
          </w:p>
        </w:tc>
        <w:tc>
          <w:tcPr>
            <w:tcW w:type="dxa" w:w="3312"/>
          </w:tcPr>
          <w:p>
            <w:r>
              <w:rPr>
                <w:sz w:val="16"/>
              </w:rPr>
              <w:t>Célébration d’une violence ciblée visant à encourager ou légitimer</w:t>
            </w:r>
          </w:p>
        </w:tc>
        <w:tc>
          <w:tcPr>
            <w:tcW w:type="dxa" w:w="3312"/>
          </w:tcPr>
          <w:p>
            <w:r>
              <w:rPr>
                <w:sz w:val="16"/>
              </w:rPr>
              <w:t>Refus</w:t>
            </w:r>
          </w:p>
        </w:tc>
      </w:tr>
      <w:tr>
        <w:tc>
          <w:tcPr>
            <w:tcW w:type="dxa" w:w="3312"/>
          </w:tcPr>
          <w:p>
            <w:r>
              <w:rPr>
                <w:sz w:val="16"/>
              </w:rPr>
              <w:t>EXPLOITATION</w:t>
            </w:r>
          </w:p>
        </w:tc>
        <w:tc>
          <w:tcPr>
            <w:tcW w:type="dxa" w:w="3312"/>
          </w:tcPr>
          <w:p>
            <w:r>
              <w:rPr>
                <w:sz w:val="16"/>
              </w:rPr>
              <w:t>Exploitation ou abus, notamment sexuel, ou promotion de tels actes</w:t>
            </w:r>
          </w:p>
        </w:tc>
        <w:tc>
          <w:tcPr>
            <w:tcW w:type="dxa" w:w="3312"/>
          </w:tcPr>
          <w:p>
            <w:r>
              <w:rPr>
                <w:sz w:val="16"/>
              </w:rPr>
              <w:t>Refus</w:t>
            </w:r>
          </w:p>
        </w:tc>
      </w:tr>
      <w:tr>
        <w:tc>
          <w:tcPr>
            <w:tcW w:type="dxa" w:w="3312"/>
          </w:tcPr>
          <w:p>
            <w:r>
              <w:rPr>
                <w:sz w:val="16"/>
              </w:rPr>
              <w:t>SEXUAL_CONTENT</w:t>
            </w:r>
          </w:p>
        </w:tc>
        <w:tc>
          <w:tcPr>
            <w:tcW w:type="dxa" w:w="3312"/>
          </w:tcPr>
          <w:p>
            <w:r>
              <w:rPr>
                <w:sz w:val="16"/>
              </w:rPr>
              <w:t>Contenu sexuellement explicite incompatible avec l’espace public de commandite</w:t>
            </w:r>
          </w:p>
        </w:tc>
        <w:tc>
          <w:tcPr>
            <w:tcW w:type="dxa" w:w="3312"/>
          </w:tcPr>
          <w:p>
            <w:r>
              <w:rPr>
                <w:sz w:val="16"/>
              </w:rPr>
              <w:t>Correction ou refus</w:t>
            </w:r>
          </w:p>
        </w:tc>
      </w:tr>
      <w:tr>
        <w:tc>
          <w:tcPr>
            <w:tcW w:type="dxa" w:w="3312"/>
          </w:tcPr>
          <w:p>
            <w:r>
              <w:rPr>
                <w:sz w:val="16"/>
              </w:rPr>
              <w:t>PRIVACY_VIOLATION</w:t>
            </w:r>
          </w:p>
        </w:tc>
        <w:tc>
          <w:tcPr>
            <w:tcW w:type="dxa" w:w="3312"/>
          </w:tcPr>
          <w:p>
            <w:r>
              <w:rPr>
                <w:sz w:val="16"/>
              </w:rPr>
              <w:t>Divulgation abusive de renseignements privés sensibles ou exposition malveillante</w:t>
            </w:r>
          </w:p>
        </w:tc>
        <w:tc>
          <w:tcPr>
            <w:tcW w:type="dxa" w:w="3312"/>
          </w:tcPr>
          <w:p>
            <w:r>
              <w:rPr>
                <w:sz w:val="16"/>
              </w:rPr>
              <w:t>Retrait ou refus</w:t>
            </w:r>
          </w:p>
        </w:tc>
      </w:tr>
      <w:tr>
        <w:tc>
          <w:tcPr>
            <w:tcW w:type="dxa" w:w="3312"/>
          </w:tcPr>
          <w:p>
            <w:r>
              <w:rPr>
                <w:sz w:val="16"/>
              </w:rPr>
              <w:t>FRAUD_IMPERSONATION</w:t>
            </w:r>
          </w:p>
        </w:tc>
        <w:tc>
          <w:tcPr>
            <w:tcW w:type="dxa" w:w="3312"/>
          </w:tcPr>
          <w:p>
            <w:r>
              <w:rPr>
                <w:sz w:val="16"/>
              </w:rPr>
              <w:t>Fraude manifeste, usurpation ou présentation délibérément trompeuse</w:t>
            </w:r>
          </w:p>
        </w:tc>
        <w:tc>
          <w:tcPr>
            <w:tcW w:type="dxa" w:w="3312"/>
          </w:tcPr>
          <w:p>
            <w:r>
              <w:rPr>
                <w:sz w:val="16"/>
              </w:rPr>
              <w:t>Suspension ou refus</w:t>
            </w:r>
          </w:p>
        </w:tc>
      </w:tr>
      <w:tr>
        <w:tc>
          <w:tcPr>
            <w:tcW w:type="dxa" w:w="3312"/>
          </w:tcPr>
          <w:p>
            <w:r>
              <w:rPr>
                <w:sz w:val="16"/>
              </w:rPr>
              <w:t>MISLEADING_CLAIM</w:t>
            </w:r>
          </w:p>
        </w:tc>
        <w:tc>
          <w:tcPr>
            <w:tcW w:type="dxa" w:w="3312"/>
          </w:tcPr>
          <w:p>
            <w:r>
              <w:rPr>
                <w:sz w:val="16"/>
              </w:rPr>
              <w:t>Affirmation commerciale trompeuse, non étayée ou publicité déguisée</w:t>
            </w:r>
          </w:p>
        </w:tc>
        <w:tc>
          <w:tcPr>
            <w:tcW w:type="dxa" w:w="3312"/>
          </w:tcPr>
          <w:p>
            <w:r>
              <w:rPr>
                <w:sz w:val="16"/>
              </w:rPr>
              <w:t>Justificatif ou correction</w:t>
            </w:r>
          </w:p>
        </w:tc>
      </w:tr>
      <w:tr>
        <w:tc>
          <w:tcPr>
            <w:tcW w:type="dxa" w:w="3312"/>
          </w:tcPr>
          <w:p>
            <w:r>
              <w:rPr>
                <w:sz w:val="16"/>
              </w:rPr>
              <w:t>ELECTORAL_ADVERTISING</w:t>
            </w:r>
          </w:p>
        </w:tc>
        <w:tc>
          <w:tcPr>
            <w:tcW w:type="dxa" w:w="3312"/>
          </w:tcPr>
          <w:p>
            <w:r>
              <w:rPr>
                <w:sz w:val="16"/>
              </w:rPr>
              <w:t>Publicité électorale ou partisane commanditée exclue du programme</w:t>
            </w:r>
          </w:p>
        </w:tc>
        <w:tc>
          <w:tcPr>
            <w:tcW w:type="dxa" w:w="3312"/>
          </w:tcPr>
          <w:p>
            <w:r>
              <w:rPr>
                <w:sz w:val="16"/>
              </w:rPr>
              <w:t>Refus de publication</w:t>
            </w:r>
          </w:p>
        </w:tc>
      </w:tr>
      <w:tr>
        <w:tc>
          <w:tcPr>
            <w:tcW w:type="dxa" w:w="3312"/>
          </w:tcPr>
          <w:p>
            <w:r>
              <w:rPr>
                <w:sz w:val="16"/>
              </w:rPr>
              <w:t>ILLEGAL_CONTENT</w:t>
            </w:r>
          </w:p>
        </w:tc>
        <w:tc>
          <w:tcPr>
            <w:tcW w:type="dxa" w:w="3312"/>
          </w:tcPr>
          <w:p>
            <w:r>
              <w:rPr>
                <w:sz w:val="16"/>
              </w:rPr>
              <w:t>Contenu dont la diffusion serait illégale selon la juridiction applicable</w:t>
            </w:r>
          </w:p>
        </w:tc>
        <w:tc>
          <w:tcPr>
            <w:tcW w:type="dxa" w:w="3312"/>
          </w:tcPr>
          <w:p>
            <w:r>
              <w:rPr>
                <w:sz w:val="16"/>
              </w:rPr>
              <w:t>Suspension, analyse, refus</w:t>
            </w:r>
          </w:p>
        </w:tc>
      </w:tr>
      <w:tr>
        <w:tc>
          <w:tcPr>
            <w:tcW w:type="dxa" w:w="3312"/>
          </w:tcPr>
          <w:p>
            <w:r>
              <w:rPr>
                <w:sz w:val="16"/>
              </w:rPr>
              <w:t>IP_RIGHTS</w:t>
            </w:r>
          </w:p>
        </w:tc>
        <w:tc>
          <w:tcPr>
            <w:tcW w:type="dxa" w:w="3312"/>
          </w:tcPr>
          <w:p>
            <w:r>
              <w:rPr>
                <w:sz w:val="16"/>
              </w:rPr>
              <w:t>Utilisation non autorisée de marque, photo, œuvre ou identité</w:t>
            </w:r>
          </w:p>
        </w:tc>
        <w:tc>
          <w:tcPr>
            <w:tcW w:type="dxa" w:w="3312"/>
          </w:tcPr>
          <w:p>
            <w:r>
              <w:rPr>
                <w:sz w:val="16"/>
              </w:rPr>
              <w:t>Justificatif ou correction</w:t>
            </w:r>
          </w:p>
        </w:tc>
      </w:tr>
      <w:tr>
        <w:tc>
          <w:tcPr>
            <w:tcW w:type="dxa" w:w="3312"/>
          </w:tcPr>
          <w:p>
            <w:r>
              <w:rPr>
                <w:sz w:val="16"/>
              </w:rPr>
              <w:t>EXTERNAL_LINK_RISK</w:t>
            </w:r>
          </w:p>
        </w:tc>
        <w:tc>
          <w:tcPr>
            <w:tcW w:type="dxa" w:w="3312"/>
          </w:tcPr>
          <w:p>
            <w:r>
              <w:rPr>
                <w:sz w:val="16"/>
              </w:rPr>
              <w:t>Destination externe frauduleuse, dangereuse ou incompatible</w:t>
            </w:r>
          </w:p>
        </w:tc>
        <w:tc>
          <w:tcPr>
            <w:tcW w:type="dxa" w:w="3312"/>
          </w:tcPr>
          <w:p>
            <w:r>
              <w:rPr>
                <w:sz w:val="16"/>
              </w:rPr>
              <w:t>Correction ou refus</w:t>
            </w:r>
          </w:p>
        </w:tc>
      </w:tr>
      <w:tr>
        <w:tc>
          <w:tcPr>
            <w:tcW w:type="dxa" w:w="3312"/>
          </w:tcPr>
          <w:p>
            <w:r>
              <w:rPr>
                <w:sz w:val="16"/>
              </w:rPr>
              <w:t>EDITORIAL_INCOMPATIBILITY</w:t>
            </w:r>
          </w:p>
        </w:tc>
        <w:tc>
          <w:tcPr>
            <w:tcW w:type="dxa" w:w="3312"/>
          </w:tcPr>
          <w:p>
            <w:r>
              <w:rPr>
                <w:sz w:val="16"/>
              </w:rPr>
              <w:t>Incompatibilité avec une règle éditoriale expresse, disposition précise obligatoire</w:t>
            </w:r>
          </w:p>
        </w:tc>
        <w:tc>
          <w:tcPr>
            <w:tcW w:type="dxa" w:w="3312"/>
          </w:tcPr>
          <w:p>
            <w:r>
              <w:rPr>
                <w:sz w:val="16"/>
              </w:rPr>
              <w:t>Correction ou refus motivé</w:t>
            </w:r>
          </w:p>
        </w:tc>
      </w:tr>
    </w:tbl>
    <w:p/>
    <w:p>
      <w:r>
        <w:t>Un motif principal et plusieurs motifs secondaires sont possibles. Un code de modération n’est pas une qualification pénale. Le motif EDITORIAL_INCOMPATIBILITY ne doit jamais devenir une catégorie fourre-tout.</w:t>
      </w:r>
    </w:p>
    <w:p>
      <w:pPr>
        <w:pStyle w:val="Heading1"/>
      </w:pPr>
      <w:r>
        <w:t>2. Grille des niveaux de décision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sz w:val="16"/>
              </w:rPr>
              <w:t>Niveau</w:t>
            </w:r>
          </w:p>
        </w:tc>
        <w:tc>
          <w:tcPr>
            <w:tcW w:type="dxa" w:w="3312"/>
          </w:tcPr>
          <w:p>
            <w:r>
              <w:rPr>
                <w:sz w:val="16"/>
              </w:rPr>
              <w:t>Action</w:t>
            </w:r>
          </w:p>
        </w:tc>
        <w:tc>
          <w:tcPr>
            <w:tcW w:type="dxa" w:w="3312"/>
          </w:tcPr>
          <w:p>
            <w:r>
              <w:rPr>
                <w:sz w:val="16"/>
              </w:rPr>
              <w:t>Critère</w:t>
            </w:r>
          </w:p>
        </w:tc>
      </w:tr>
      <w:tr>
        <w:tc>
          <w:tcPr>
            <w:tcW w:type="dxa" w:w="3312"/>
          </w:tcPr>
          <w:p>
            <w:r>
              <w:rPr>
                <w:sz w:val="16"/>
              </w:rPr>
              <w:t>N0</w:t>
            </w:r>
          </w:p>
        </w:tc>
        <w:tc>
          <w:tcPr>
            <w:tcW w:type="dxa" w:w="3312"/>
          </w:tcPr>
          <w:p>
            <w:r>
              <w:rPr>
                <w:sz w:val="16"/>
              </w:rPr>
              <w:t>Approuver</w:t>
            </w:r>
          </w:p>
        </w:tc>
        <w:tc>
          <w:tcPr>
            <w:tcW w:type="dxa" w:w="3312"/>
          </w:tcPr>
          <w:p>
            <w:r>
              <w:rPr>
                <w:sz w:val="16"/>
              </w:rPr>
              <w:t>Contenu conforme, version vérifiée et autorisation applicable.</w:t>
            </w:r>
          </w:p>
        </w:tc>
      </w:tr>
      <w:tr>
        <w:tc>
          <w:tcPr>
            <w:tcW w:type="dxa" w:w="3312"/>
          </w:tcPr>
          <w:p>
            <w:r>
              <w:rPr>
                <w:sz w:val="16"/>
              </w:rPr>
              <w:t>N1</w:t>
            </w:r>
          </w:p>
        </w:tc>
        <w:tc>
          <w:tcPr>
            <w:tcW w:type="dxa" w:w="3312"/>
          </w:tcPr>
          <w:p>
            <w:r>
              <w:rPr>
                <w:sz w:val="16"/>
              </w:rPr>
              <w:t>Demander une correction</w:t>
            </w:r>
          </w:p>
        </w:tc>
        <w:tc>
          <w:tcPr>
            <w:tcW w:type="dxa" w:w="3312"/>
          </w:tcPr>
          <w:p>
            <w:r>
              <w:rPr>
                <w:sz w:val="16"/>
              </w:rPr>
              <w:t>Problème corrigeable de formulation, média, preuve ou lien.</w:t>
            </w:r>
          </w:p>
        </w:tc>
      </w:tr>
      <w:tr>
        <w:tc>
          <w:tcPr>
            <w:tcW w:type="dxa" w:w="3312"/>
          </w:tcPr>
          <w:p>
            <w:r>
              <w:rPr>
                <w:sz w:val="16"/>
              </w:rPr>
              <w:t>N2</w:t>
            </w:r>
          </w:p>
        </w:tc>
        <w:tc>
          <w:tcPr>
            <w:tcW w:type="dxa" w:w="3312"/>
          </w:tcPr>
          <w:p>
            <w:r>
              <w:rPr>
                <w:sz w:val="16"/>
              </w:rPr>
              <w:t>Suspendre l’examen</w:t>
            </w:r>
          </w:p>
        </w:tc>
        <w:tc>
          <w:tcPr>
            <w:tcW w:type="dxa" w:w="3312"/>
          </w:tcPr>
          <w:p>
            <w:r>
              <w:rPr>
                <w:sz w:val="16"/>
              </w:rPr>
              <w:t>Informations manquantes, ambiguïté, analyse complémentaire.</w:t>
            </w:r>
          </w:p>
        </w:tc>
      </w:tr>
      <w:tr>
        <w:tc>
          <w:tcPr>
            <w:tcW w:type="dxa" w:w="3312"/>
          </w:tcPr>
          <w:p>
            <w:r>
              <w:rPr>
                <w:sz w:val="16"/>
              </w:rPr>
              <w:t>N3</w:t>
            </w:r>
          </w:p>
        </w:tc>
        <w:tc>
          <w:tcPr>
            <w:tcW w:type="dxa" w:w="3312"/>
          </w:tcPr>
          <w:p>
            <w:r>
              <w:rPr>
                <w:sz w:val="16"/>
              </w:rPr>
              <w:t>Refuser un élément</w:t>
            </w:r>
          </w:p>
        </w:tc>
        <w:tc>
          <w:tcPr>
            <w:tcW w:type="dxa" w:w="3312"/>
          </w:tcPr>
          <w:p>
            <w:r>
              <w:rPr>
                <w:sz w:val="16"/>
              </w:rPr>
              <w:t>Média ou publication refusé sans rejet automatique du dossier.</w:t>
            </w:r>
          </w:p>
        </w:tc>
      </w:tr>
      <w:tr>
        <w:tc>
          <w:tcPr>
            <w:tcW w:type="dxa" w:w="3312"/>
          </w:tcPr>
          <w:p>
            <w:r>
              <w:rPr>
                <w:sz w:val="16"/>
              </w:rPr>
              <w:t>N4</w:t>
            </w:r>
          </w:p>
        </w:tc>
        <w:tc>
          <w:tcPr>
            <w:tcW w:type="dxa" w:w="3312"/>
          </w:tcPr>
          <w:p>
            <w:r>
              <w:rPr>
                <w:sz w:val="16"/>
              </w:rPr>
              <w:t>Refuser le dossier</w:t>
            </w:r>
          </w:p>
        </w:tc>
        <w:tc>
          <w:tcPr>
            <w:tcW w:type="dxa" w:w="3312"/>
          </w:tcPr>
          <w:p>
            <w:r>
              <w:rPr>
                <w:sz w:val="16"/>
              </w:rPr>
              <w:t>Inadmissibilité, fraude grave ou impossibilité de conformité.</w:t>
            </w:r>
          </w:p>
        </w:tc>
      </w:tr>
      <w:tr>
        <w:tc>
          <w:tcPr>
            <w:tcW w:type="dxa" w:w="3312"/>
          </w:tcPr>
          <w:p>
            <w:r>
              <w:rPr>
                <w:sz w:val="16"/>
              </w:rPr>
              <w:t>N5</w:t>
            </w:r>
          </w:p>
        </w:tc>
        <w:tc>
          <w:tcPr>
            <w:tcW w:type="dxa" w:w="3312"/>
          </w:tcPr>
          <w:p>
            <w:r>
              <w:rPr>
                <w:sz w:val="16"/>
              </w:rPr>
              <w:t>Retirer un contenu public</w:t>
            </w:r>
          </w:p>
        </w:tc>
        <w:tc>
          <w:tcPr>
            <w:tcW w:type="dxa" w:w="3312"/>
          </w:tcPr>
          <w:p>
            <w:r>
              <w:rPr>
                <w:sz w:val="16"/>
              </w:rPr>
              <w:t>Retrait du site; traitement distinct des plateformes sociales externes.</w:t>
            </w:r>
          </w:p>
        </w:tc>
      </w:tr>
    </w:tbl>
    <w:p/>
    <w:p>
      <w:r>
        <w:t>Seconde revue indépendante pour N4 et les retraits graves N5. Un recours contre une décision grave ne doit pas être examiné exclusivement par son auteur initial.</w:t>
      </w:r>
    </w:p>
    <w:p>
      <w:pPr>
        <w:pStyle w:val="Heading1"/>
      </w:pPr>
      <w:r>
        <w:t>3. Charte publique — Version française</w:t>
      </w:r>
    </w:p>
    <w:p>
      <w:pPr>
        <w:pStyle w:val="Heading2"/>
      </w:pPr>
      <w:r>
        <w:t>Charte d’intégrité éditoriale et des commandites</w:t>
      </w:r>
    </w:p>
    <w:p>
      <w:r>
        <w:t>OpenG7 et OpenG20 — Version proposée 1.0</w:t>
      </w:r>
    </w:p>
    <w:p>
      <w:pPr>
        <w:pStyle w:val="Heading2"/>
      </w:pPr>
      <w:r>
        <w:t>Notre engagement</w:t>
      </w:r>
    </w:p>
    <w:p>
      <w:r>
        <w:t>OpenG7 favorise le dialogue, la coopération, l’innovation et le respect de la dignité humaine. Nous accueillons des partenaires aux perspectives diverses, dans un environnement où la liberté de débattre s’accompagne d’une responsabilité envers autrui.</w:t>
      </w:r>
    </w:p>
    <w:p>
      <w:r>
        <w:t>Une commandite ne constitue ni une approbation des positions du commanditaire par OpenG7 ni un droit automatique à la publication.</w:t>
      </w:r>
    </w:p>
    <w:p>
      <w:pPr>
        <w:pStyle w:val="Heading2"/>
      </w:pPr>
      <w:r>
        <w:t>Contenus concernés</w:t>
      </w:r>
    </w:p>
    <w:p>
      <w:r>
        <w:t>Cette charte s’applique aux textes, noms commerciaux affichés, logos, images, slogans, liens et publications proposés dans le cadre des commandites, ainsi qu’aux contenus préparés pour leur reconnaissance publique sur les plateformes OpenG7 et OpenG20.</w:t>
      </w:r>
    </w:p>
    <w:p>
      <w:pPr>
        <w:pStyle w:val="Heading2"/>
      </w:pPr>
      <w:r>
        <w:t>Contenus non admissibles</w:t>
      </w:r>
    </w:p>
    <w:p>
      <w:r>
        <w:t>Nous n’autorisons pas les contenus qui :</w:t>
      </w:r>
    </w:p>
    <w:p>
      <w:pPr>
        <w:pStyle w:val="ListBullet"/>
      </w:pPr>
      <w:r>
        <w:t>Encouragent la haine, la déshumanisation ou la discrimination envers des personnes ou des groupes.</w:t>
      </w:r>
    </w:p>
    <w:p>
      <w:pPr>
        <w:pStyle w:val="ListBullet"/>
      </w:pPr>
      <w:r>
        <w:t>Comportent des menaces, des appels à la violence ou une glorification de violences ciblées destinée à les encourager.</w:t>
      </w:r>
    </w:p>
    <w:p>
      <w:pPr>
        <w:pStyle w:val="ListBullet"/>
      </w:pPr>
      <w:r>
        <w:t>Encouragent le harcèlement, l’intimidation ou l’exploitation.</w:t>
      </w:r>
    </w:p>
    <w:p>
      <w:pPr>
        <w:pStyle w:val="ListBullet"/>
      </w:pPr>
      <w:r>
        <w:t>Divulguent de manière abusive des renseignements personnels.</w:t>
      </w:r>
    </w:p>
    <w:p>
      <w:pPr>
        <w:pStyle w:val="ListBullet"/>
      </w:pPr>
      <w:r>
        <w:t>Présentent des informations frauduleuses, trompeuses ou des affirmations commerciales non justifiées.</w:t>
      </w:r>
    </w:p>
    <w:p>
      <w:pPr>
        <w:pStyle w:val="ListBullet"/>
      </w:pPr>
      <w:r>
        <w:t>Portent atteinte aux droits d’autrui, notamment à la propriété intellectuelle.</w:t>
      </w:r>
    </w:p>
    <w:p>
      <w:pPr>
        <w:pStyle w:val="ListBullet"/>
      </w:pPr>
      <w:r>
        <w:t>Font la promotion d’activités illégales ou présentent des destinations externes dangereuses.</w:t>
      </w:r>
    </w:p>
    <w:p>
      <w:pPr>
        <w:pStyle w:val="ListBullet"/>
      </w:pPr>
      <w:r>
        <w:t>Constituent une publicité électorale ou partisane commanditée exclue du programme.</w:t>
      </w:r>
    </w:p>
    <w:p>
      <w:pPr>
        <w:pStyle w:val="Heading2"/>
      </w:pPr>
      <w:r>
        <w:t>Liberté d’expression et contexte</w:t>
      </w:r>
    </w:p>
    <w:p>
      <w:r>
        <w:t>Une opinion controversée ou une critique politique, philosophique ou religieuse ne constitue pas à elle seule un motif de refus.</w:t>
      </w:r>
    </w:p>
    <w:p>
      <w:r>
        <w:t>Les citations, contenus éducatifs, journalistiques, historiques, artistiques ou satiriques sont examinés dans leur contexte. Une dénonciation de la haine n’est pas assimilée à sa promotion.</w:t>
      </w:r>
    </w:p>
    <w:p>
      <w:pPr>
        <w:pStyle w:val="Heading2"/>
      </w:pPr>
      <w:r>
        <w:t>Notre processus</w:t>
      </w:r>
    </w:p>
    <w:p>
      <w:r>
        <w:t>Chaque dossier fait l’objet d’une revue éditoriale humaine. Selon la situation, OpenG7 peut demander une correction, suspendre l’examen, refuser un élément particulier, refuser une commandite ou retirer un contenu déjà publié.</w:t>
      </w:r>
    </w:p>
    <w:p>
      <w:r>
        <w:t>Nous privilégions une correction lorsque celle-ci suffit à résoudre le problème.</w:t>
      </w:r>
    </w:p>
    <w:p>
      <w:r>
        <w:t>Une décision défavorable est accompagnée d’une explication compréhensible, sous réserve des limites nécessaires à la protection des personnes et à la confidentialité.</w:t>
      </w:r>
    </w:p>
    <w:p>
      <w:pPr>
        <w:pStyle w:val="Heading2"/>
      </w:pPr>
      <w:r>
        <w:t>Correction et réexamen</w:t>
      </w:r>
    </w:p>
    <w:p>
      <w:r>
        <w:t>Un commanditaire peut soumettre une correction ou demander un réexamen selon les modalités mises à sa disposition.</w:t>
      </w:r>
    </w:p>
    <w:p>
      <w:r>
        <w:t>Le réexamen est effectué par une personne autorisée et, pour les décisions graves contestées, par une personne distincte de celle ayant initialement statué.</w:t>
      </w:r>
    </w:p>
    <w:p>
      <w:r>
        <w:t>Une demande de réexamen ne rétablit pas automatiquement une autorisation de publication.</w:t>
      </w:r>
    </w:p>
    <w:p>
      <w:pPr>
        <w:pStyle w:val="Heading2"/>
      </w:pPr>
      <w:r>
        <w:t>Paiements et obligations contractuelles</w:t>
      </w:r>
    </w:p>
    <w:p>
      <w:r>
        <w:t>Le paiement, l’acceptation du dossier, l’approbation des médias, la visibilité publique et l’autorisation de publication sociale constituent des étapes distinctes.</w:t>
      </w:r>
    </w:p>
    <w:p>
      <w:r>
        <w:t>Tout refus fera l’objet d’un traitement financier séparé conformément aux conditions applicables et aux obligations légales. Un refus éditorial ne confirme pas, à lui seul, un remboursement ou son exclusion.</w:t>
      </w:r>
    </w:p>
    <w:p>
      <w:pPr>
        <w:pStyle w:val="Heading2"/>
      </w:pPr>
      <w:r>
        <w:t>Transparence et confidentialité</w:t>
      </w:r>
    </w:p>
    <w:p>
      <w:r>
        <w:t>OpenG7 conserve les éléments nécessaires à la justification, à la sécurité et à la vérification des décisions, selon des règles de confidentialité et de conservation appropriées.</w:t>
      </w:r>
    </w:p>
    <w:p>
      <w:r>
        <w:t>Les notes administratives internes ne sont pas automatiquement communiquées au commanditaire.</w:t>
      </w:r>
    </w:p>
    <w:p>
      <w:r>
        <w:t>Notre principe : protéger la dignité des personnes, préserver la diversité des idées et exercer nos responsabilités avec équité.</w:t>
      </w:r>
    </w:p>
    <w:p>
      <w:pPr>
        <w:pStyle w:val="Heading1"/>
      </w:pPr>
      <w:r>
        <w:t>4. Public charter — English version</w:t>
      </w:r>
    </w:p>
    <w:p>
      <w:pPr>
        <w:pStyle w:val="Heading2"/>
      </w:pPr>
      <w:r>
        <w:t>Editorial Integrity and Sponsorship Charter</w:t>
      </w:r>
    </w:p>
    <w:p>
      <w:r>
        <w:t>OpenG7 and OpenG20 — Proposed version 1.0</w:t>
      </w:r>
    </w:p>
    <w:p>
      <w:pPr>
        <w:pStyle w:val="Heading2"/>
      </w:pPr>
      <w:r>
        <w:t>Our commitment</w:t>
      </w:r>
    </w:p>
    <w:p>
      <w:r>
        <w:t>OpenG7 promotes dialogue, cooperation, innovation, and respect for human dignity. We welcome partners with diverse perspectives in an environment where open discussion is accompanied by responsibility toward others.</w:t>
      </w:r>
    </w:p>
    <w:p>
      <w:r>
        <w:t>Sponsorship does not imply OpenG7’s endorsement of a sponsor’s views or guarantee automatic publication.</w:t>
      </w:r>
    </w:p>
    <w:p>
      <w:pPr>
        <w:pStyle w:val="Heading2"/>
      </w:pPr>
      <w:r>
        <w:t>Scope</w:t>
      </w:r>
    </w:p>
    <w:p>
      <w:r>
        <w:t>This charter applies to submitted texts, displayed business names, logos, images, slogans, links, and publications associated with sponsorships, including content prepared for public recognition across OpenG7 and OpenG20 platforms.</w:t>
      </w:r>
    </w:p>
    <w:p>
      <w:pPr>
        <w:pStyle w:val="Heading2"/>
      </w:pPr>
      <w:r>
        <w:t>Unacceptable content</w:t>
      </w:r>
    </w:p>
    <w:p>
      <w:r>
        <w:t>We do not allow content that:</w:t>
      </w:r>
    </w:p>
    <w:p>
      <w:pPr>
        <w:pStyle w:val="ListBullet"/>
      </w:pPr>
      <w:r>
        <w:t>Promotes hatred, dehumanization, or discrimination against individuals or groups.</w:t>
      </w:r>
    </w:p>
    <w:p>
      <w:pPr>
        <w:pStyle w:val="ListBullet"/>
      </w:pPr>
      <w:r>
        <w:t>Contains threats, incitement to violence, or glorification of targeted violence intended to encourage further harm.</w:t>
      </w:r>
    </w:p>
    <w:p>
      <w:pPr>
        <w:pStyle w:val="ListBullet"/>
      </w:pPr>
      <w:r>
        <w:t>Encourages harassment, intimidation, or exploitation.</w:t>
      </w:r>
    </w:p>
    <w:p>
      <w:pPr>
        <w:pStyle w:val="ListBullet"/>
      </w:pPr>
      <w:r>
        <w:t>Improperly discloses private personal information.</w:t>
      </w:r>
    </w:p>
    <w:p>
      <w:pPr>
        <w:pStyle w:val="ListBullet"/>
      </w:pPr>
      <w:r>
        <w:t>Contains fraudulent, misleading, or unsubstantiated commercial claims.</w:t>
      </w:r>
    </w:p>
    <w:p>
      <w:pPr>
        <w:pStyle w:val="ListBullet"/>
      </w:pPr>
      <w:r>
        <w:t>Infringes on the rights of others, including intellectual property rights.</w:t>
      </w:r>
    </w:p>
    <w:p>
      <w:pPr>
        <w:pStyle w:val="ListBullet"/>
      </w:pPr>
      <w:r>
        <w:t>Promotes unlawful activities or links to dangerous external destinations.</w:t>
      </w:r>
    </w:p>
    <w:p>
      <w:pPr>
        <w:pStyle w:val="ListBullet"/>
      </w:pPr>
      <w:r>
        <w:t>Constitutes sponsored electoral or partisan advertising excluded from the program.</w:t>
      </w:r>
    </w:p>
    <w:p>
      <w:pPr>
        <w:pStyle w:val="Heading2"/>
      </w:pPr>
      <w:r>
        <w:t>Freedom of expression and context</w:t>
      </w:r>
    </w:p>
    <w:p>
      <w:r>
        <w:t>Controversial opinions or political, philosophical, and religious criticism are not, by themselves, grounds for rejection.</w:t>
      </w:r>
    </w:p>
    <w:p>
      <w:r>
        <w:t>Quotations and educational, journalistic, historical, artistic, or satirical content are reviewed in context. Condemning hatred is not treated as endorsing it.</w:t>
      </w:r>
    </w:p>
    <w:p>
      <w:pPr>
        <w:pStyle w:val="Heading2"/>
      </w:pPr>
      <w:r>
        <w:t>Our review process</w:t>
      </w:r>
    </w:p>
    <w:p>
      <w:r>
        <w:t>Every sponsorship undergoes human editorial review. Depending on the circumstances, OpenG7 may request corrections, pause a review, reject a specific item, reject a sponsorship, or remove previously published content.</w:t>
      </w:r>
    </w:p>
    <w:p>
      <w:r>
        <w:t>We prefer correction whenever it adequately resolves the issue.</w:t>
      </w:r>
    </w:p>
    <w:p>
      <w:r>
        <w:t>Adverse decisions include a meaningful explanation, subject to necessary safety and confidentiality safeguards.</w:t>
      </w:r>
    </w:p>
    <w:p>
      <w:pPr>
        <w:pStyle w:val="Heading2"/>
      </w:pPr>
      <w:r>
        <w:t>Corrections and appeals</w:t>
      </w:r>
    </w:p>
    <w:p>
      <w:r>
        <w:t>Sponsors may submit corrections or request reconsideration through the available procedures.</w:t>
      </w:r>
    </w:p>
    <w:p>
      <w:r>
        <w:t>Authorized personnel review appeals. Serious contested decisions are reviewed by someone other than the original decision-maker.</w:t>
      </w:r>
    </w:p>
    <w:p>
      <w:r>
        <w:t>Requesting reconsideration does not automatically reinstate publication approval.</w:t>
      </w:r>
    </w:p>
    <w:p>
      <w:pPr>
        <w:pStyle w:val="Heading2"/>
      </w:pPr>
      <w:r>
        <w:t>Payments and contractual obligations</w:t>
      </w:r>
    </w:p>
    <w:p>
      <w:r>
        <w:t>Payment, sponsorship eligibility, media approval, public visibility, and social publication authorization are separate stages.</w:t>
      </w:r>
    </w:p>
    <w:p>
      <w:r>
        <w:t>Financial consequences are assessed independently under the applicable contractual terms and legal obligations. An editorial rejection does not itself establish whether a refund is approved or unavailable.</w:t>
      </w:r>
    </w:p>
    <w:p>
      <w:pPr>
        <w:pStyle w:val="Heading2"/>
      </w:pPr>
      <w:r>
        <w:t>Transparency and privacy</w:t>
      </w:r>
    </w:p>
    <w:p>
      <w:r>
        <w:t>OpenG7 retains the information necessary to explain, secure, and audit its decisions, subject to appropriate confidentiality and retention requirements.</w:t>
      </w:r>
    </w:p>
    <w:p>
      <w:r>
        <w:t>Internal administrative notes are not automatically disclosed to sponsors.</w:t>
      </w:r>
    </w:p>
    <w:p>
      <w:r>
        <w:t>Our guiding principle: protect human dignity, preserve diversity of ideas, and exercise responsibility with fairness.</w:t>
      </w:r>
    </w:p>
    <w:p>
      <w:pPr>
        <w:pStyle w:val="Heading1"/>
      </w:pPr>
      <w:r>
        <w:t>5. Parcours de modération et de réexamen</w:t>
      </w:r>
    </w:p>
    <w:p>
      <w:pPr>
        <w:pStyle w:val="ListBullet"/>
      </w:pPr>
      <w:r>
        <w:t>Contenu soumis : texte, média, logo, slogan ou publication.</w:t>
      </w:r>
    </w:p>
    <w:p>
      <w:pPr>
        <w:pStyle w:val="ListBullet"/>
      </w:pPr>
      <w:r>
        <w:t>Contrôles automatiques : format, version, indicateurs de risque; aucune condamnation automatique.</w:t>
      </w:r>
    </w:p>
    <w:p>
      <w:pPr>
        <w:pStyle w:val="ListBullet"/>
      </w:pPr>
      <w:r>
        <w:t>Examen humain : contexte, proportionnalité et justification.</w:t>
      </w:r>
    </w:p>
    <w:p>
      <w:pPr>
        <w:pStyle w:val="ListBullet"/>
      </w:pPr>
      <w:r>
        <w:t>Décision : approuver, demander une correction, suspendre ou refuser.</w:t>
      </w:r>
    </w:p>
    <w:p>
      <w:pPr>
        <w:pStyle w:val="ListBullet"/>
      </w:pPr>
      <w:r>
        <w:t>Traçabilité : codes de motifs, version de contenu, version de politique, audit et explication externe.</w:t>
      </w:r>
    </w:p>
    <w:p>
      <w:pPr>
        <w:pStyle w:val="ListBullet"/>
      </w:pPr>
      <w:r>
        <w:t>Correction ou réexamen : nouvelle revue humaine, sans réautorisation automatique.</w:t>
      </w:r>
    </w:p>
    <w:p>
      <w:pPr>
        <w:pStyle w:val="Heading2"/>
      </w:pPr>
      <w:r>
        <w:t>Délais de service proposés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sz w:val="16"/>
              </w:rPr>
              <w:t>Événement</w:t>
            </w:r>
          </w:p>
        </w:tc>
        <w:tc>
          <w:tcPr>
            <w:tcW w:type="dxa" w:w="4968"/>
          </w:tcPr>
          <w:p>
            <w:r>
              <w:rPr>
                <w:sz w:val="16"/>
              </w:rPr>
              <w:t>Objectif interne proposé</w:t>
            </w:r>
          </w:p>
        </w:tc>
      </w:tr>
      <w:tr>
        <w:tc>
          <w:tcPr>
            <w:tcW w:type="dxa" w:w="4968"/>
          </w:tcPr>
          <w:p>
            <w:r>
              <w:rPr>
                <w:sz w:val="16"/>
              </w:rPr>
              <w:t>Accusé de réception</w:t>
            </w:r>
          </w:p>
        </w:tc>
        <w:tc>
          <w:tcPr>
            <w:tcW w:type="dxa" w:w="4968"/>
          </w:tcPr>
          <w:p>
            <w:r>
              <w:rPr>
                <w:sz w:val="16"/>
              </w:rPr>
              <w:t>Immédiat, automatisé</w:t>
            </w:r>
          </w:p>
        </w:tc>
      </w:tr>
      <w:tr>
        <w:tc>
          <w:tcPr>
            <w:tcW w:type="dxa" w:w="4968"/>
          </w:tcPr>
          <w:p>
            <w:r>
              <w:rPr>
                <w:sz w:val="16"/>
              </w:rPr>
              <w:t>Première revue ordinaire</w:t>
            </w:r>
          </w:p>
        </w:tc>
        <w:tc>
          <w:tcPr>
            <w:tcW w:type="dxa" w:w="4968"/>
          </w:tcPr>
          <w:p>
            <w:r>
              <w:rPr>
                <w:sz w:val="16"/>
              </w:rPr>
              <w:t>5 jours ouvrables</w:t>
            </w:r>
          </w:p>
        </w:tc>
      </w:tr>
      <w:tr>
        <w:tc>
          <w:tcPr>
            <w:tcW w:type="dxa" w:w="4968"/>
          </w:tcPr>
          <w:p>
            <w:r>
              <w:rPr>
                <w:sz w:val="16"/>
              </w:rPr>
              <w:t>Réception d’une correction</w:t>
            </w:r>
          </w:p>
        </w:tc>
        <w:tc>
          <w:tcPr>
            <w:tcW w:type="dxa" w:w="4968"/>
          </w:tcPr>
          <w:p>
            <w:r>
              <w:rPr>
                <w:sz w:val="16"/>
              </w:rPr>
              <w:t>5 jours ouvrables</w:t>
            </w:r>
          </w:p>
        </w:tc>
      </w:tr>
      <w:tr>
        <w:tc>
          <w:tcPr>
            <w:tcW w:type="dxa" w:w="4968"/>
          </w:tcPr>
          <w:p>
            <w:r>
              <w:rPr>
                <w:sz w:val="16"/>
              </w:rPr>
              <w:t>Demande de réexamen</w:t>
            </w:r>
          </w:p>
        </w:tc>
        <w:tc>
          <w:tcPr>
            <w:tcW w:type="dxa" w:w="4968"/>
          </w:tcPr>
          <w:p>
            <w:r>
              <w:rPr>
                <w:sz w:val="16"/>
              </w:rPr>
              <w:t>10 jours ouvrables</w:t>
            </w:r>
          </w:p>
        </w:tc>
      </w:tr>
      <w:tr>
        <w:tc>
          <w:tcPr>
            <w:tcW w:type="dxa" w:w="4968"/>
          </w:tcPr>
          <w:p>
            <w:r>
              <w:rPr>
                <w:sz w:val="16"/>
              </w:rPr>
              <w:t>Situation grave avec retrait</w:t>
            </w:r>
          </w:p>
        </w:tc>
        <w:tc>
          <w:tcPr>
            <w:tcW w:type="dxa" w:w="4968"/>
          </w:tcPr>
          <w:p>
            <w:r>
              <w:rPr>
                <w:sz w:val="16"/>
              </w:rPr>
              <w:t>Suspension ou masquage rapide; revue prioritaire</w:t>
            </w:r>
          </w:p>
        </w:tc>
      </w:tr>
    </w:tbl>
    <w:p/>
    <w:p>
      <w:r>
        <w:t>Objectifs de conception, non engagements publics confirmés; ne publier des délais qu’après confirmation de la capacité opérationnelle.</w:t>
      </w:r>
    </w:p>
    <w:p>
      <w:pPr>
        <w:pStyle w:val="Heading1"/>
      </w:pPr>
      <w:r>
        <w:t>6. Architecture fonctionnelle cible</w:t>
      </w:r>
    </w:p>
    <w:p>
      <w:r>
        <w:t>Créer un domaine transversal « Moderation Domain » : Policy Registry, Review Cases, Decision Records, Content Versions, Appeals et Audit Events. Il est consommé par Commandites, Médias, Publications sociales, Admin, Portail privé et Worker. Ne pas remplacer les états financiers, les consentements ou le journal d’audit existants.</w:t>
      </w:r>
    </w:p>
    <w:p>
      <w:pPr>
        <w:pStyle w:val="Heading2"/>
      </w:pPr>
      <w:r>
        <w:t>Contrat conceptuel de décision</w:t>
      </w:r>
    </w:p>
    <w:p>
      <w:pPr>
        <w:spacing w:after="0"/>
      </w:pPr>
      <w:r>
        <w:rPr>
          <w:rFonts w:ascii="Consolas" w:hAnsi="Consolas"/>
          <w:sz w:val="16"/>
        </w:rPr>
        <w:t>type ModerationDecision = {</w:t>
      </w:r>
    </w:p>
    <w:p>
      <w:pPr>
        <w:spacing w:after="0"/>
      </w:pPr>
      <w:r>
        <w:rPr>
          <w:rFonts w:ascii="Consolas" w:hAnsi="Consolas"/>
          <w:sz w:val="16"/>
        </w:rPr>
        <w:t xml:space="preserve">  id: string;</w:t>
      </w:r>
    </w:p>
    <w:p>
      <w:pPr>
        <w:spacing w:after="0"/>
      </w:pPr>
      <w:r>
        <w:rPr>
          <w:rFonts w:ascii="Consolas" w:hAnsi="Consolas"/>
          <w:sz w:val="16"/>
        </w:rPr>
        <w:t xml:space="preserve">  scope: "SPONSOR" | "MEDIA" | "PUBLICATION";</w:t>
      </w:r>
    </w:p>
    <w:p>
      <w:pPr>
        <w:spacing w:after="0"/>
      </w:pPr>
      <w:r>
        <w:rPr>
          <w:rFonts w:ascii="Consolas" w:hAnsi="Consolas"/>
          <w:sz w:val="16"/>
        </w:rPr>
        <w:t xml:space="preserve">  subjectId: string;</w:t>
      </w:r>
    </w:p>
    <w:p>
      <w:pPr>
        <w:spacing w:after="0"/>
      </w:pPr>
      <w:r>
        <w:rPr>
          <w:rFonts w:ascii="Consolas" w:hAnsi="Consolas"/>
          <w:sz w:val="16"/>
        </w:rPr>
        <w:t xml:space="preserve">  contentVersionId: string;</w:t>
      </w:r>
    </w:p>
    <w:p>
      <w:pPr>
        <w:spacing w:after="0"/>
      </w:pPr>
      <w:r>
        <w:rPr>
          <w:rFonts w:ascii="Consolas" w:hAnsi="Consolas"/>
          <w:sz w:val="16"/>
        </w:rPr>
        <w:t xml:space="preserve">  policyVersion: string;</w:t>
      </w:r>
    </w:p>
    <w:p>
      <w:pPr>
        <w:spacing w:after="0"/>
      </w:pPr>
      <w:r>
        <w:rPr>
          <w:rFonts w:ascii="Consolas" w:hAnsi="Consolas"/>
          <w:sz w:val="16"/>
        </w:rPr>
        <w:t xml:space="preserve">  outcome: "APPROVED" | "CORRECTION_REQUESTED" | "ON_HOLD" | "REJECTED" | "REMOVED";</w:t>
      </w:r>
    </w:p>
    <w:p>
      <w:pPr>
        <w:spacing w:after="0"/>
      </w:pPr>
      <w:r>
        <w:rPr>
          <w:rFonts w:ascii="Consolas" w:hAnsi="Consolas"/>
          <w:sz w:val="16"/>
        </w:rPr>
        <w:t xml:space="preserve">  primaryReasonCode: string | null;</w:t>
      </w:r>
    </w:p>
    <w:p>
      <w:pPr>
        <w:spacing w:after="0"/>
      </w:pPr>
      <w:r>
        <w:rPr>
          <w:rFonts w:ascii="Consolas" w:hAnsi="Consolas"/>
          <w:sz w:val="16"/>
        </w:rPr>
        <w:t xml:space="preserve">  secondaryReasonCodes: string[];</w:t>
      </w:r>
    </w:p>
    <w:p>
      <w:pPr>
        <w:spacing w:after="0"/>
      </w:pPr>
      <w:r>
        <w:rPr>
          <w:rFonts w:ascii="Consolas" w:hAnsi="Consolas"/>
          <w:sz w:val="16"/>
        </w:rPr>
        <w:t xml:space="preserve">  internalRationale: string | null;</w:t>
      </w:r>
    </w:p>
    <w:p>
      <w:pPr>
        <w:spacing w:after="0"/>
      </w:pPr>
      <w:r>
        <w:rPr>
          <w:rFonts w:ascii="Consolas" w:hAnsi="Consolas"/>
          <w:sz w:val="16"/>
        </w:rPr>
        <w:t xml:space="preserve">  externalExplanation: string | null;</w:t>
      </w:r>
    </w:p>
    <w:p>
      <w:pPr>
        <w:spacing w:after="0"/>
      </w:pPr>
      <w:r>
        <w:rPr>
          <w:rFonts w:ascii="Consolas" w:hAnsi="Consolas"/>
          <w:sz w:val="16"/>
        </w:rPr>
        <w:t xml:space="preserve">  reviewerId: string;</w:t>
      </w:r>
    </w:p>
    <w:p>
      <w:pPr>
        <w:spacing w:after="0"/>
      </w:pPr>
      <w:r>
        <w:rPr>
          <w:rFonts w:ascii="Consolas" w:hAnsi="Consolas"/>
          <w:sz w:val="16"/>
        </w:rPr>
        <w:t xml:space="preserve">  reviewedAt: string;</w:t>
      </w:r>
    </w:p>
    <w:p>
      <w:pPr>
        <w:spacing w:after="0"/>
      </w:pPr>
      <w:r>
        <w:rPr>
          <w:rFonts w:ascii="Consolas" w:hAnsi="Consolas"/>
          <w:sz w:val="16"/>
        </w:rPr>
        <w:t xml:space="preserve">  previousDecisionId: string | null;</w:t>
      </w:r>
    </w:p>
    <w:p>
      <w:pPr>
        <w:spacing w:after="0"/>
      </w:pPr>
      <w:r>
        <w:rPr>
          <w:rFonts w:ascii="Consolas" w:hAnsi="Consolas"/>
          <w:sz w:val="16"/>
        </w:rPr>
        <w:t>};</w:t>
      </w:r>
    </w:p>
    <w:p>
      <w:r>
        <w:t>Contrat conceptuel : Codex devra vérifier le schéma, les conventions, les rôles, les migrations et les sources de vérité existantes.</w:t>
      </w:r>
    </w:p>
    <w:p>
      <w:pPr>
        <w:pStyle w:val="Heading1"/>
      </w:pPr>
      <w:r>
        <w:t>7. Plan de mise en œuvre priorisé</w:t>
      </w:r>
    </w:p>
    <w:p>
      <w:pPr>
        <w:pStyle w:val="Heading2"/>
      </w:pPr>
      <w:r>
        <w:t>P0 — Sécuriser les décisions et la publication</w:t>
      </w:r>
    </w:p>
    <w:p>
      <w:r>
        <w:t>Motifs obligatoires côté serveur; version examinée; approbation valide au moment d’envoyer; tests de non-envoi après refus ou modification.</w:t>
      </w:r>
    </w:p>
    <w:p>
      <w:pPr>
        <w:pStyle w:val="Heading2"/>
      </w:pPr>
      <w:r>
        <w:t>P1 — Construire une expérience équitable</w:t>
      </w:r>
    </w:p>
    <w:p>
      <w:r>
        <w:t>Charte FR/EN avant paiement; acceptation versionnée; panneau admin; explications privées; corrections, notifications et suivi des recours.</w:t>
      </w:r>
    </w:p>
    <w:p>
      <w:pPr>
        <w:pStyle w:val="Heading2"/>
      </w:pPr>
      <w:r>
        <w:t>P2 — Renforcer la gouvernance</w:t>
      </w:r>
    </w:p>
    <w:p>
      <w:r>
        <w:t>Seconde revue; séparation des rôles; dossiers historiques; retraits; statistiques, audit et règles de conservation.</w:t>
      </w:r>
    </w:p>
    <w:p>
      <w:pPr>
        <w:pStyle w:val="Heading2"/>
      </w:pPr>
      <w:r>
        <w:t>P3 — Assistance intelligente</w:t>
      </w:r>
    </w:p>
    <w:p>
      <w:r>
        <w:t>Analyse FR/EN; OCR; analyse prudente des liens; priorisation des risques et mesure des faux positifs; recommandations jamais contraignantes.</w:t>
      </w:r>
    </w:p>
    <w:p>
      <w:r>
        <w:t>Traiter séparément le masquage OpenG7 et la suppression effective d’un contenu déjà diffusé sur Facebook ou LinkedIn.</w:t>
      </w:r>
    </w:p>
    <w:p>
      <w:pPr>
        <w:pStyle w:val="Heading1"/>
      </w:pPr>
      <w:r>
        <w:t>8. Corpus initial de tests d’acceptation</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sz w:val="16"/>
              </w:rPr>
              <w:t>Cas</w:t>
            </w:r>
          </w:p>
        </w:tc>
        <w:tc>
          <w:tcPr>
            <w:tcW w:type="dxa" w:w="4968"/>
          </w:tcPr>
          <w:p>
            <w:r>
              <w:rPr>
                <w:sz w:val="16"/>
              </w:rPr>
              <w:t>Résultat attendu</w:t>
            </w:r>
          </w:p>
        </w:tc>
      </w:tr>
      <w:tr>
        <w:tc>
          <w:tcPr>
            <w:tcW w:type="dxa" w:w="4968"/>
          </w:tcPr>
          <w:p>
            <w:r>
              <w:rPr>
                <w:sz w:val="16"/>
              </w:rPr>
              <w:t>Appel explicite à la violence</w:t>
            </w:r>
          </w:p>
        </w:tc>
        <w:tc>
          <w:tcPr>
            <w:tcW w:type="dxa" w:w="4968"/>
          </w:tcPr>
          <w:p>
            <w:r>
              <w:rPr>
                <w:sz w:val="16"/>
              </w:rPr>
              <w:t>Refus, examen humain et escalade adaptée</w:t>
            </w:r>
          </w:p>
        </w:tc>
      </w:tr>
      <w:tr>
        <w:tc>
          <w:tcPr>
            <w:tcW w:type="dxa" w:w="4968"/>
          </w:tcPr>
          <w:p>
            <w:r>
              <w:rPr>
                <w:sz w:val="16"/>
              </w:rPr>
              <w:t>Citation haineuse dénoncée</w:t>
            </w:r>
          </w:p>
        </w:tc>
        <w:tc>
          <w:tcPr>
            <w:tcW w:type="dxa" w:w="4968"/>
          </w:tcPr>
          <w:p>
            <w:r>
              <w:rPr>
                <w:sz w:val="16"/>
              </w:rPr>
              <w:t>Examen contextuel; pas de refus automatique</w:t>
            </w:r>
          </w:p>
        </w:tc>
      </w:tr>
      <w:tr>
        <w:tc>
          <w:tcPr>
            <w:tcW w:type="dxa" w:w="4968"/>
          </w:tcPr>
          <w:p>
            <w:r>
              <w:rPr>
                <w:sz w:val="16"/>
              </w:rPr>
              <w:t>Critique d’une politique publique</w:t>
            </w:r>
          </w:p>
        </w:tc>
        <w:tc>
          <w:tcPr>
            <w:tcW w:type="dxa" w:w="4968"/>
          </w:tcPr>
          <w:p>
            <w:r>
              <w:rPr>
                <w:sz w:val="16"/>
              </w:rPr>
              <w:t>Pas d’infraction présumée</w:t>
            </w:r>
          </w:p>
        </w:tc>
      </w:tr>
      <w:tr>
        <w:tc>
          <w:tcPr>
            <w:tcW w:type="dxa" w:w="4968"/>
          </w:tcPr>
          <w:p>
            <w:r>
              <w:rPr>
                <w:sz w:val="16"/>
              </w:rPr>
              <w:t>Logo refusé, dossier admissible</w:t>
            </w:r>
          </w:p>
        </w:tc>
        <w:tc>
          <w:tcPr>
            <w:tcW w:type="dxa" w:w="4968"/>
          </w:tcPr>
          <w:p>
            <w:r>
              <w:rPr>
                <w:sz w:val="16"/>
              </w:rPr>
              <w:t>Refus limité au logo</w:t>
            </w:r>
          </w:p>
        </w:tc>
      </w:tr>
      <w:tr>
        <w:tc>
          <w:tcPr>
            <w:tcW w:type="dxa" w:w="4968"/>
          </w:tcPr>
          <w:p>
            <w:r>
              <w:rPr>
                <w:sz w:val="16"/>
              </w:rPr>
              <w:t>Modification après approbation</w:t>
            </w:r>
          </w:p>
        </w:tc>
        <w:tc>
          <w:tcPr>
            <w:tcW w:type="dxa" w:w="4968"/>
          </w:tcPr>
          <w:p>
            <w:r>
              <w:rPr>
                <w:sz w:val="16"/>
              </w:rPr>
              <w:t>Ancienne approbation inutilisable</w:t>
            </w:r>
          </w:p>
        </w:tc>
      </w:tr>
      <w:tr>
        <w:tc>
          <w:tcPr>
            <w:tcW w:type="dxa" w:w="4968"/>
          </w:tcPr>
          <w:p>
            <w:r>
              <w:rPr>
                <w:sz w:val="16"/>
              </w:rPr>
              <w:t>Publication refusée avant worker</w:t>
            </w:r>
          </w:p>
        </w:tc>
        <w:tc>
          <w:tcPr>
            <w:tcW w:type="dxa" w:w="4968"/>
          </w:tcPr>
          <w:p>
            <w:r>
              <w:rPr>
                <w:sz w:val="16"/>
              </w:rPr>
              <w:t>Aucun envoi autorisé</w:t>
            </w:r>
          </w:p>
        </w:tc>
      </w:tr>
      <w:tr>
        <w:tc>
          <w:tcPr>
            <w:tcW w:type="dxa" w:w="4968"/>
          </w:tcPr>
          <w:p>
            <w:r>
              <w:rPr>
                <w:sz w:val="16"/>
              </w:rPr>
              <w:t>Erreur du fournisseur social</w:t>
            </w:r>
          </w:p>
        </w:tc>
        <w:tc>
          <w:tcPr>
            <w:tcW w:type="dxa" w:w="4968"/>
          </w:tcPr>
          <w:p>
            <w:r>
              <w:rPr>
                <w:sz w:val="16"/>
              </w:rPr>
              <w:t>Erreur externe, pas de motif éditorial inventé</w:t>
            </w:r>
          </w:p>
        </w:tc>
      </w:tr>
      <w:tr>
        <w:tc>
          <w:tcPr>
            <w:tcW w:type="dxa" w:w="4968"/>
          </w:tcPr>
          <w:p>
            <w:r>
              <w:rPr>
                <w:sz w:val="16"/>
              </w:rPr>
              <w:t>Recours déposé</w:t>
            </w:r>
          </w:p>
        </w:tc>
        <w:tc>
          <w:tcPr>
            <w:tcW w:type="dxa" w:w="4968"/>
          </w:tcPr>
          <w:p>
            <w:r>
              <w:rPr>
                <w:sz w:val="16"/>
              </w:rPr>
              <w:t>Blocage maintenu jusqu’à nouvelle approbation</w:t>
            </w:r>
          </w:p>
        </w:tc>
      </w:tr>
      <w:tr>
        <w:tc>
          <w:tcPr>
            <w:tcW w:type="dxa" w:w="4968"/>
          </w:tcPr>
          <w:p>
            <w:r>
              <w:rPr>
                <w:sz w:val="16"/>
              </w:rPr>
              <w:t>Deux demandes concurrentes</w:t>
            </w:r>
          </w:p>
        </w:tc>
        <w:tc>
          <w:tcPr>
            <w:tcW w:type="dxa" w:w="4968"/>
          </w:tcPr>
          <w:p>
            <w:r>
              <w:rPr>
                <w:sz w:val="16"/>
              </w:rPr>
              <w:t>Idempotence, pas de double envoi</w:t>
            </w:r>
          </w:p>
        </w:tc>
      </w:tr>
      <w:tr>
        <w:tc>
          <w:tcPr>
            <w:tcW w:type="dxa" w:w="4968"/>
          </w:tcPr>
          <w:p>
            <w:r>
              <w:rPr>
                <w:sz w:val="16"/>
              </w:rPr>
              <w:t>Refus sans motif</w:t>
            </w:r>
          </w:p>
        </w:tc>
        <w:tc>
          <w:tcPr>
            <w:tcW w:type="dxa" w:w="4968"/>
          </w:tcPr>
          <w:p>
            <w:r>
              <w:rPr>
                <w:sz w:val="16"/>
              </w:rPr>
              <w:t>Validation serveur échoue</w:t>
            </w:r>
          </w:p>
        </w:tc>
      </w:tr>
      <w:tr>
        <w:tc>
          <w:tcPr>
            <w:tcW w:type="dxa" w:w="4968"/>
          </w:tcPr>
          <w:p>
            <w:r>
              <w:rPr>
                <w:sz w:val="16"/>
              </w:rPr>
              <w:t>Consultation commanditaire</w:t>
            </w:r>
          </w:p>
        </w:tc>
        <w:tc>
          <w:tcPr>
            <w:tcW w:type="dxa" w:w="4968"/>
          </w:tcPr>
          <w:p>
            <w:r>
              <w:rPr>
                <w:sz w:val="16"/>
              </w:rPr>
              <w:t>Explication externe, notes internes protégées</w:t>
            </w:r>
          </w:p>
        </w:tc>
      </w:tr>
      <w:tr>
        <w:tc>
          <w:tcPr>
            <w:tcW w:type="dxa" w:w="4968"/>
          </w:tcPr>
          <w:p>
            <w:r>
              <w:rPr>
                <w:sz w:val="16"/>
              </w:rPr>
              <w:t>Ancien contenu sans décision versionnée</w:t>
            </w:r>
          </w:p>
        </w:tc>
        <w:tc>
          <w:tcPr>
            <w:tcW w:type="dxa" w:w="4968"/>
          </w:tcPr>
          <w:p>
            <w:r>
              <w:rPr>
                <w:sz w:val="16"/>
              </w:rPr>
              <w:t>Pas d’approbation fictive, migration documentée</w:t>
            </w:r>
          </w:p>
        </w:tc>
      </w:tr>
    </w:tbl>
    <w:p/>
    <w:p>
      <w:pPr>
        <w:pStyle w:val="Heading1"/>
      </w:pPr>
      <w:r>
        <w:t>9. Points juridiques et contractuels à valider</w:t>
      </w:r>
    </w:p>
    <w:p>
      <w:r>
        <w:t>Faire valider par un professionnel compétent selon les juridictions applicables : définition contractuelle de la commandite et des remboursements; admissibilité des personnes morales; haine et discrimination; publicité électorale et politique; publicité trompeuse; propriété intellectuelle; confidentialité, durée de conservation et droits des personnes; responsabilité liée aux retraits et aux publications sociales.</w:t>
      </w:r>
    </w:p>
    <w:p>
      <w:r>
        <w:t>Sources de référence pour la validation : Code criminel du Canada, art. 319 (laws-lois.justice.gc.ca); Charte québécoise des droits et libertés de la personne (legisquebec.gouv.qc.ca); Loi électorale du Canada; Loi sur la concurrence; Loi québécoise sur la protection des renseignements personnels dans le secteur privé; politiques applicables de Meta et LinkedIn. Ces références ne constituent pas un avis juridique.</w:t>
      </w:r>
    </w:p>
    <w:p>
      <w:pPr>
        <w:pStyle w:val="Heading1"/>
      </w:pPr>
      <w:r>
        <w:t>10. Mandat recommandé à Codex</w:t>
      </w:r>
    </w:p>
    <w:p>
      <w:pPr>
        <w:pStyle w:val="ListBullet"/>
      </w:pPr>
      <w:r>
        <w:t>Audit d’écart entre politique V1.0 et comportements réellement livrés.</w:t>
      </w:r>
    </w:p>
    <w:p>
      <w:pPr>
        <w:pStyle w:val="ListBullet"/>
      </w:pPr>
      <w:r>
        <w:t>Architecture et migrations sans duplication des entités existantes.</w:t>
      </w:r>
    </w:p>
    <w:p>
      <w:pPr>
        <w:pStyle w:val="ListBullet"/>
      </w:pPr>
      <w:r>
        <w:t>Plan P0 à P3 avec critères d’acceptation, impacts, risques et rollback.</w:t>
      </w:r>
    </w:p>
    <w:p>
      <w:pPr>
        <w:pStyle w:val="ListBullet"/>
      </w:pPr>
      <w:r>
        <w:t>Inventaire des API, écrans, workers, traductions et tests concernés.</w:t>
      </w:r>
    </w:p>
    <w:p>
      <w:pPr>
        <w:pStyle w:val="ListBullet"/>
      </w:pPr>
      <w:r>
        <w:t>Analyse des dossiers historiques, contenus déjà approuvés et risques de régression.</w:t>
      </w:r>
    </w:p>
    <w:p>
      <w:r>
        <w:t>Décision de gouvernance : cadrage technique autorisé. Charte publique et clauses contractuelles encore à valider. Exécuter P0 avant l’amélioration de l’expérience et toute automatisation intelligente.</w:t>
      </w:r>
    </w:p>
    <w:p>
      <w:r>
        <w:t>Principe final : le financement soutient la mission, mais ne doit jamais acheter le jugement éditorial.</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OpenG7 Funding Platform  •  Cadrage V1.0  •  Document de 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C365E"/>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2437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0C26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