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EB4F" w14:textId="36C154FE" w:rsidR="005C253A" w:rsidRPr="00935B52" w:rsidRDefault="00DE7823" w:rsidP="00AD67D4">
      <w:pPr>
        <w:pStyle w:val="NoSpacing"/>
        <w:rPr>
          <w:i/>
          <w:iCs/>
        </w:rPr>
      </w:pPr>
      <w:r w:rsidRPr="00935B52">
        <w:rPr>
          <w:i/>
          <w:iCs/>
        </w:rPr>
        <w:t xml:space="preserve">Today’s guest post introduces the multi-witness manuscript work of another of our summer paleography and codicology course students, </w:t>
      </w:r>
      <w:proofErr w:type="spellStart"/>
      <w:r w:rsidRPr="00935B52">
        <w:rPr>
          <w:i/>
          <w:iCs/>
        </w:rPr>
        <w:t>Modje</w:t>
      </w:r>
      <w:proofErr w:type="spellEnd"/>
      <w:r w:rsidRPr="00935B52">
        <w:rPr>
          <w:i/>
          <w:iCs/>
        </w:rPr>
        <w:t xml:space="preserve"> </w:t>
      </w:r>
      <w:proofErr w:type="spellStart"/>
      <w:r w:rsidRPr="00935B52">
        <w:rPr>
          <w:i/>
          <w:iCs/>
        </w:rPr>
        <w:t>Taavon</w:t>
      </w:r>
      <w:proofErr w:type="spellEnd"/>
      <w:r w:rsidRPr="00935B52">
        <w:rPr>
          <w:i/>
          <w:iCs/>
        </w:rPr>
        <w:t xml:space="preserve">. </w:t>
      </w:r>
    </w:p>
    <w:p w14:paraId="798B90DF" w14:textId="77777777" w:rsidR="00DE7823" w:rsidRDefault="00DE7823" w:rsidP="00AD67D4">
      <w:pPr>
        <w:pStyle w:val="NoSpacing"/>
      </w:pPr>
    </w:p>
    <w:p w14:paraId="4FF3D402" w14:textId="77777777" w:rsidR="00DE7823" w:rsidRDefault="00DE7823" w:rsidP="00DE7823">
      <w:pPr>
        <w:jc w:val="center"/>
      </w:pPr>
      <w:r>
        <w:t>___________________________</w:t>
      </w:r>
    </w:p>
    <w:p w14:paraId="6D4136C4" w14:textId="458D11E2" w:rsidR="00DE7823" w:rsidRDefault="00DE7823" w:rsidP="00AD67D4">
      <w:pPr>
        <w:pStyle w:val="NoSpacing"/>
      </w:pPr>
    </w:p>
    <w:p w14:paraId="05E55ACE" w14:textId="4099A686" w:rsidR="0082539B" w:rsidRDefault="0082539B" w:rsidP="00935B52">
      <w:pPr>
        <w:pStyle w:val="NoSpacing"/>
        <w:jc w:val="both"/>
      </w:pPr>
      <w:r>
        <w:t xml:space="preserve">Layla, </w:t>
      </w:r>
      <w:r w:rsidR="00CC6CF7">
        <w:t>y</w:t>
      </w:r>
      <w:r>
        <w:t xml:space="preserve">ou’ve got me on my </w:t>
      </w:r>
      <w:proofErr w:type="gramStart"/>
      <w:r>
        <w:t>knees</w:t>
      </w:r>
      <w:proofErr w:type="gramEnd"/>
      <w:r w:rsidR="00DE7823">
        <w:t xml:space="preserve"> </w:t>
      </w:r>
    </w:p>
    <w:p w14:paraId="39363335" w14:textId="6D1E3074" w:rsidR="0082539B" w:rsidRDefault="0082539B" w:rsidP="00935B52">
      <w:pPr>
        <w:pStyle w:val="NoSpacing"/>
        <w:jc w:val="both"/>
      </w:pPr>
      <w:r>
        <w:t xml:space="preserve">Layla, I’m begging, darling </w:t>
      </w:r>
      <w:proofErr w:type="gramStart"/>
      <w:r>
        <w:t>please</w:t>
      </w:r>
      <w:proofErr w:type="gramEnd"/>
    </w:p>
    <w:p w14:paraId="3E87D529" w14:textId="00ED6FCC" w:rsidR="0082539B" w:rsidRDefault="0082539B" w:rsidP="00935B52">
      <w:pPr>
        <w:pStyle w:val="NoSpacing"/>
        <w:jc w:val="both"/>
      </w:pPr>
      <w:r>
        <w:t xml:space="preserve">Layla, </w:t>
      </w:r>
      <w:r w:rsidR="00CC6CF7">
        <w:t>d</w:t>
      </w:r>
      <w:r>
        <w:t xml:space="preserve">arling, won’t you ease my worried </w:t>
      </w:r>
      <w:proofErr w:type="gramStart"/>
      <w:r>
        <w:t>mind</w:t>
      </w:r>
      <w:proofErr w:type="gramEnd"/>
    </w:p>
    <w:p w14:paraId="5C51A3D7" w14:textId="77777777" w:rsidR="00DE7823" w:rsidRDefault="00DE7823" w:rsidP="00935B52">
      <w:pPr>
        <w:pStyle w:val="NoSpacing"/>
        <w:jc w:val="both"/>
      </w:pPr>
    </w:p>
    <w:p w14:paraId="60AED6FA" w14:textId="44836137" w:rsidR="0082539B" w:rsidRPr="0082539B" w:rsidRDefault="0082539B" w:rsidP="00935B52">
      <w:pPr>
        <w:pStyle w:val="NoSpacing"/>
        <w:jc w:val="both"/>
      </w:pPr>
      <w:r>
        <w:t>“Layla,” Derek &amp; The Dominos (1970)</w:t>
      </w:r>
    </w:p>
    <w:p w14:paraId="00E33F5C" w14:textId="77777777" w:rsidR="00F1329F" w:rsidRPr="00031322" w:rsidRDefault="00F1329F" w:rsidP="00935B52">
      <w:pPr>
        <w:pStyle w:val="NoSpacing"/>
        <w:jc w:val="both"/>
      </w:pPr>
    </w:p>
    <w:p w14:paraId="32E644B6" w14:textId="3D8C25BD" w:rsidR="00A352D4" w:rsidRPr="00935B52" w:rsidRDefault="00A352D4" w:rsidP="00935B52">
      <w:pPr>
        <w:pStyle w:val="NoSpacing"/>
        <w:jc w:val="both"/>
        <w:rPr>
          <w:i/>
          <w:iCs/>
          <w:lang w:val="fr-FR"/>
        </w:rPr>
      </w:pPr>
      <w:r w:rsidRPr="00935B52">
        <w:rPr>
          <w:lang w:val="fr-FR"/>
        </w:rPr>
        <w:t xml:space="preserve">i. </w:t>
      </w:r>
      <w:proofErr w:type="gramStart"/>
      <w:r w:rsidRPr="00935B52">
        <w:rPr>
          <w:lang w:val="fr-FR"/>
        </w:rPr>
        <w:t>Introduction:</w:t>
      </w:r>
      <w:proofErr w:type="gramEnd"/>
      <w:r w:rsidRPr="00935B52">
        <w:rPr>
          <w:lang w:val="fr-FR"/>
        </w:rPr>
        <w:t xml:space="preserve"> </w:t>
      </w:r>
      <w:proofErr w:type="spellStart"/>
      <w:r w:rsidRPr="00935B52">
        <w:rPr>
          <w:lang w:val="fr-FR"/>
        </w:rPr>
        <w:t>Niẓāmī</w:t>
      </w:r>
      <w:proofErr w:type="spellEnd"/>
      <w:r w:rsidRPr="00935B52">
        <w:rPr>
          <w:lang w:val="fr-FR"/>
        </w:rPr>
        <w:t xml:space="preserve"> </w:t>
      </w:r>
      <w:proofErr w:type="spellStart"/>
      <w:r w:rsidRPr="00935B52">
        <w:rPr>
          <w:lang w:val="fr-FR"/>
        </w:rPr>
        <w:t>Ganjavī’s</w:t>
      </w:r>
      <w:proofErr w:type="spellEnd"/>
      <w:r w:rsidRPr="00935B52">
        <w:rPr>
          <w:lang w:val="fr-FR"/>
        </w:rPr>
        <w:t xml:space="preserve"> </w:t>
      </w:r>
      <w:proofErr w:type="spellStart"/>
      <w:r w:rsidRPr="00935B52">
        <w:rPr>
          <w:i/>
          <w:iCs/>
          <w:lang w:val="fr-FR"/>
        </w:rPr>
        <w:t>Laylī</w:t>
      </w:r>
      <w:proofErr w:type="spellEnd"/>
      <w:r w:rsidRPr="00935B52">
        <w:rPr>
          <w:i/>
          <w:iCs/>
          <w:lang w:val="fr-FR"/>
        </w:rPr>
        <w:t xml:space="preserve">-u </w:t>
      </w:r>
      <w:proofErr w:type="spellStart"/>
      <w:r w:rsidRPr="00935B52">
        <w:rPr>
          <w:i/>
          <w:iCs/>
          <w:lang w:val="fr-FR"/>
        </w:rPr>
        <w:t>Majnūn</w:t>
      </w:r>
      <w:proofErr w:type="spellEnd"/>
      <w:r w:rsidRPr="00935B52">
        <w:rPr>
          <w:i/>
          <w:iCs/>
          <w:lang w:val="fr-FR"/>
        </w:rPr>
        <w:t xml:space="preserve"> </w:t>
      </w:r>
    </w:p>
    <w:p w14:paraId="6857F926" w14:textId="709927AE" w:rsidR="00A352D4" w:rsidRPr="00935B52" w:rsidRDefault="00A352D4" w:rsidP="00935B52">
      <w:pPr>
        <w:pStyle w:val="NoSpacing"/>
        <w:jc w:val="both"/>
        <w:rPr>
          <w:lang w:val="fr-FR"/>
        </w:rPr>
      </w:pPr>
    </w:p>
    <w:p w14:paraId="47D67475" w14:textId="1A6DB78C" w:rsidR="00F1329F" w:rsidRDefault="00F1329F" w:rsidP="00935B52">
      <w:pPr>
        <w:pStyle w:val="NoSpacing"/>
        <w:jc w:val="both"/>
      </w:pPr>
      <w:proofErr w:type="spellStart"/>
      <w:r w:rsidRPr="00F1329F">
        <w:t>Niẓāmī</w:t>
      </w:r>
      <w:proofErr w:type="spellEnd"/>
      <w:r w:rsidRPr="00F1329F">
        <w:t xml:space="preserve"> </w:t>
      </w:r>
      <w:proofErr w:type="spellStart"/>
      <w:r w:rsidRPr="00F1329F">
        <w:t>Ganjavī’s</w:t>
      </w:r>
      <w:proofErr w:type="spellEnd"/>
      <w:r w:rsidRPr="00F1329F">
        <w:t xml:space="preserve"> </w:t>
      </w:r>
      <w:proofErr w:type="spellStart"/>
      <w:r w:rsidRPr="00F1329F">
        <w:rPr>
          <w:i/>
          <w:iCs/>
        </w:rPr>
        <w:t>Laylī</w:t>
      </w:r>
      <w:proofErr w:type="spellEnd"/>
      <w:r w:rsidRPr="00F1329F">
        <w:rPr>
          <w:i/>
          <w:iCs/>
        </w:rPr>
        <w:t xml:space="preserve">-u </w:t>
      </w:r>
      <w:proofErr w:type="spellStart"/>
      <w:r w:rsidRPr="00F1329F">
        <w:rPr>
          <w:i/>
          <w:iCs/>
        </w:rPr>
        <w:t>Majnūn</w:t>
      </w:r>
      <w:proofErr w:type="spellEnd"/>
      <w:r w:rsidRPr="00F1329F">
        <w:t xml:space="preserve"> is a twelfth century long-form narrative Persian poem, adapted from the </w:t>
      </w:r>
      <w:r w:rsidR="004212A4">
        <w:t xml:space="preserve">seventh century </w:t>
      </w:r>
      <w:r w:rsidRPr="00F1329F">
        <w:t xml:space="preserve">Arabic story “Majnūn-Laylā” or “Qays-Laylā”. It is the third of five poems which make up Niẓāmī’s </w:t>
      </w:r>
      <w:r w:rsidRPr="00F1329F">
        <w:rPr>
          <w:i/>
          <w:iCs/>
        </w:rPr>
        <w:t>Khamsa</w:t>
      </w:r>
      <w:r w:rsidR="00FF2410" w:rsidRPr="00031322">
        <w:t xml:space="preserve"> </w:t>
      </w:r>
      <w:r w:rsidRPr="00031322">
        <w:t>or “Quintet</w:t>
      </w:r>
      <w:r w:rsidR="0082539B">
        <w:t>,</w:t>
      </w:r>
      <w:r w:rsidRPr="00031322">
        <w:t>”</w:t>
      </w:r>
      <w:r w:rsidR="00FF2410" w:rsidRPr="00031322">
        <w:t xml:space="preserve"> also known by the title </w:t>
      </w:r>
      <w:r w:rsidR="00FF2410" w:rsidRPr="00031322">
        <w:rPr>
          <w:i/>
          <w:iCs/>
        </w:rPr>
        <w:t>Panj Ganj</w:t>
      </w:r>
      <w:r w:rsidR="00FF2410" w:rsidRPr="00031322">
        <w:t>, “The Five Treasures</w:t>
      </w:r>
      <w:r w:rsidR="0082539B">
        <w:t>,</w:t>
      </w:r>
      <w:r w:rsidR="00FF2410" w:rsidRPr="00031322">
        <w:t>”</w:t>
      </w:r>
      <w:r w:rsidRPr="00031322">
        <w:t xml:space="preserve"> </w:t>
      </w:r>
      <w:r w:rsidR="0082539B">
        <w:t>and i</w:t>
      </w:r>
      <w:r w:rsidRPr="00F1329F">
        <w:t xml:space="preserve">t is made up for about 4600 distiches. </w:t>
      </w:r>
      <w:r w:rsidR="00FF2410" w:rsidRPr="00F1329F">
        <w:rPr>
          <w:i/>
          <w:iCs/>
        </w:rPr>
        <w:t>Laylī-u Majnūn</w:t>
      </w:r>
      <w:r w:rsidR="00FF2410" w:rsidRPr="00031322">
        <w:t xml:space="preserve"> </w:t>
      </w:r>
      <w:r w:rsidRPr="00F1329F">
        <w:t xml:space="preserve">is a tragic romance about the doomed love between a couple whose fathers disallow their union. </w:t>
      </w:r>
      <w:r w:rsidR="00031322">
        <w:t xml:space="preserve">As </w:t>
      </w:r>
      <w:r w:rsidR="00031322" w:rsidRPr="00031322">
        <w:t xml:space="preserve">Majnūn’s </w:t>
      </w:r>
      <w:r w:rsidR="0082539B">
        <w:t>intense</w:t>
      </w:r>
      <w:r w:rsidR="00031322">
        <w:t xml:space="preserve"> love for Laylī </w:t>
      </w:r>
      <w:r w:rsidR="0082539B">
        <w:t>consumes</w:t>
      </w:r>
      <w:r w:rsidR="00031322">
        <w:t xml:space="preserve"> him, he descends into </w:t>
      </w:r>
      <w:r w:rsidR="004A1ABE">
        <w:t xml:space="preserve">madness and </w:t>
      </w:r>
      <w:r w:rsidR="00FF2410" w:rsidRPr="00031322">
        <w:t xml:space="preserve">Niẓāmī’s poem </w:t>
      </w:r>
      <w:r w:rsidR="0082539B">
        <w:t>explores themes of love, longing, and the struggles between personal desires and societal norms</w:t>
      </w:r>
      <w:r w:rsidR="004A1ABE">
        <w:t xml:space="preserve">. More importantly, </w:t>
      </w:r>
      <w:r w:rsidR="004A1ABE" w:rsidRPr="00F1329F">
        <w:rPr>
          <w:i/>
          <w:iCs/>
        </w:rPr>
        <w:t>Laylī-u Majnūn</w:t>
      </w:r>
      <w:r w:rsidR="004A1ABE" w:rsidRPr="00F1329F">
        <w:t xml:space="preserve"> </w:t>
      </w:r>
      <w:r w:rsidR="004A1ABE">
        <w:t>is a layered tale that</w:t>
      </w:r>
      <w:r w:rsidR="00AC52C4">
        <w:t xml:space="preserve"> is also a Sufi allegory, reflecting themes such as the annihilation of the self, the rejection of worldly attachments, longing and separation, </w:t>
      </w:r>
      <w:r w:rsidR="004212A4">
        <w:t xml:space="preserve">and </w:t>
      </w:r>
      <w:r w:rsidR="00AC52C4">
        <w:t xml:space="preserve">union and ecstasy. </w:t>
      </w:r>
      <w:r w:rsidR="00B42B43" w:rsidRPr="008A67A7">
        <w:t xml:space="preserve">If the broad strokes of the sentiments behind </w:t>
      </w:r>
      <w:r w:rsidR="00B42B43" w:rsidRPr="008A67A7">
        <w:rPr>
          <w:i/>
          <w:iCs/>
        </w:rPr>
        <w:t xml:space="preserve">Laylī-u Majnūn </w:t>
      </w:r>
      <w:r w:rsidR="00B42B43" w:rsidRPr="008A67A7">
        <w:t xml:space="preserve">seem familiar, it is </w:t>
      </w:r>
      <w:r w:rsidR="00213E93" w:rsidRPr="008A67A7">
        <w:t xml:space="preserve">no doubt </w:t>
      </w:r>
      <w:r w:rsidR="00B42B43" w:rsidRPr="008A67A7">
        <w:t xml:space="preserve">because Niẓāmī’s treatment of the tale forms the basis of Eric Clapton’s </w:t>
      </w:r>
      <w:r w:rsidR="00580477" w:rsidRPr="008A67A7">
        <w:t xml:space="preserve">song </w:t>
      </w:r>
      <w:r w:rsidR="00B42B43" w:rsidRPr="008A67A7">
        <w:t>“Layla”</w:t>
      </w:r>
      <w:r w:rsidR="00213E93" w:rsidRPr="008A67A7">
        <w:t xml:space="preserve">—the iconic riff and Clapton’s lyrics a modern-day re-telling of </w:t>
      </w:r>
      <w:r w:rsidR="00213E93" w:rsidRPr="008A67A7">
        <w:rPr>
          <w:lang w:val="x-none"/>
        </w:rPr>
        <w:t>Majnūn’s longing for his Laylī</w:t>
      </w:r>
      <w:r w:rsidR="00580477" w:rsidRPr="008A67A7">
        <w:t>.</w:t>
      </w:r>
    </w:p>
    <w:p w14:paraId="56E0A90D" w14:textId="77777777" w:rsidR="00AD67D4" w:rsidRDefault="00AD67D4" w:rsidP="00AD67D4">
      <w:pPr>
        <w:pStyle w:val="NoSpacing"/>
      </w:pPr>
    </w:p>
    <w:p w14:paraId="7A8B86E5" w14:textId="55C2EED5" w:rsidR="00AD67D4" w:rsidRDefault="00AD67D4" w:rsidP="00AD67D4">
      <w:pPr>
        <w:pStyle w:val="NoSpacing"/>
        <w:jc w:val="center"/>
      </w:pPr>
      <w:r>
        <w:rPr>
          <w:noProof/>
        </w:rPr>
        <w:drawing>
          <wp:inline distT="0" distB="0" distL="0" distR="0" wp14:anchorId="32515418" wp14:editId="7513FA14">
            <wp:extent cx="2592705" cy="2743200"/>
            <wp:effectExtent l="0" t="0" r="0" b="0"/>
            <wp:docPr id="1023165082" name="Picture 3" descr="A painting of people in turbans and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65082" name="Picture 3" descr="A painting of people in turbans and a dog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7C3" w14:textId="77777777" w:rsidR="00AD67D4" w:rsidRDefault="00AD67D4" w:rsidP="00AD67D4">
      <w:pPr>
        <w:pStyle w:val="NoSpacing"/>
      </w:pPr>
    </w:p>
    <w:p w14:paraId="2E59853A" w14:textId="77777777" w:rsidR="00AD67D4" w:rsidRDefault="008B65A0" w:rsidP="00AD67D4">
      <w:pPr>
        <w:pStyle w:val="NoSpacing"/>
        <w:jc w:val="center"/>
      </w:pPr>
      <w:r w:rsidRPr="008B65A0">
        <w:t xml:space="preserve">The death of </w:t>
      </w:r>
      <w:proofErr w:type="spellStart"/>
      <w:r w:rsidR="00A23CD8" w:rsidRPr="008B65A0">
        <w:t>Laylī</w:t>
      </w:r>
      <w:proofErr w:type="spellEnd"/>
      <w:r w:rsidRPr="008B65A0">
        <w:t xml:space="preserve"> and </w:t>
      </w:r>
      <w:proofErr w:type="spellStart"/>
      <w:r w:rsidR="00A23CD8" w:rsidRPr="008B65A0">
        <w:t>Majnūn</w:t>
      </w:r>
      <w:proofErr w:type="spellEnd"/>
      <w:r w:rsidRPr="008B65A0">
        <w:t>, Bodleian Library MS. Elliot 192, fol. 150a.</w:t>
      </w:r>
    </w:p>
    <w:p w14:paraId="44FB9AE2" w14:textId="3EBB3127" w:rsidR="00156874" w:rsidRPr="00DA5928" w:rsidRDefault="00156874" w:rsidP="00AD67D4">
      <w:pPr>
        <w:pStyle w:val="NoSpacing"/>
        <w:jc w:val="center"/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7F7FC467" w14:textId="77777777" w:rsidR="00F1329F" w:rsidRPr="00031322" w:rsidRDefault="00F1329F" w:rsidP="00AD67D4">
      <w:pPr>
        <w:pStyle w:val="NoSpacing"/>
      </w:pPr>
    </w:p>
    <w:p w14:paraId="57E2B9CA" w14:textId="2B6C32A4" w:rsidR="00031322" w:rsidRDefault="00031322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lastRenderedPageBreak/>
        <w:t>The majority of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the copies of Niẓāmī’s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 xml:space="preserve">Laylī-u Majnūn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that I have come across do not exist as stand-alone works—instead, they are contained within the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>Khamsa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Niẓāmī’s poem is one of the </w:t>
      </w: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most commonly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copied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examples of </w:t>
      </w:r>
      <w:r w:rsidR="00A23CD8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Classical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>Persian poetry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and the number of extant manuscripts is a testament to this fact. The Union Catalogue of Manuscripts from the Islamicate World alone lists </w:t>
      </w:r>
      <w:hyperlink r:id="rId5" w:history="1">
        <w:r w:rsidRPr="00031322">
          <w:rPr>
            <w:rStyle w:val="Hyperlink"/>
            <w:rFonts w:asciiTheme="majorBidi" w:hAnsiTheme="majorBidi" w:cstheme="majorBidi"/>
            <w:b w:val="0"/>
            <w:bCs w:val="0"/>
            <w:sz w:val="24"/>
            <w:szCs w:val="24"/>
          </w:rPr>
          <w:t>28 manuscripts</w:t>
        </w:r>
      </w:hyperlink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from Southwest, Central, and South Asia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, ranging from the fifteenth through the eighteenth centuries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The most interesting aspect of a text such as this is that as widespread as it is, there is a great deal of variation. The three witnesses I am employing show a great deal of shifting of sections, inversions of lines, and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 like. </w:t>
      </w:r>
    </w:p>
    <w:p w14:paraId="476D9D94" w14:textId="77777777" w:rsidR="00A352D4" w:rsidRDefault="00A352D4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14:paraId="5AD86FAD" w14:textId="047A84CD" w:rsidR="00A352D4" w:rsidRDefault="00A352D4" w:rsidP="00AD67D4">
      <w:pPr>
        <w:pStyle w:val="NoSpacing"/>
        <w:rPr>
          <w:i/>
          <w:iCs/>
        </w:rPr>
      </w:pPr>
      <w:r>
        <w:t xml:space="preserve">ii. </w:t>
      </w:r>
      <w:r w:rsidR="008B65A0">
        <w:t>Witnesses of</w:t>
      </w:r>
      <w:r w:rsidR="00B42B43">
        <w:t xml:space="preserve"> </w:t>
      </w:r>
      <w:r w:rsidR="00580477">
        <w:rPr>
          <w:i/>
          <w:iCs/>
        </w:rPr>
        <w:t>Laylī-u Majnūn</w:t>
      </w:r>
    </w:p>
    <w:p w14:paraId="46FD7141" w14:textId="77777777" w:rsidR="00580477" w:rsidRDefault="00580477" w:rsidP="00AD67D4">
      <w:pPr>
        <w:pStyle w:val="NoSpacing"/>
      </w:pPr>
    </w:p>
    <w:p w14:paraId="0BC98CD1" w14:textId="17EB25BA" w:rsidR="009777E4" w:rsidRDefault="00580477" w:rsidP="00AD67D4">
      <w:pPr>
        <w:pStyle w:val="NoSpacing"/>
        <w:rPr>
          <w:rFonts w:asciiTheme="majorBidi" w:hAnsiTheme="majorBidi" w:cstheme="majorBidi"/>
          <w:szCs w:val="24"/>
        </w:rPr>
      </w:pPr>
      <w:r>
        <w:t xml:space="preserve">This summer, I selected three digitized manuscript copies of </w:t>
      </w:r>
      <w:r>
        <w:rPr>
          <w:i/>
          <w:iCs/>
        </w:rPr>
        <w:t>Laylī-u Majnūn</w:t>
      </w:r>
      <w:r>
        <w:t>: an early sixteenth century manuscript held by Oxford’s Bodleian Library (</w:t>
      </w:r>
      <w:hyperlink r:id="rId6" w:history="1">
        <w:r w:rsidRPr="001431D2">
          <w:rPr>
            <w:rStyle w:val="Hyperlink"/>
            <w:rFonts w:eastAsia="Times New Roman"/>
            <w:kern w:val="0"/>
            <w14:ligatures w14:val="none"/>
          </w:rPr>
          <w:t>MS. Elliot 192</w:t>
        </w:r>
      </w:hyperlink>
      <w:r w:rsidRPr="00580477">
        <w:rPr>
          <w:rFonts w:eastAsia="Times New Roman"/>
          <w:kern w:val="0"/>
          <w14:ligatures w14:val="none"/>
        </w:rPr>
        <w:t>),</w:t>
      </w:r>
      <w:r>
        <w:rPr>
          <w:rFonts w:eastAsia="Times New Roman"/>
          <w:kern w:val="0"/>
          <w14:ligatures w14:val="none"/>
        </w:rPr>
        <w:t xml:space="preserve"> an early eighteenth century manuscript held by the State Library of Berlin </w:t>
      </w:r>
      <w:r w:rsidRPr="00580477">
        <w:rPr>
          <w:rFonts w:eastAsia="Times New Roman"/>
          <w:kern w:val="0"/>
          <w14:ligatures w14:val="none"/>
        </w:rPr>
        <w:t>(</w:t>
      </w:r>
      <w:proofErr w:type="spellStart"/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begin"/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instrText>HYPERLINK "https://mirador.staatsbibliothek-berlin.de/?manifest=https://content.staatsbibliothek-berlin.de/dc/767873440/manifest"</w:instrTex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separate"/>
      </w:r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>SzB</w:t>
      </w:r>
      <w:proofErr w:type="spellEnd"/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 xml:space="preserve"> Ms. or. fol. 107</w: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end"/>
      </w:r>
      <w:r w:rsidRPr="00580477">
        <w:rPr>
          <w:rFonts w:eastAsia="Times New Roman" w:cs="Times New Roman"/>
          <w:color w:val="000000"/>
          <w:kern w:val="0"/>
          <w:lang w:bidi="fa-IR"/>
          <w14:ligatures w14:val="none"/>
        </w:rPr>
        <w:t>)</w:t>
      </w:r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, and an </w:t>
      </w:r>
      <w:proofErr w:type="gramStart"/>
      <w:r>
        <w:rPr>
          <w:rFonts w:eastAsia="Times New Roman" w:cs="Times New Roman"/>
          <w:color w:val="000000"/>
          <w:kern w:val="0"/>
          <w:lang w:bidi="fa-IR"/>
          <w14:ligatures w14:val="none"/>
        </w:rPr>
        <w:t>early  nineteenth</w:t>
      </w:r>
      <w:proofErr w:type="gramEnd"/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century manuscript held by the Library of Congress (</w:t>
      </w:r>
      <w:hyperlink r:id="rId7" w:history="1">
        <w:r w:rsidRPr="001431D2">
          <w:rPr>
            <w:rStyle w:val="Hyperlink"/>
            <w:rFonts w:eastAsia="Times New Roman" w:cs="Times New Roman"/>
            <w:kern w:val="0"/>
            <w:lang w:bidi="fa-IR"/>
            <w14:ligatures w14:val="none"/>
          </w:rPr>
          <w:t>LoC M19</w:t>
        </w:r>
      </w:hyperlink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). 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MS. Elliot 192 contains a date </w:t>
      </w:r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statement in the colophon written in Arabic: “Saturday, 22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Muḥarram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ḥarām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, in the year 907” [17 August 1501 CE] and the scribe’s name is given as al-Shīrāzī.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</w:t>
      </w:r>
      <w:r w:rsidR="005063FC">
        <w:rPr>
          <w:rFonts w:asciiTheme="majorBidi" w:hAnsiTheme="majorBidi" w:cstheme="majorBidi"/>
          <w:szCs w:val="24"/>
        </w:rPr>
        <w:t>The i</w:t>
      </w:r>
      <w:r w:rsidR="005063FC" w:rsidRPr="004212A4">
        <w:rPr>
          <w:rFonts w:asciiTheme="majorBidi" w:hAnsiTheme="majorBidi" w:cstheme="majorBidi"/>
          <w:szCs w:val="24"/>
        </w:rPr>
        <w:t xml:space="preserve">nside front cover </w:t>
      </w:r>
      <w:r w:rsidR="005063FC">
        <w:rPr>
          <w:rFonts w:asciiTheme="majorBidi" w:hAnsiTheme="majorBidi" w:cstheme="majorBidi"/>
          <w:szCs w:val="24"/>
        </w:rPr>
        <w:t xml:space="preserve">of </w:t>
      </w:r>
      <w:proofErr w:type="spellStart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>SzB</w:t>
      </w:r>
      <w:proofErr w:type="spellEnd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Ms. or. fol. 107 </w:t>
      </w:r>
      <w:r w:rsidR="005063FC" w:rsidRPr="004212A4">
        <w:rPr>
          <w:rFonts w:asciiTheme="majorBidi" w:hAnsiTheme="majorBidi" w:cstheme="majorBidi"/>
          <w:szCs w:val="24"/>
        </w:rPr>
        <w:t xml:space="preserve">has extensive notations in Latin and Persian (but written in Arabic </w:t>
      </w:r>
      <w:r w:rsidR="0053372D">
        <w:rPr>
          <w:rFonts w:asciiTheme="majorBidi" w:hAnsiTheme="majorBidi" w:cstheme="majorBidi"/>
          <w:szCs w:val="24"/>
        </w:rPr>
        <w:t xml:space="preserve">in a </w:t>
      </w:r>
      <w:r w:rsidR="005063FC">
        <w:rPr>
          <w:rFonts w:asciiTheme="majorBidi" w:hAnsiTheme="majorBidi" w:cstheme="majorBidi"/>
          <w:szCs w:val="24"/>
        </w:rPr>
        <w:t xml:space="preserve">script </w:t>
      </w:r>
      <w:r w:rsidR="005063FC" w:rsidRPr="004212A4">
        <w:rPr>
          <w:rFonts w:asciiTheme="majorBidi" w:hAnsiTheme="majorBidi" w:cstheme="majorBidi"/>
          <w:szCs w:val="24"/>
        </w:rPr>
        <w:t xml:space="preserve">that seems almost a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Maghrib</w:t>
      </w:r>
      <w:r w:rsidR="005063FC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naskh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). The inscriber notes the date of this manuscript as 1041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Hijr</w:t>
      </w:r>
      <w:r w:rsidR="0053372D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/ 1631CE, but this contradicts the date statement in the colophon which states the work was completed on “19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Jum</w:t>
      </w:r>
      <w:r w:rsidR="005063FC">
        <w:rPr>
          <w:rFonts w:asciiTheme="majorBidi" w:hAnsiTheme="majorBidi" w:cstheme="majorBidi"/>
          <w:szCs w:val="24"/>
        </w:rPr>
        <w:t>ā</w:t>
      </w:r>
      <w:r w:rsidR="005063FC" w:rsidRPr="004212A4">
        <w:rPr>
          <w:rFonts w:asciiTheme="majorBidi" w:hAnsiTheme="majorBidi" w:cstheme="majorBidi"/>
          <w:szCs w:val="24"/>
        </w:rPr>
        <w:t>da</w:t>
      </w:r>
      <w:r w:rsidR="005063FC">
        <w:rPr>
          <w:rFonts w:asciiTheme="majorBidi" w:hAnsiTheme="majorBidi" w:cstheme="majorBidi"/>
          <w:szCs w:val="24"/>
        </w:rPr>
        <w:t>ā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5063FC">
        <w:rPr>
          <w:rFonts w:asciiTheme="majorBidi" w:hAnsiTheme="majorBidi" w:cstheme="majorBidi"/>
          <w:szCs w:val="24"/>
        </w:rPr>
        <w:t>ʾ</w:t>
      </w:r>
      <w:r w:rsidR="005063FC" w:rsidRPr="004212A4">
        <w:rPr>
          <w:rFonts w:asciiTheme="majorBidi" w:hAnsiTheme="majorBidi" w:cstheme="majorBidi"/>
          <w:szCs w:val="24"/>
        </w:rPr>
        <w:t>awwal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in the year 1121,” suggesting the corresponding Gregorian date is 1709. The colophon is written in Persian, but there does not seem to be a scribe’s name.</w:t>
      </w:r>
      <w:r w:rsidR="005063FC">
        <w:rPr>
          <w:rFonts w:asciiTheme="majorBidi" w:hAnsiTheme="majorBidi" w:cstheme="majorBidi"/>
          <w:szCs w:val="24"/>
        </w:rPr>
        <w:t xml:space="preserve"> </w:t>
      </w:r>
      <w:r w:rsidR="009777E4">
        <w:rPr>
          <w:rFonts w:asciiTheme="majorBidi" w:hAnsiTheme="majorBidi" w:cstheme="majorBidi"/>
          <w:szCs w:val="24"/>
        </w:rPr>
        <w:t xml:space="preserve">LoC M19 is a disbound manuscript with </w:t>
      </w:r>
      <w:proofErr w:type="gramStart"/>
      <w:r w:rsidR="009777E4">
        <w:rPr>
          <w:rFonts w:asciiTheme="majorBidi" w:hAnsiTheme="majorBidi" w:cstheme="majorBidi"/>
          <w:szCs w:val="24"/>
        </w:rPr>
        <w:t>a number</w:t>
      </w:r>
      <w:r w:rsidR="0053372D">
        <w:rPr>
          <w:rFonts w:asciiTheme="majorBidi" w:hAnsiTheme="majorBidi" w:cstheme="majorBidi"/>
          <w:szCs w:val="24"/>
        </w:rPr>
        <w:t xml:space="preserve">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ownership stamps and perhaps owners</w:t>
      </w:r>
      <w:r w:rsidR="0053372D">
        <w:rPr>
          <w:rFonts w:asciiTheme="majorBidi" w:hAnsiTheme="majorBidi" w:cstheme="majorBidi"/>
          <w:szCs w:val="24"/>
        </w:rPr>
        <w:t>’</w:t>
      </w:r>
      <w:r w:rsidR="009777E4" w:rsidRPr="004212A4">
        <w:rPr>
          <w:rFonts w:asciiTheme="majorBidi" w:hAnsiTheme="majorBidi" w:cstheme="majorBidi"/>
          <w:szCs w:val="24"/>
        </w:rPr>
        <w:t xml:space="preserve"> notes</w:t>
      </w:r>
      <w:r w:rsidR="009777E4">
        <w:rPr>
          <w:rFonts w:asciiTheme="majorBidi" w:hAnsiTheme="majorBidi" w:cstheme="majorBidi"/>
          <w:szCs w:val="24"/>
        </w:rPr>
        <w:t xml:space="preserve">, </w:t>
      </w:r>
      <w:r w:rsidR="009777E4" w:rsidRPr="004212A4">
        <w:rPr>
          <w:rFonts w:asciiTheme="majorBidi" w:hAnsiTheme="majorBidi" w:cstheme="majorBidi"/>
          <w:szCs w:val="24"/>
        </w:rPr>
        <w:t xml:space="preserve">in addition to other notes in the opening pages before the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 begins. There are also notes on the endpapers</w:t>
      </w:r>
      <w:r w:rsidR="009777E4">
        <w:rPr>
          <w:rFonts w:asciiTheme="majorBidi" w:hAnsiTheme="majorBidi" w:cstheme="majorBidi"/>
          <w:szCs w:val="24"/>
        </w:rPr>
        <w:t xml:space="preserve"> and the text contains </w:t>
      </w:r>
      <w:proofErr w:type="gramStart"/>
      <w:r w:rsidR="009777E4">
        <w:rPr>
          <w:rFonts w:asciiTheme="majorBidi" w:hAnsiTheme="majorBidi" w:cstheme="majorBidi"/>
          <w:szCs w:val="24"/>
        </w:rPr>
        <w:t>a number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marginal notations which seem to be corrections or emendations to the main text. There is a colophon for each section of th</w:t>
      </w:r>
      <w:r w:rsidR="009777E4">
        <w:rPr>
          <w:rFonts w:asciiTheme="majorBidi" w:hAnsiTheme="majorBidi" w:cstheme="majorBidi"/>
          <w:szCs w:val="24"/>
        </w:rPr>
        <w:t>is witness of the</w:t>
      </w:r>
      <w:r w:rsidR="009777E4" w:rsidRPr="004212A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; the colophon for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Laylī-u Majnūn</w:t>
      </w:r>
      <w:r w:rsidR="009777E4" w:rsidRPr="004212A4">
        <w:rPr>
          <w:rFonts w:asciiTheme="majorBidi" w:hAnsiTheme="majorBidi" w:cstheme="majorBidi"/>
          <w:szCs w:val="24"/>
        </w:rPr>
        <w:t xml:space="preserve"> contains a date statement of “26 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Jum</w:t>
      </w:r>
      <w:r w:rsidR="009777E4">
        <w:rPr>
          <w:rFonts w:asciiTheme="majorBidi" w:hAnsiTheme="majorBidi" w:cstheme="majorBidi"/>
          <w:szCs w:val="24"/>
        </w:rPr>
        <w:t>ā</w:t>
      </w:r>
      <w:r w:rsidR="009777E4" w:rsidRPr="004212A4">
        <w:rPr>
          <w:rFonts w:asciiTheme="majorBidi" w:hAnsiTheme="majorBidi" w:cstheme="majorBidi"/>
          <w:szCs w:val="24"/>
        </w:rPr>
        <w:t>da</w:t>
      </w:r>
      <w:r w:rsidR="009777E4">
        <w:rPr>
          <w:rFonts w:asciiTheme="majorBidi" w:hAnsiTheme="majorBidi" w:cstheme="majorBidi"/>
          <w:szCs w:val="24"/>
        </w:rPr>
        <w:t>ā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than</w:t>
      </w:r>
      <w:r w:rsidR="009777E4">
        <w:rPr>
          <w:rFonts w:asciiTheme="majorBidi" w:hAnsiTheme="majorBidi" w:cstheme="majorBidi"/>
          <w:szCs w:val="24"/>
        </w:rPr>
        <w:t>ī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in the year 1220” [20 September 1805 CE].</w:t>
      </w:r>
      <w:r w:rsidR="009777E4">
        <w:rPr>
          <w:rFonts w:asciiTheme="majorBidi" w:hAnsiTheme="majorBidi" w:cstheme="majorBidi"/>
          <w:szCs w:val="24"/>
        </w:rPr>
        <w:t xml:space="preserve"> </w:t>
      </w:r>
    </w:p>
    <w:p w14:paraId="038A2892" w14:textId="77777777" w:rsidR="009777E4" w:rsidRDefault="009777E4" w:rsidP="00AD67D4">
      <w:pPr>
        <w:pStyle w:val="NoSpacing"/>
      </w:pPr>
    </w:p>
    <w:p w14:paraId="3156AD54" w14:textId="0C809BEF" w:rsidR="001A324B" w:rsidRDefault="00580477" w:rsidP="00AD67D4">
      <w:pPr>
        <w:pStyle w:val="NoSpacing"/>
      </w:pPr>
      <w:r>
        <w:rPr>
          <w:lang w:bidi="fa-IR"/>
        </w:rPr>
        <w:t>All three manuscripts are written in a nastaʿliq hand,</w:t>
      </w:r>
      <w:r w:rsidR="00750ECC">
        <w:rPr>
          <w:lang w:bidi="fa-IR"/>
        </w:rPr>
        <w:t xml:space="preserve"> contain miniature paintings and illustrations, and seem to be prestige copies of Niẓāmī’s </w:t>
      </w:r>
      <w:r w:rsidR="00750ECC" w:rsidRPr="00750ECC">
        <w:rPr>
          <w:i/>
          <w:iCs/>
          <w:lang w:bidi="fa-IR"/>
        </w:rPr>
        <w:t>Khamsa</w:t>
      </w:r>
      <w:r w:rsidR="00750ECC">
        <w:rPr>
          <w:lang w:bidi="fa-IR"/>
        </w:rPr>
        <w:t xml:space="preserve">. For the purposes of this workshop, I opted to transcribe the first five chapters or sections of </w:t>
      </w:r>
      <w:r w:rsidR="00750ECC">
        <w:rPr>
          <w:i/>
          <w:iCs/>
        </w:rPr>
        <w:t>Laylī-u Majnūn</w:t>
      </w:r>
      <w:r w:rsidR="0053372D">
        <w:t>.</w:t>
      </w:r>
      <w:r w:rsidR="00750ECC">
        <w:t xml:space="preserve"> I was curious to see whether the sections that are typically considered part of the ‘prologue’ of a long-form poem such as this may offer interesting degrees of variation, just as there is great variation seen in the prologues of various extant copies of Ferdowsī’s </w:t>
      </w:r>
      <w:r w:rsidR="00750ECC">
        <w:rPr>
          <w:i/>
          <w:iCs/>
        </w:rPr>
        <w:t>Shāhnāmeh</w:t>
      </w:r>
      <w:r w:rsidR="00750ECC">
        <w:t xml:space="preserve">. </w:t>
      </w:r>
      <w:r w:rsidR="008A67A7">
        <w:t xml:space="preserve">Because art </w:t>
      </w:r>
      <w:proofErr w:type="gramStart"/>
      <w:r w:rsidR="008A67A7">
        <w:t>by definition is</w:t>
      </w:r>
      <w:proofErr w:type="gramEnd"/>
      <w:r w:rsidR="008A67A7">
        <w:t xml:space="preserve"> an interpretive genre, I knew any manuscript of </w:t>
      </w:r>
      <w:r w:rsidR="008A67A7">
        <w:rPr>
          <w:i/>
          <w:iCs/>
        </w:rPr>
        <w:t xml:space="preserve">Laylī-u Majnūn </w:t>
      </w:r>
      <w:r w:rsidR="008A67A7">
        <w:t xml:space="preserve">would necessarily contain a high degree of variability, but I wanted to generate specific evidence </w:t>
      </w:r>
      <w:r w:rsidR="0053372D">
        <w:t>as to</w:t>
      </w:r>
      <w:r w:rsidR="008A67A7">
        <w:t xml:space="preserve"> what kind. Would the variation stem from the scribe’s idiosyncrasies</w:t>
      </w:r>
      <w:r w:rsidR="00047F23">
        <w:t>? T</w:t>
      </w:r>
      <w:r w:rsidR="00EC2F6A">
        <w:t>hat is,</w:t>
      </w:r>
      <w:r w:rsidR="008A67A7">
        <w:t xml:space="preserve"> his </w:t>
      </w:r>
      <w:r w:rsidR="00EC2F6A">
        <w:t xml:space="preserve">particular </w:t>
      </w:r>
      <w:r w:rsidR="008A67A7">
        <w:t>hand, the method by which he copied his text (</w:t>
      </w:r>
      <w:proofErr w:type="gramStart"/>
      <w:r w:rsidR="008A67A7">
        <w:t>e.g.</w:t>
      </w:r>
      <w:proofErr w:type="gramEnd"/>
      <w:r w:rsidR="008A67A7">
        <w:t xml:space="preserve"> from another manuscript, or </w:t>
      </w:r>
      <w:r w:rsidR="00EC2F6A">
        <w:t>was he transcribing from an oral declamation), the reign under which he was employed, his geographical location</w:t>
      </w:r>
      <w:r w:rsidR="00047F23">
        <w:t>.</w:t>
      </w:r>
      <w:r w:rsidR="00FA1A2D">
        <w:t xml:space="preserve"> Alternatively, are</w:t>
      </w:r>
      <w:r w:rsidR="00EC2F6A">
        <w:t xml:space="preserve"> these variations a reflection of the transmission history of </w:t>
      </w:r>
      <w:r w:rsidR="00EC2F6A">
        <w:rPr>
          <w:i/>
          <w:iCs/>
        </w:rPr>
        <w:t xml:space="preserve">Laylī-u Majnūn </w:t>
      </w:r>
      <w:r w:rsidR="00EC2F6A">
        <w:t>at large</w:t>
      </w:r>
      <w:r w:rsidR="00FA1A2D">
        <w:t xml:space="preserve"> across the Islamicate and Persianate worlds</w:t>
      </w:r>
      <w:r w:rsidR="00EC2F6A">
        <w:t xml:space="preserve">, beyond a local context? </w:t>
      </w:r>
      <w:r w:rsidR="00FA1A2D">
        <w:t>Likewise, I was curious to investigate the degree of variability of the manuscripts themselves as physical objects—their bindings, their media, and even their layout. How might attending to the aesthetic</w:t>
      </w:r>
      <w:r w:rsidR="008E04EA">
        <w:t>s</w:t>
      </w:r>
      <w:r w:rsidR="00FA1A2D">
        <w:t xml:space="preserve"> and </w:t>
      </w:r>
      <w:r w:rsidR="008E04EA">
        <w:t xml:space="preserve">visual logic or grammar of a work expand our understanding of the history of transmission </w:t>
      </w:r>
      <w:r w:rsidR="008E04EA">
        <w:lastRenderedPageBreak/>
        <w:t>and circulation of that work</w:t>
      </w:r>
      <w:r w:rsidR="008F244D">
        <w:t xml:space="preserve">—of how people engaged and interacted with </w:t>
      </w:r>
      <w:r w:rsidR="008F244D">
        <w:rPr>
          <w:i/>
          <w:iCs/>
        </w:rPr>
        <w:t>Laylī-u Majnūn</w:t>
      </w:r>
      <w:r w:rsidR="00C24E9C">
        <w:t xml:space="preserve"> over the years</w:t>
      </w:r>
      <w:r w:rsidR="008E04EA">
        <w:t xml:space="preserve">?  </w:t>
      </w:r>
    </w:p>
    <w:p w14:paraId="6999A289" w14:textId="77777777" w:rsidR="00EC2F6A" w:rsidRDefault="00EC2F6A" w:rsidP="00AD67D4">
      <w:pPr>
        <w:pStyle w:val="NoSpacing"/>
      </w:pPr>
    </w:p>
    <w:p w14:paraId="48872EE4" w14:textId="5F446271" w:rsidR="008A67A7" w:rsidRDefault="00EC2F6A" w:rsidP="00AD67D4">
      <w:pPr>
        <w:pStyle w:val="NoSpacing"/>
      </w:pPr>
      <w:r>
        <w:t xml:space="preserve">Three witnesses are perhaps not enough of a sample size to really answer any of my initial questions, but they do begin to </w:t>
      </w:r>
      <w:r w:rsidR="00047F23">
        <w:t>demonstrate</w:t>
      </w:r>
      <w:r>
        <w:t xml:space="preserve"> a pattern of variation</w:t>
      </w:r>
      <w:r w:rsidR="00047F23">
        <w:t xml:space="preserve">, even in the first five chapters. For example, </w:t>
      </w:r>
      <w:r w:rsidR="00CE12AD">
        <w:t xml:space="preserve">all three of my </w:t>
      </w:r>
      <w:proofErr w:type="gramStart"/>
      <w:r w:rsidR="00CE12AD">
        <w:t>witnesses</w:t>
      </w:r>
      <w:proofErr w:type="gramEnd"/>
      <w:r w:rsidR="00CE12AD">
        <w:t xml:space="preserve"> feature </w:t>
      </w:r>
      <w:r w:rsidR="00CE12AD">
        <w:rPr>
          <w:i/>
          <w:iCs/>
        </w:rPr>
        <w:t xml:space="preserve">Laylī-u Majnūn </w:t>
      </w:r>
      <w:r w:rsidR="00CE12AD">
        <w:t xml:space="preserve">as the third text in the </w:t>
      </w:r>
      <w:r w:rsidR="00CE12AD">
        <w:rPr>
          <w:i/>
          <w:iCs/>
        </w:rPr>
        <w:t>Khamsa</w:t>
      </w:r>
      <w:r w:rsidR="00CE12AD">
        <w:t>,</w:t>
      </w:r>
      <w:r w:rsidR="008F244D">
        <w:t xml:space="preserve"> </w:t>
      </w:r>
      <w:r w:rsidR="00C0141E">
        <w:t xml:space="preserve">so there </w:t>
      </w:r>
      <w:r w:rsidR="00494FFA">
        <w:t>is a stable order of t</w:t>
      </w:r>
      <w:r w:rsidR="00C0141E">
        <w:t xml:space="preserve">he individual texts within Niẓāmī’s </w:t>
      </w:r>
      <w:r w:rsidR="00C0141E" w:rsidRPr="00C0141E">
        <w:rPr>
          <w:i/>
          <w:iCs/>
        </w:rPr>
        <w:t>Khamsa</w:t>
      </w:r>
      <w:r w:rsidR="00494FFA">
        <w:t xml:space="preserve">. All three witnesses of </w:t>
      </w:r>
      <w:proofErr w:type="spellStart"/>
      <w:r w:rsidR="00494FFA">
        <w:rPr>
          <w:i/>
          <w:iCs/>
        </w:rPr>
        <w:t>Laylī</w:t>
      </w:r>
      <w:proofErr w:type="spellEnd"/>
      <w:r w:rsidR="00494FFA">
        <w:rPr>
          <w:i/>
          <w:iCs/>
        </w:rPr>
        <w:t xml:space="preserve">-u </w:t>
      </w:r>
      <w:proofErr w:type="spellStart"/>
      <w:r w:rsidR="00494FFA">
        <w:rPr>
          <w:i/>
          <w:iCs/>
        </w:rPr>
        <w:t>Majnūn</w:t>
      </w:r>
      <w:proofErr w:type="spellEnd"/>
      <w:r w:rsidR="00494FFA">
        <w:rPr>
          <w:i/>
          <w:iCs/>
        </w:rPr>
        <w:t xml:space="preserve"> </w:t>
      </w:r>
      <w:r w:rsidR="00494FFA">
        <w:t xml:space="preserve">have a </w:t>
      </w:r>
      <w:proofErr w:type="spellStart"/>
      <w:r w:rsidR="00494FFA" w:rsidRPr="00494FFA">
        <w:rPr>
          <w:i/>
          <w:iCs/>
        </w:rPr>
        <w:t>tāj</w:t>
      </w:r>
      <w:proofErr w:type="spellEnd"/>
      <w:r w:rsidR="00494FFA">
        <w:t xml:space="preserve">, or </w:t>
      </w:r>
      <w:r w:rsidR="00494FFA" w:rsidRPr="00494FFA">
        <w:t>frontispiece</w:t>
      </w:r>
      <w:r w:rsidR="00494FFA">
        <w:t xml:space="preserve">, at the very start of the text, </w:t>
      </w:r>
      <w:proofErr w:type="gramStart"/>
      <w:r w:rsidR="00494FFA">
        <w:t>despite the fact that</w:t>
      </w:r>
      <w:proofErr w:type="gramEnd"/>
      <w:r w:rsidR="00494FFA">
        <w:t xml:space="preserve"> there is a slight difference in layout.</w:t>
      </w:r>
      <w:r w:rsidR="005063FC">
        <w:t xml:space="preserve"> </w:t>
      </w:r>
    </w:p>
    <w:p w14:paraId="464AD070" w14:textId="77777777" w:rsidR="002D6813" w:rsidRDefault="002D6813" w:rsidP="00AD67D4">
      <w:pPr>
        <w:pStyle w:val="NoSpacing"/>
        <w:rPr>
          <w:lang w:bidi="fa-IR"/>
        </w:rPr>
      </w:pPr>
    </w:p>
    <w:p w14:paraId="77F90E4E" w14:textId="7C23F6F0" w:rsidR="002D6813" w:rsidRDefault="00F400E4" w:rsidP="00CA3111">
      <w:pPr>
        <w:pStyle w:val="NoSpacing"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AC561FB" wp14:editId="2F4F819E">
            <wp:extent cx="5943600" cy="2879090"/>
            <wp:effectExtent l="0" t="0" r="0" b="3810"/>
            <wp:docPr id="588849179" name="Picture 2" descr="A collection of old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9179" name="Picture 2" descr="A collection of old pap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C903" w14:textId="0077CDA1" w:rsidR="00F400E4" w:rsidRDefault="00F400E4" w:rsidP="00AD67D4">
      <w:pPr>
        <w:pStyle w:val="NoSpacing"/>
        <w:rPr>
          <w:lang w:bidi="fa-IR"/>
        </w:rPr>
      </w:pPr>
      <w:r w:rsidRPr="00F400E4">
        <w:rPr>
          <w:lang w:bidi="fa-IR"/>
        </w:rPr>
        <w:t xml:space="preserve">From left: MS. Elliot 192 from the Bodleian Library, </w:t>
      </w:r>
      <w:proofErr w:type="spellStart"/>
      <w:r w:rsidRPr="00F400E4">
        <w:rPr>
          <w:lang w:bidi="fa-IR"/>
        </w:rPr>
        <w:t>SzB</w:t>
      </w:r>
      <w:proofErr w:type="spellEnd"/>
      <w:r w:rsidRPr="00F400E4">
        <w:rPr>
          <w:lang w:bidi="fa-IR"/>
        </w:rPr>
        <w:t xml:space="preserve"> Ms. or. fol. 107 from the </w:t>
      </w:r>
      <w:proofErr w:type="spellStart"/>
      <w:r w:rsidRPr="00F400E4">
        <w:rPr>
          <w:lang w:bidi="fa-IR"/>
        </w:rPr>
        <w:t>Staatsbibliothek</w:t>
      </w:r>
      <w:proofErr w:type="spellEnd"/>
      <w:r w:rsidRPr="00F400E4">
        <w:rPr>
          <w:lang w:bidi="fa-IR"/>
        </w:rPr>
        <w:t xml:space="preserve"> </w:t>
      </w:r>
      <w:proofErr w:type="spellStart"/>
      <w:r w:rsidRPr="00F400E4">
        <w:rPr>
          <w:lang w:bidi="fa-IR"/>
        </w:rPr>
        <w:t>zu</w:t>
      </w:r>
      <w:proofErr w:type="spellEnd"/>
      <w:r w:rsidRPr="00F400E4">
        <w:rPr>
          <w:lang w:bidi="fa-IR"/>
        </w:rPr>
        <w:t xml:space="preserve"> Berlin, and LoC M19 from the Library of Congress.</w:t>
      </w:r>
    </w:p>
    <w:p w14:paraId="42C77733" w14:textId="2788799A" w:rsidR="00156874" w:rsidRPr="005B1194" w:rsidRDefault="00156874" w:rsidP="00AD67D4">
      <w:pPr>
        <w:pStyle w:val="NoSpacing"/>
        <w:rPr>
          <w:lang w:bidi="fa-IR"/>
        </w:rPr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392B60AF" w14:textId="77777777" w:rsidR="00F400E4" w:rsidRDefault="00F400E4" w:rsidP="00AD67D4">
      <w:pPr>
        <w:pStyle w:val="NoSpacing"/>
        <w:rPr>
          <w:lang w:bidi="fa-IR"/>
        </w:rPr>
      </w:pPr>
    </w:p>
    <w:p w14:paraId="4E2BB9E3" w14:textId="6A8788CD" w:rsidR="00F400E4" w:rsidRPr="00F400E4" w:rsidRDefault="00F400E4" w:rsidP="00AD67D4">
      <w:pPr>
        <w:pStyle w:val="NoSpacing"/>
        <w:rPr>
          <w:lang w:bidi="fa-IR"/>
        </w:rPr>
      </w:pPr>
      <w:r>
        <w:rPr>
          <w:lang w:bidi="fa-IR"/>
        </w:rPr>
        <w:t xml:space="preserve">Two of the three witnesses—MS. Elliot 192 and </w:t>
      </w:r>
      <w:proofErr w:type="spellStart"/>
      <w:r>
        <w:rPr>
          <w:lang w:bidi="fa-IR"/>
        </w:rPr>
        <w:t>SzB</w:t>
      </w:r>
      <w:proofErr w:type="spellEnd"/>
      <w:r>
        <w:rPr>
          <w:lang w:bidi="fa-IR"/>
        </w:rPr>
        <w:t xml:space="preserve"> Ms. or. fol. 107—are written in four columns</w:t>
      </w:r>
      <w:r w:rsidR="00A778E1">
        <w:rPr>
          <w:lang w:bidi="fa-IR"/>
        </w:rPr>
        <w:t xml:space="preserve">, a very common layout for </w:t>
      </w:r>
      <w:r w:rsidR="00B57D6E">
        <w:rPr>
          <w:lang w:bidi="fa-IR"/>
        </w:rPr>
        <w:t xml:space="preserve">Persian </w:t>
      </w:r>
      <w:r w:rsidR="00A778E1">
        <w:rPr>
          <w:lang w:bidi="fa-IR"/>
        </w:rPr>
        <w:t xml:space="preserve">poetic works. The </w:t>
      </w:r>
      <w:proofErr w:type="gramStart"/>
      <w:r w:rsidR="00A778E1">
        <w:rPr>
          <w:lang w:bidi="fa-IR"/>
        </w:rPr>
        <w:t>third—LoC</w:t>
      </w:r>
      <w:proofErr w:type="gramEnd"/>
      <w:r w:rsidR="00A778E1">
        <w:rPr>
          <w:lang w:bidi="fa-IR"/>
        </w:rPr>
        <w:t xml:space="preserve"> M19—is in two columns with a third wrapped around the margins. The number of lines per page differs across all three manuscripts, no doubt owing to the different dimensions of each.</w:t>
      </w:r>
      <w:r w:rsidR="008C3CDF">
        <w:rPr>
          <w:lang w:bidi="fa-IR"/>
        </w:rPr>
        <w:t xml:space="preserve"> These conventions of visual grammar of how poetic works are presented </w:t>
      </w:r>
      <w:r w:rsidR="00A23CD8">
        <w:rPr>
          <w:lang w:bidi="fa-IR"/>
        </w:rPr>
        <w:t>seem to me to be</w:t>
      </w:r>
      <w:r w:rsidR="008C3CDF">
        <w:rPr>
          <w:lang w:bidi="fa-IR"/>
        </w:rPr>
        <w:t xml:space="preserve"> a precursor to the </w:t>
      </w:r>
      <w:r w:rsidR="008B65A0">
        <w:rPr>
          <w:lang w:bidi="fa-IR"/>
        </w:rPr>
        <w:t xml:space="preserve">stability afforded by print which </w:t>
      </w:r>
      <w:r w:rsidR="008C3CDF">
        <w:rPr>
          <w:lang w:bidi="fa-IR"/>
        </w:rPr>
        <w:t xml:space="preserve">Dr. </w:t>
      </w:r>
      <w:r w:rsidR="00A76664">
        <w:rPr>
          <w:lang w:bidi="fa-IR"/>
        </w:rPr>
        <w:t xml:space="preserve">Jonathan Parkes </w:t>
      </w:r>
      <w:r w:rsidR="008C3CDF">
        <w:rPr>
          <w:lang w:bidi="fa-IR"/>
        </w:rPr>
        <w:t xml:space="preserve">Allen </w:t>
      </w:r>
      <w:r w:rsidR="00A76664">
        <w:rPr>
          <w:lang w:bidi="fa-IR"/>
        </w:rPr>
        <w:t>discusses</w:t>
      </w:r>
      <w:r w:rsidR="008C3CDF">
        <w:rPr>
          <w:lang w:bidi="fa-IR"/>
        </w:rPr>
        <w:t xml:space="preserve"> </w:t>
      </w:r>
      <w:hyperlink r:id="rId9" w:history="1">
        <w:r w:rsidR="00324E2C" w:rsidRPr="00324E2C">
          <w:rPr>
            <w:rStyle w:val="Hyperlink"/>
            <w:lang w:bidi="fa-IR"/>
          </w:rPr>
          <w:t>here</w:t>
        </w:r>
      </w:hyperlink>
      <w:r w:rsidR="00324E2C">
        <w:rPr>
          <w:lang w:bidi="fa-IR"/>
        </w:rPr>
        <w:t xml:space="preserve">. </w:t>
      </w:r>
      <w:r w:rsidR="008B65A0">
        <w:rPr>
          <w:lang w:bidi="fa-IR"/>
        </w:rPr>
        <w:t xml:space="preserve"> </w:t>
      </w:r>
    </w:p>
    <w:p w14:paraId="479530B1" w14:textId="77777777" w:rsidR="00F400E4" w:rsidRDefault="00F400E4" w:rsidP="00AD67D4">
      <w:pPr>
        <w:pStyle w:val="NoSpacing"/>
        <w:rPr>
          <w:lang w:bidi="fa-IR"/>
        </w:rPr>
      </w:pPr>
    </w:p>
    <w:p w14:paraId="752F2003" w14:textId="23B611A5" w:rsidR="008B65A0" w:rsidRDefault="008B65A0" w:rsidP="00AD67D4">
      <w:pPr>
        <w:pStyle w:val="NoSpacing"/>
        <w:rPr>
          <w:lang w:bidi="fa-IR"/>
        </w:rPr>
      </w:pPr>
      <w:r>
        <w:rPr>
          <w:lang w:bidi="fa-IR"/>
        </w:rPr>
        <w:t xml:space="preserve">iii. Transcribing </w:t>
      </w:r>
      <w:r>
        <w:rPr>
          <w:i/>
          <w:iCs/>
          <w:lang w:bidi="fa-IR"/>
        </w:rPr>
        <w:t>Laylī-u Majnūn</w:t>
      </w:r>
    </w:p>
    <w:p w14:paraId="2D887CD3" w14:textId="77777777" w:rsidR="008B65A0" w:rsidRDefault="008B65A0" w:rsidP="00AD67D4">
      <w:pPr>
        <w:pStyle w:val="NoSpacing"/>
        <w:rPr>
          <w:lang w:bidi="fa-IR"/>
        </w:rPr>
      </w:pPr>
    </w:p>
    <w:p w14:paraId="79B6DEFE" w14:textId="77777777" w:rsidR="00AD67D4" w:rsidRDefault="00AD67D4" w:rsidP="00AD67D4">
      <w:pPr>
        <w:pStyle w:val="NoSpacing"/>
        <w:rPr>
          <w:lang w:bidi="fa-IR"/>
        </w:rPr>
      </w:pPr>
    </w:p>
    <w:p w14:paraId="430F446B" w14:textId="77777777" w:rsidR="00AD67D4" w:rsidRDefault="00AD67D4" w:rsidP="00AD67D4">
      <w:pPr>
        <w:pStyle w:val="NoSpacing"/>
        <w:rPr>
          <w:lang w:bidi="fa-IR"/>
        </w:rPr>
      </w:pPr>
    </w:p>
    <w:p w14:paraId="646E6C4A" w14:textId="77777777" w:rsidR="00AD67D4" w:rsidRDefault="00AD67D4" w:rsidP="00AD67D4">
      <w:pPr>
        <w:pStyle w:val="NoSpacing"/>
        <w:rPr>
          <w:lang w:bidi="fa-IR"/>
        </w:rPr>
      </w:pPr>
    </w:p>
    <w:p w14:paraId="6851659B" w14:textId="77777777" w:rsidR="00AD67D4" w:rsidRDefault="00AD67D4" w:rsidP="00AD67D4">
      <w:pPr>
        <w:pStyle w:val="NoSpacing"/>
        <w:rPr>
          <w:lang w:bidi="fa-IR"/>
        </w:rPr>
      </w:pPr>
    </w:p>
    <w:p w14:paraId="318CFBB4" w14:textId="77777777" w:rsidR="00AD67D4" w:rsidRDefault="00AD67D4" w:rsidP="00AD67D4">
      <w:pPr>
        <w:pStyle w:val="NoSpacing"/>
        <w:rPr>
          <w:lang w:bidi="fa-IR"/>
        </w:rPr>
      </w:pPr>
    </w:p>
    <w:p w14:paraId="22E54E5C" w14:textId="77777777" w:rsidR="00AD67D4" w:rsidRDefault="00AD67D4" w:rsidP="00AD67D4">
      <w:pPr>
        <w:pStyle w:val="NoSpacing"/>
        <w:rPr>
          <w:lang w:bidi="fa-IR"/>
        </w:rPr>
      </w:pPr>
    </w:p>
    <w:p w14:paraId="46C21D1D" w14:textId="77777777" w:rsidR="00AD67D4" w:rsidRDefault="00AD67D4" w:rsidP="00AD67D4">
      <w:pPr>
        <w:pStyle w:val="NoSpacing"/>
        <w:rPr>
          <w:lang w:bidi="fa-IR"/>
        </w:rPr>
      </w:pPr>
    </w:p>
    <w:p w14:paraId="7C679CC3" w14:textId="2C6CC656" w:rsidR="00AD67D4" w:rsidRDefault="00AD67D4" w:rsidP="00AD67D4">
      <w:pPr>
        <w:pStyle w:val="NoSpacing"/>
        <w:jc w:val="center"/>
        <w:rPr>
          <w:lang w:bidi="fa-IR"/>
        </w:rPr>
      </w:pPr>
      <w:r w:rsidRPr="005B1194">
        <w:rPr>
          <w:rFonts w:eastAsia="Times New Roman"/>
          <w:noProof/>
          <w:kern w:val="0"/>
        </w:rPr>
        <w:lastRenderedPageBreak/>
        <w:drawing>
          <wp:inline distT="0" distB="0" distL="0" distR="0" wp14:anchorId="4D01CD16" wp14:editId="640189E3">
            <wp:extent cx="1755140" cy="1520190"/>
            <wp:effectExtent l="0" t="0" r="0" b="3810"/>
            <wp:docPr id="782211365" name="Picture 782211365" descr="A black ink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3346" name="Picture 1" descr="A black ink on a white su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96E8" w14:textId="77777777" w:rsidR="00AD67D4" w:rsidRDefault="00AD67D4" w:rsidP="00AD67D4">
      <w:pPr>
        <w:pStyle w:val="NoSpacing"/>
        <w:rPr>
          <w:lang w:bidi="fa-IR"/>
        </w:rPr>
      </w:pPr>
    </w:p>
    <w:p w14:paraId="65ADFDD1" w14:textId="4B019415" w:rsidR="00A23CD8" w:rsidRDefault="00B636FE" w:rsidP="00AD67D4">
      <w:pPr>
        <w:pStyle w:val="NoSpacing"/>
        <w:rPr>
          <w:lang w:bidi="fa-IR"/>
        </w:rPr>
      </w:pPr>
      <w:r>
        <w:rPr>
          <w:lang w:bidi="fa-IR"/>
        </w:rPr>
        <w:t xml:space="preserve">Our </w:t>
      </w:r>
      <w:r w:rsidR="00690F20">
        <w:rPr>
          <w:lang w:bidi="fa-IR"/>
        </w:rPr>
        <w:t xml:space="preserve">main </w:t>
      </w:r>
      <w:r>
        <w:rPr>
          <w:lang w:bidi="fa-IR"/>
        </w:rPr>
        <w:t>task this summer was</w:t>
      </w:r>
      <w:r w:rsidR="00690F20">
        <w:rPr>
          <w:lang w:bidi="fa-IR"/>
        </w:rPr>
        <w:t xml:space="preserve"> t</w:t>
      </w:r>
      <w:r>
        <w:rPr>
          <w:lang w:bidi="fa-IR"/>
        </w:rPr>
        <w:t xml:space="preserve">o </w:t>
      </w:r>
      <w:r w:rsidR="00690F20">
        <w:rPr>
          <w:lang w:bidi="fa-IR"/>
        </w:rPr>
        <w:t xml:space="preserve">manually </w:t>
      </w:r>
      <w:r>
        <w:rPr>
          <w:lang w:bidi="fa-IR"/>
        </w:rPr>
        <w:t>record</w:t>
      </w:r>
      <w:r w:rsidR="00690F20">
        <w:rPr>
          <w:lang w:bidi="fa-IR"/>
        </w:rPr>
        <w:t>,</w:t>
      </w:r>
      <w:r>
        <w:rPr>
          <w:lang w:bidi="fa-IR"/>
        </w:rPr>
        <w:t xml:space="preserve"> </w:t>
      </w:r>
      <w:r w:rsidR="00690F20">
        <w:rPr>
          <w:lang w:bidi="fa-IR"/>
        </w:rPr>
        <w:t xml:space="preserve">as diplomatically as possible, a multi-witness transcription of a particular work. Using </w:t>
      </w:r>
      <w:proofErr w:type="spellStart"/>
      <w:r w:rsidR="00690F20">
        <w:rPr>
          <w:lang w:bidi="fa-IR"/>
        </w:rPr>
        <w:t>eScriptorium</w:t>
      </w:r>
      <w:proofErr w:type="spellEnd"/>
      <w:r w:rsidR="00690F20">
        <w:rPr>
          <w:lang w:bidi="fa-IR"/>
        </w:rPr>
        <w:t xml:space="preserve">, I began </w:t>
      </w:r>
      <w:r w:rsidR="00A03D71">
        <w:rPr>
          <w:lang w:bidi="fa-IR"/>
        </w:rPr>
        <w:t xml:space="preserve">to transcribe the first five chapters of </w:t>
      </w:r>
      <w:proofErr w:type="spellStart"/>
      <w:r w:rsidR="00A03D71">
        <w:rPr>
          <w:i/>
          <w:iCs/>
          <w:lang w:bidi="fa-IR"/>
        </w:rPr>
        <w:t>Laylī</w:t>
      </w:r>
      <w:proofErr w:type="spellEnd"/>
      <w:r w:rsidR="00A03D71">
        <w:rPr>
          <w:i/>
          <w:iCs/>
          <w:lang w:bidi="fa-IR"/>
        </w:rPr>
        <w:t xml:space="preserve">-u </w:t>
      </w:r>
      <w:proofErr w:type="spellStart"/>
      <w:r w:rsidR="00A03D71">
        <w:rPr>
          <w:i/>
          <w:iCs/>
          <w:lang w:bidi="fa-IR"/>
        </w:rPr>
        <w:t>Majnūn</w:t>
      </w:r>
      <w:proofErr w:type="spellEnd"/>
      <w:r w:rsidR="0057187D">
        <w:rPr>
          <w:lang w:bidi="fa-IR"/>
        </w:rPr>
        <w:t xml:space="preserve"> </w:t>
      </w:r>
      <w:r w:rsidR="00A23CD8">
        <w:rPr>
          <w:lang w:bidi="fa-IR"/>
        </w:rPr>
        <w:t xml:space="preserve">and determined that there </w:t>
      </w:r>
      <w:r w:rsidR="0053372D">
        <w:rPr>
          <w:lang w:bidi="fa-IR"/>
        </w:rPr>
        <w:t xml:space="preserve">are </w:t>
      </w:r>
      <w:r w:rsidR="00A23CD8">
        <w:rPr>
          <w:lang w:bidi="fa-IR"/>
        </w:rPr>
        <w:t xml:space="preserve">three types of variation observable in </w:t>
      </w:r>
      <w:r w:rsidR="00432E35">
        <w:rPr>
          <w:lang w:bidi="fa-IR"/>
        </w:rPr>
        <w:t xml:space="preserve">at least these witnesses of </w:t>
      </w:r>
      <w:r w:rsidR="00A23CD8">
        <w:rPr>
          <w:lang w:bidi="fa-IR"/>
        </w:rPr>
        <w:t xml:space="preserve">the </w:t>
      </w:r>
      <w:r w:rsidR="0053372D">
        <w:rPr>
          <w:lang w:bidi="fa-IR"/>
        </w:rPr>
        <w:t>work</w:t>
      </w:r>
      <w:r w:rsidR="00A23CD8">
        <w:rPr>
          <w:lang w:bidi="fa-IR"/>
        </w:rPr>
        <w:t xml:space="preserve">: orthographic variation, variation at the word level, and variation </w:t>
      </w:r>
      <w:r w:rsidR="00C225F0">
        <w:rPr>
          <w:lang w:bidi="fa-IR"/>
        </w:rPr>
        <w:t xml:space="preserve">in the presence or absence of several lines, if not entire sections at a time. </w:t>
      </w:r>
      <w:r w:rsidR="00EF25B4">
        <w:rPr>
          <w:lang w:bidi="fa-IR"/>
        </w:rPr>
        <w:t>Orthographic variation is sometimes a matter of the idiosyncrasies of the scribe’s hand</w:t>
      </w:r>
      <w:r w:rsidR="00A80991">
        <w:rPr>
          <w:lang w:bidi="fa-IR"/>
        </w:rPr>
        <w:t>—</w:t>
      </w:r>
      <w:r w:rsidR="00EF25B4">
        <w:rPr>
          <w:lang w:bidi="fa-IR"/>
        </w:rPr>
        <w:t>different</w:t>
      </w:r>
      <w:r w:rsidR="00A80991">
        <w:rPr>
          <w:lang w:bidi="fa-IR"/>
        </w:rPr>
        <w:t xml:space="preserve"> </w:t>
      </w:r>
      <w:r w:rsidR="00EF25B4">
        <w:rPr>
          <w:lang w:bidi="fa-IR"/>
        </w:rPr>
        <w:t xml:space="preserve">ways of writing the final </w:t>
      </w:r>
      <w:proofErr w:type="spellStart"/>
      <w:r w:rsidR="00EF25B4">
        <w:rPr>
          <w:i/>
          <w:iCs/>
          <w:lang w:bidi="fa-IR"/>
        </w:rPr>
        <w:t>ya</w:t>
      </w:r>
      <w:proofErr w:type="spellEnd"/>
      <w:r w:rsidR="00A80991">
        <w:rPr>
          <w:lang w:bidi="fa-IR"/>
        </w:rPr>
        <w:t xml:space="preserve">, for example, </w:t>
      </w:r>
      <w:r w:rsidR="00EF25B4">
        <w:rPr>
          <w:lang w:bidi="fa-IR"/>
        </w:rPr>
        <w:t xml:space="preserve">or alternating between different forms of the initial </w:t>
      </w:r>
      <w:r w:rsidR="00EF25B4" w:rsidRPr="00EF25B4">
        <w:rPr>
          <w:i/>
          <w:iCs/>
          <w:lang w:bidi="fa-IR"/>
        </w:rPr>
        <w:t>ha</w:t>
      </w:r>
      <w:r w:rsidR="00EF25B4">
        <w:rPr>
          <w:lang w:bidi="fa-IR"/>
        </w:rPr>
        <w:t xml:space="preserve"> form in the same manuscript</w:t>
      </w:r>
      <w:r w:rsidR="00A80991">
        <w:rPr>
          <w:lang w:bidi="fa-IR"/>
        </w:rPr>
        <w:t>.</w:t>
      </w:r>
    </w:p>
    <w:p w14:paraId="5E51BD60" w14:textId="77777777" w:rsidR="002B2B4D" w:rsidRDefault="002B2B4D" w:rsidP="00AD67D4">
      <w:pPr>
        <w:pStyle w:val="NoSpacing"/>
        <w:rPr>
          <w:lang w:bidi="fa-IR"/>
        </w:rPr>
      </w:pPr>
    </w:p>
    <w:p w14:paraId="17FC77CF" w14:textId="4B8D0B47" w:rsidR="002B2B4D" w:rsidRDefault="002B2B4D" w:rsidP="002B2B4D">
      <w:pPr>
        <w:pStyle w:val="NoSpacing"/>
        <w:jc w:val="center"/>
        <w:rPr>
          <w:lang w:bidi="fa-IR"/>
        </w:rPr>
      </w:pPr>
      <w:r>
        <w:rPr>
          <w:rFonts w:asciiTheme="majorBidi" w:eastAsia="Times New Roman" w:hAnsiTheme="majorBidi" w:cstheme="majorBidi"/>
          <w:noProof/>
          <w:kern w:val="0"/>
          <w:szCs w:val="24"/>
          <w:lang w:bidi="fa-IR"/>
        </w:rPr>
        <w:drawing>
          <wp:inline distT="0" distB="0" distL="0" distR="0" wp14:anchorId="7CF67CC7" wp14:editId="7A029488">
            <wp:extent cx="2291715" cy="1220470"/>
            <wp:effectExtent l="0" t="0" r="0" b="0"/>
            <wp:docPr id="1382536772" name="Picture 4" descr="A close up of a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36772" name="Picture 4" descr="A close up of a calligraph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7C6F" w14:textId="7BA7195D" w:rsidR="00A80991" w:rsidRDefault="00A80991" w:rsidP="00AD67D4">
      <w:pPr>
        <w:pStyle w:val="NoSpacing"/>
        <w:rPr>
          <w:lang w:bidi="fa-IR"/>
        </w:rPr>
      </w:pPr>
    </w:p>
    <w:p w14:paraId="19BF3E0B" w14:textId="1566538D" w:rsidR="00A23CD8" w:rsidRPr="00CA3111" w:rsidRDefault="006B7DFE" w:rsidP="00AD67D4">
      <w:pPr>
        <w:pStyle w:val="NoSpacing"/>
        <w:rPr>
          <w:rFonts w:eastAsia="Times New Roman"/>
          <w:kern w:val="0"/>
          <w:szCs w:val="24"/>
          <w:lang w:bidi="fa-IR"/>
          <w14:ligatures w14:val="none"/>
        </w:rPr>
      </w:pPr>
      <w:r w:rsidRPr="00CA3111">
        <w:rPr>
          <w:rFonts w:eastAsia="Times New Roman"/>
          <w:kern w:val="0"/>
          <w:szCs w:val="24"/>
          <w:lang w:bidi="fa-IR"/>
          <w14:ligatures w14:val="none"/>
        </w:rPr>
        <w:t>Transcription, I have come to learn, is more an art than a science</w:t>
      </w:r>
      <w:r w:rsidR="00740B6D" w:rsidRPr="00CA3111">
        <w:rPr>
          <w:rFonts w:eastAsia="Times New Roman"/>
          <w:kern w:val="0"/>
          <w:szCs w:val="24"/>
          <w:lang w:bidi="fa-IR"/>
          <w14:ligatures w14:val="none"/>
        </w:rPr>
        <w:t>—c</w:t>
      </w:r>
      <w:r w:rsidR="00740B6D" w:rsidRPr="00CA3111">
        <w:rPr>
          <w:rFonts w:eastAsia="Times New Roman"/>
          <w:noProof/>
          <w:kern w:val="0"/>
          <w:szCs w:val="24"/>
        </w:rPr>
        <w:t>loser to</w:t>
      </w:r>
      <w:r w:rsidRPr="00CA3111">
        <w:rPr>
          <w:szCs w:val="24"/>
          <w:lang w:bidi="fa-IR"/>
        </w:rPr>
        <w:t xml:space="preserve"> Duane Allman’s brilliant translation of Majnūn’s yearning onto the slide guitar or Rita Coolidge’s piano </w:t>
      </w:r>
      <w:r w:rsidR="003F5D9A" w:rsidRPr="00CA3111">
        <w:rPr>
          <w:szCs w:val="24"/>
          <w:lang w:bidi="fa-IR"/>
        </w:rPr>
        <w:t>coda</w:t>
      </w:r>
      <w:r w:rsidRPr="00CA3111">
        <w:rPr>
          <w:szCs w:val="24"/>
          <w:lang w:bidi="fa-IR"/>
        </w:rPr>
        <w:t xml:space="preserve"> </w:t>
      </w:r>
      <w:r w:rsidR="00740B6D" w:rsidRPr="00CA3111">
        <w:rPr>
          <w:szCs w:val="24"/>
          <w:lang w:bidi="fa-IR"/>
        </w:rPr>
        <w:t xml:space="preserve">that sounds like what the ecstasy of unity must </w:t>
      </w:r>
      <w:r w:rsidR="00D067A0" w:rsidRPr="00CA3111">
        <w:rPr>
          <w:szCs w:val="24"/>
          <w:lang w:bidi="fa-IR"/>
        </w:rPr>
        <w:t>feel</w:t>
      </w:r>
      <w:r w:rsidR="00740B6D" w:rsidRPr="00CA3111">
        <w:rPr>
          <w:szCs w:val="24"/>
          <w:lang w:bidi="fa-IR"/>
        </w:rPr>
        <w:t xml:space="preserve"> like for Majnūn. </w:t>
      </w:r>
      <w:r w:rsidR="00A23CD8" w:rsidRPr="00CA3111">
        <w:rPr>
          <w:szCs w:val="24"/>
          <w:lang w:bidi="fa-IR"/>
        </w:rPr>
        <w:t xml:space="preserve">The major difficulty I </w:t>
      </w:r>
      <w:r w:rsidR="005B1194" w:rsidRPr="00CA3111">
        <w:rPr>
          <w:szCs w:val="24"/>
          <w:lang w:bidi="fa-IR"/>
        </w:rPr>
        <w:t>faced</w:t>
      </w:r>
      <w:r w:rsidR="00A23CD8" w:rsidRPr="00CA3111">
        <w:rPr>
          <w:szCs w:val="24"/>
          <w:lang w:bidi="fa-IR"/>
        </w:rPr>
        <w:t xml:space="preserve"> </w:t>
      </w:r>
      <w:r w:rsidR="005B1194" w:rsidRPr="00CA3111">
        <w:rPr>
          <w:szCs w:val="24"/>
          <w:lang w:bidi="fa-IR"/>
        </w:rPr>
        <w:t>was</w:t>
      </w:r>
      <w:r w:rsidR="00A23CD8" w:rsidRPr="00CA3111">
        <w:rPr>
          <w:szCs w:val="24"/>
          <w:lang w:bidi="fa-IR"/>
        </w:rPr>
        <w:t xml:space="preserve"> how best to transcribe diplomatically</w:t>
      </w:r>
      <w:r w:rsidR="00406633" w:rsidRPr="00CA3111">
        <w:rPr>
          <w:szCs w:val="24"/>
          <w:lang w:bidi="fa-IR"/>
        </w:rPr>
        <w:t xml:space="preserve"> (</w:t>
      </w:r>
      <w:proofErr w:type="gramStart"/>
      <w:r w:rsidR="00406633" w:rsidRPr="00CA3111">
        <w:rPr>
          <w:szCs w:val="24"/>
          <w:lang w:bidi="fa-IR"/>
        </w:rPr>
        <w:t>i.e.</w:t>
      </w:r>
      <w:proofErr w:type="gramEnd"/>
      <w:r w:rsidR="00406633" w:rsidRPr="00CA3111">
        <w:rPr>
          <w:szCs w:val="24"/>
          <w:lang w:bidi="fa-IR"/>
        </w:rPr>
        <w:t xml:space="preserve"> to render the paleographic hand into Unicode as closely and </w:t>
      </w:r>
      <w:r w:rsidR="0053372D" w:rsidRPr="00CA3111">
        <w:rPr>
          <w:szCs w:val="24"/>
          <w:lang w:bidi="fa-IR"/>
        </w:rPr>
        <w:t>precisely</w:t>
      </w:r>
      <w:r w:rsidR="00406633" w:rsidRPr="00CA3111">
        <w:rPr>
          <w:szCs w:val="24"/>
          <w:lang w:bidi="fa-IR"/>
        </w:rPr>
        <w:t xml:space="preserve"> as possible). </w:t>
      </w:r>
      <w:r w:rsidR="00A23CD8" w:rsidRPr="00CA3111">
        <w:rPr>
          <w:szCs w:val="24"/>
          <w:lang w:bidi="fa-IR"/>
        </w:rPr>
        <w:t xml:space="preserve">Take, for example, the following screenshot of the word </w:t>
      </w:r>
      <w:r w:rsidR="00A23CD8" w:rsidRPr="00CA3111">
        <w:rPr>
          <w:szCs w:val="24"/>
          <w:rtl/>
          <w:lang w:bidi="fa-IR"/>
        </w:rPr>
        <w:t>«</w:t>
      </w:r>
      <w:r w:rsidR="005B1194" w:rsidRPr="00CA3111">
        <w:rPr>
          <w:szCs w:val="24"/>
          <w:rtl/>
          <w:lang w:bidi="fa-IR"/>
        </w:rPr>
        <w:t>بیمت</w:t>
      </w:r>
      <w:r w:rsidR="00A23CD8" w:rsidRPr="00CA3111">
        <w:rPr>
          <w:szCs w:val="24"/>
          <w:rtl/>
          <w:lang w:bidi="fa-IR"/>
        </w:rPr>
        <w:t>»</w:t>
      </w:r>
      <w:r w:rsidR="005B1194" w:rsidRPr="00CA3111">
        <w:rPr>
          <w:szCs w:val="24"/>
          <w:lang w:bidi="fa-IR"/>
        </w:rPr>
        <w:t xml:space="preserve"> [</w:t>
      </w:r>
      <w:r w:rsidR="005B1194" w:rsidRPr="00CA3111">
        <w:rPr>
          <w:i/>
          <w:iCs/>
          <w:szCs w:val="24"/>
          <w:lang w:bidi="fa-IR"/>
        </w:rPr>
        <w:t>bīmat]</w:t>
      </w:r>
      <w:r w:rsidR="007433E0" w:rsidRPr="00CA3111">
        <w:rPr>
          <w:szCs w:val="24"/>
          <w:lang w:bidi="fa-IR"/>
        </w:rPr>
        <w:t xml:space="preserve"> in MS. Elliot 192</w:t>
      </w:r>
      <w:r w:rsidR="00A23CD8" w:rsidRPr="00CA3111">
        <w:rPr>
          <w:szCs w:val="24"/>
          <w:lang w:bidi="fa-IR"/>
        </w:rPr>
        <w:t xml:space="preserve">. </w:t>
      </w:r>
      <w:r w:rsidR="00DC235A" w:rsidRPr="00CA3111">
        <w:rPr>
          <w:szCs w:val="24"/>
          <w:lang w:bidi="fa-IR"/>
        </w:rPr>
        <w:t>T</w:t>
      </w:r>
      <w:r w:rsidR="00A23CD8" w:rsidRPr="00CA3111">
        <w:rPr>
          <w:szCs w:val="24"/>
          <w:lang w:bidi="fa-IR"/>
        </w:rPr>
        <w:t xml:space="preserve">o transcribe this </w:t>
      </w:r>
      <w:r w:rsidR="005B1194" w:rsidRPr="00CA3111">
        <w:rPr>
          <w:szCs w:val="24"/>
          <w:lang w:bidi="fa-IR"/>
        </w:rPr>
        <w:t xml:space="preserve">as </w:t>
      </w:r>
      <w:r w:rsidR="00A23CD8" w:rsidRPr="00CA3111">
        <w:rPr>
          <w:szCs w:val="24"/>
          <w:lang w:bidi="fa-IR"/>
        </w:rPr>
        <w:t>diplomatically</w:t>
      </w:r>
      <w:r w:rsidR="005B1194" w:rsidRPr="00CA3111">
        <w:rPr>
          <w:szCs w:val="24"/>
          <w:lang w:bidi="fa-IR"/>
        </w:rPr>
        <w:t xml:space="preserve"> as possible</w:t>
      </w:r>
      <w:r w:rsidR="00A23CD8" w:rsidRPr="00CA3111">
        <w:rPr>
          <w:szCs w:val="24"/>
          <w:lang w:bidi="fa-IR"/>
        </w:rPr>
        <w:t>,</w:t>
      </w:r>
      <w:r w:rsidR="00DC235A" w:rsidRPr="00CA3111">
        <w:rPr>
          <w:szCs w:val="24"/>
          <w:lang w:bidi="fa-IR"/>
        </w:rPr>
        <w:t xml:space="preserve"> one</w:t>
      </w:r>
      <w:r w:rsidR="00A23CD8" w:rsidRPr="00CA3111">
        <w:rPr>
          <w:szCs w:val="24"/>
          <w:lang w:bidi="fa-IR"/>
        </w:rPr>
        <w:t xml:space="preserve"> </w:t>
      </w:r>
      <w:r w:rsidR="005B1194" w:rsidRPr="00CA3111">
        <w:rPr>
          <w:szCs w:val="24"/>
          <w:lang w:bidi="fa-IR"/>
        </w:rPr>
        <w:t xml:space="preserve">would </w:t>
      </w:r>
      <w:r w:rsidR="00A23CD8" w:rsidRPr="00CA3111">
        <w:rPr>
          <w:szCs w:val="24"/>
          <w:lang w:bidi="fa-IR"/>
        </w:rPr>
        <w:t xml:space="preserve">render it as </w:t>
      </w:r>
      <w:r w:rsidR="00A23CD8" w:rsidRPr="00CA3111">
        <w:rPr>
          <w:szCs w:val="24"/>
          <w:rtl/>
          <w:lang w:bidi="fa-IR"/>
        </w:rPr>
        <w:t>«</w:t>
      </w:r>
      <w:r w:rsidR="00A23CD8" w:rsidRPr="00CA3111">
        <w:rPr>
          <w:rFonts w:eastAsia="Times New Roman"/>
          <w:kern w:val="0"/>
          <w:szCs w:val="24"/>
          <w:rtl/>
          <w:lang w:bidi="fa-IR"/>
          <w14:ligatures w14:val="none"/>
        </w:rPr>
        <w:t>ٮپمت</w:t>
      </w:r>
      <w:r w:rsidR="00A23CD8" w:rsidRPr="00CA3111">
        <w:rPr>
          <w:szCs w:val="24"/>
          <w:rtl/>
          <w:lang w:bidi="fa-IR"/>
        </w:rPr>
        <w:t>»</w:t>
      </w:r>
      <w:r w:rsidR="00A23CD8" w:rsidRPr="00CA3111">
        <w:rPr>
          <w:szCs w:val="24"/>
          <w:lang w:bidi="fa-IR"/>
        </w:rPr>
        <w:t>, even though the consolidation of dots is an aesthetic choice and not an orthographic one</w:t>
      </w:r>
      <w:r w:rsidR="005B1194" w:rsidRPr="00CA3111">
        <w:rPr>
          <w:szCs w:val="24"/>
          <w:lang w:bidi="fa-IR"/>
        </w:rPr>
        <w:t xml:space="preserve">. </w:t>
      </w:r>
      <w:r w:rsidR="00A23CD8" w:rsidRPr="00CA3111">
        <w:rPr>
          <w:szCs w:val="24"/>
          <w:lang w:bidi="fa-IR"/>
        </w:rPr>
        <w:t xml:space="preserve">If one were to reverse transcribe </w:t>
      </w:r>
      <w:r w:rsidR="00DC235A" w:rsidRPr="00CA3111">
        <w:rPr>
          <w:szCs w:val="24"/>
          <w:lang w:bidi="fa-IR"/>
        </w:rPr>
        <w:t>the diplomatic transcription, however</w:t>
      </w:r>
      <w:r w:rsidR="00A23CD8" w:rsidRPr="00CA3111">
        <w:rPr>
          <w:szCs w:val="24"/>
          <w:lang w:bidi="fa-IR"/>
        </w:rPr>
        <w:t xml:space="preserve">, it would go from </w:t>
      </w:r>
      <w:proofErr w:type="spellStart"/>
      <w:r w:rsidR="00A23CD8" w:rsidRPr="00CA3111">
        <w:rPr>
          <w:i/>
          <w:iCs/>
          <w:szCs w:val="24"/>
          <w:lang w:bidi="fa-IR"/>
        </w:rPr>
        <w:t>bīmat</w:t>
      </w:r>
      <w:proofErr w:type="spellEnd"/>
      <w:r w:rsidR="00A23CD8" w:rsidRPr="00CA3111">
        <w:rPr>
          <w:szCs w:val="24"/>
          <w:lang w:bidi="fa-IR"/>
        </w:rPr>
        <w:t xml:space="preserve"> </w:t>
      </w:r>
      <w:proofErr w:type="gramStart"/>
      <w:r w:rsidR="00A23CD8" w:rsidRPr="00CA3111">
        <w:rPr>
          <w:szCs w:val="24"/>
          <w:lang w:bidi="fa-IR"/>
        </w:rPr>
        <w:t xml:space="preserve">to </w:t>
      </w:r>
      <w:r w:rsidR="00A23CD8" w:rsidRPr="00CA3111">
        <w:rPr>
          <w:i/>
          <w:iCs/>
          <w:szCs w:val="24"/>
          <w:lang w:bidi="fa-IR"/>
        </w:rPr>
        <w:t>?</w:t>
      </w:r>
      <w:proofErr w:type="spellStart"/>
      <w:r w:rsidR="00A23CD8" w:rsidRPr="00CA3111">
        <w:rPr>
          <w:i/>
          <w:iCs/>
          <w:szCs w:val="24"/>
          <w:lang w:bidi="fa-IR"/>
        </w:rPr>
        <w:t>pmat</w:t>
      </w:r>
      <w:proofErr w:type="spellEnd"/>
      <w:proofErr w:type="gramEnd"/>
      <w:r w:rsidR="00DC235A" w:rsidRPr="00CA3111">
        <w:rPr>
          <w:i/>
          <w:iCs/>
          <w:szCs w:val="24"/>
          <w:lang w:bidi="fa-IR"/>
        </w:rPr>
        <w:t xml:space="preserve">, </w:t>
      </w:r>
      <w:r w:rsidR="00DC235A" w:rsidRPr="00CA3111">
        <w:rPr>
          <w:szCs w:val="24"/>
          <w:lang w:bidi="fa-IR"/>
        </w:rPr>
        <w:t>losing all semantic meaning</w:t>
      </w:r>
      <w:r w:rsidR="00A23CD8" w:rsidRPr="00CA3111">
        <w:rPr>
          <w:szCs w:val="24"/>
          <w:lang w:bidi="fa-IR"/>
        </w:rPr>
        <w:t>.</w:t>
      </w:r>
      <w:r w:rsidR="00740B6D" w:rsidRPr="00CA3111">
        <w:rPr>
          <w:szCs w:val="24"/>
          <w:lang w:bidi="fa-IR"/>
        </w:rPr>
        <w:t xml:space="preserve"> </w:t>
      </w:r>
      <w:r w:rsidR="00EE5FDC" w:rsidRPr="00CA3111">
        <w:rPr>
          <w:rFonts w:eastAsia="Times New Roman"/>
          <w:kern w:val="0"/>
          <w:szCs w:val="24"/>
          <w:lang w:bidi="fa-IR"/>
          <w14:ligatures w14:val="none"/>
        </w:rPr>
        <w:t>There is a danger of being so</w:t>
      </w:r>
      <w:r w:rsidR="005B1194" w:rsidRPr="00CA3111">
        <w:rPr>
          <w:rFonts w:eastAsia="Times New Roman"/>
          <w:kern w:val="0"/>
          <w:szCs w:val="24"/>
          <w:lang w:bidi="fa-IR"/>
          <w14:ligatures w14:val="none"/>
        </w:rPr>
        <w:t xml:space="preserve"> diplomatic as to render </w:t>
      </w:r>
      <w:r w:rsidR="00EE5FDC" w:rsidRPr="00CA3111">
        <w:rPr>
          <w:rFonts w:eastAsia="Times New Roman"/>
          <w:kern w:val="0"/>
          <w:szCs w:val="24"/>
          <w:lang w:bidi="fa-IR"/>
          <w14:ligatures w14:val="none"/>
        </w:rPr>
        <w:t>a</w:t>
      </w:r>
      <w:r w:rsidR="005B1194" w:rsidRPr="00CA3111">
        <w:rPr>
          <w:rFonts w:eastAsia="Times New Roman"/>
          <w:kern w:val="0"/>
          <w:szCs w:val="24"/>
          <w:lang w:bidi="fa-IR"/>
          <w14:ligatures w14:val="none"/>
        </w:rPr>
        <w:t xml:space="preserve"> transcription utterly useless unless it is to be presented alongside the digitized manuscript.</w:t>
      </w:r>
      <w:r w:rsidR="00A80991" w:rsidRPr="00CA3111">
        <w:rPr>
          <w:rFonts w:eastAsia="Times New Roman"/>
          <w:kern w:val="0"/>
          <w:szCs w:val="24"/>
          <w:lang w:bidi="fa-IR"/>
          <w14:ligatures w14:val="none"/>
        </w:rPr>
        <w:t xml:space="preserve"> What does diplomacy even mean in such a context? How do we decide the best way to transcribe diplomatically without sacrificing semantic accuracy? </w:t>
      </w:r>
    </w:p>
    <w:p w14:paraId="42CB27BD" w14:textId="77777777" w:rsidR="00D067A0" w:rsidRPr="00CA3111" w:rsidRDefault="00D067A0" w:rsidP="00AD67D4">
      <w:pPr>
        <w:pStyle w:val="NoSpacing"/>
        <w:rPr>
          <w:szCs w:val="24"/>
          <w:lang w:bidi="fa-IR"/>
        </w:rPr>
      </w:pPr>
    </w:p>
    <w:p w14:paraId="38BA75A2" w14:textId="556BF158" w:rsidR="00AD67D4" w:rsidRDefault="00AD67D4" w:rsidP="00AD67D4">
      <w:pPr>
        <w:pStyle w:val="NoSpacing"/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2916A5A5" wp14:editId="0C3949C2">
            <wp:extent cx="3474720" cy="1489163"/>
            <wp:effectExtent l="0" t="0" r="5080" b="0"/>
            <wp:docPr id="1535875435" name="Picture 5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5435" name="Picture 5" descr="A close up of a pap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91C" w14:textId="77777777" w:rsidR="00AD67D4" w:rsidRPr="00CA3111" w:rsidRDefault="00AD67D4" w:rsidP="00AD67D4">
      <w:pPr>
        <w:pStyle w:val="NoSpacing"/>
        <w:rPr>
          <w:szCs w:val="24"/>
          <w:lang w:bidi="fa-IR"/>
        </w:rPr>
      </w:pPr>
    </w:p>
    <w:p w14:paraId="1D148DB9" w14:textId="4263460B" w:rsidR="00D067A0" w:rsidRPr="00CA3111" w:rsidRDefault="007433E0" w:rsidP="00AD67D4">
      <w:pPr>
        <w:pStyle w:val="NoSpacing"/>
        <w:rPr>
          <w:szCs w:val="24"/>
          <w:rtl/>
          <w:lang w:bidi="fa-IR"/>
        </w:rPr>
      </w:pPr>
      <w:r w:rsidRPr="00CA3111">
        <w:rPr>
          <w:szCs w:val="24"/>
          <w:lang w:bidi="fa-IR"/>
        </w:rPr>
        <w:t>Another important area of focus is recording instances of scribal corrections</w:t>
      </w:r>
      <w:r w:rsidR="00FB5D1C" w:rsidRPr="00CA3111">
        <w:rPr>
          <w:szCs w:val="24"/>
          <w:lang w:bidi="fa-IR"/>
        </w:rPr>
        <w:t xml:space="preserve">. </w:t>
      </w:r>
      <w:proofErr w:type="gramStart"/>
      <w:r w:rsidR="00FB5D1C" w:rsidRPr="00CA3111">
        <w:rPr>
          <w:szCs w:val="24"/>
          <w:lang w:bidi="fa-IR"/>
        </w:rPr>
        <w:t>During the course of</w:t>
      </w:r>
      <w:proofErr w:type="gramEnd"/>
      <w:r w:rsidR="00FB5D1C" w:rsidRPr="00CA3111">
        <w:rPr>
          <w:szCs w:val="24"/>
          <w:lang w:bidi="fa-IR"/>
        </w:rPr>
        <w:t xml:space="preserve"> our studies, Dr. Osama </w:t>
      </w:r>
      <w:proofErr w:type="spellStart"/>
      <w:r w:rsidR="00FB5D1C" w:rsidRPr="00CA3111">
        <w:rPr>
          <w:szCs w:val="24"/>
          <w:lang w:bidi="fa-IR"/>
        </w:rPr>
        <w:t>Eshera</w:t>
      </w:r>
      <w:proofErr w:type="spellEnd"/>
      <w:r w:rsidR="00FB5D1C" w:rsidRPr="00CA3111">
        <w:rPr>
          <w:szCs w:val="24"/>
          <w:lang w:bidi="fa-IR"/>
        </w:rPr>
        <w:t xml:space="preserve"> taught us to recognize the way scribes often index corrections,</w:t>
      </w:r>
      <w:r w:rsidR="00AD67D4" w:rsidRPr="00CA3111">
        <w:rPr>
          <w:szCs w:val="24"/>
          <w:lang w:bidi="fa-IR"/>
        </w:rPr>
        <w:t xml:space="preserve"> </w:t>
      </w:r>
      <w:r w:rsidR="00FB5D1C" w:rsidRPr="00CA3111">
        <w:rPr>
          <w:szCs w:val="24"/>
          <w:lang w:bidi="fa-IR"/>
        </w:rPr>
        <w:t xml:space="preserve">like the one seen here from </w:t>
      </w:r>
      <w:proofErr w:type="spellStart"/>
      <w:r w:rsidR="00FB5D1C" w:rsidRPr="00CA3111">
        <w:rPr>
          <w:szCs w:val="24"/>
          <w:lang w:bidi="fa-IR"/>
        </w:rPr>
        <w:t>SzB</w:t>
      </w:r>
      <w:proofErr w:type="spellEnd"/>
      <w:r w:rsidR="00FB5D1C" w:rsidRPr="00CA3111">
        <w:rPr>
          <w:szCs w:val="24"/>
          <w:lang w:bidi="fa-IR"/>
        </w:rPr>
        <w:t xml:space="preserve"> or. fol. 107 on fol. 91v. T</w:t>
      </w:r>
      <w:r w:rsidR="009127E4" w:rsidRPr="00CA3111">
        <w:rPr>
          <w:szCs w:val="24"/>
          <w:lang w:bidi="fa-IR"/>
        </w:rPr>
        <w:t>here are two sets of sigla.</w:t>
      </w:r>
      <w:r w:rsidRPr="00CA3111">
        <w:rPr>
          <w:szCs w:val="24"/>
          <w:lang w:bidi="fa-IR"/>
        </w:rPr>
        <w:t xml:space="preserve"> </w:t>
      </w:r>
      <w:r w:rsidR="00591C29" w:rsidRPr="00CA3111">
        <w:rPr>
          <w:szCs w:val="24"/>
          <w:lang w:bidi="fa-IR"/>
        </w:rPr>
        <w:t>The (</w:t>
      </w:r>
      <w:r w:rsidR="00591C29" w:rsidRPr="00CA3111">
        <w:rPr>
          <w:rFonts w:hint="cs"/>
          <w:szCs w:val="24"/>
          <w:rtl/>
          <w:lang w:bidi="fa-IR"/>
        </w:rPr>
        <w:t>۲</w:t>
      </w:r>
      <w:r w:rsidR="00591C29" w:rsidRPr="00CA3111">
        <w:rPr>
          <w:szCs w:val="24"/>
          <w:lang w:bidi="fa-IR"/>
        </w:rPr>
        <w:t>) highlighted in red marks a transpositional error</w:t>
      </w:r>
      <w:r w:rsidR="009127E4" w:rsidRPr="00CA3111">
        <w:rPr>
          <w:szCs w:val="24"/>
          <w:lang w:bidi="fa-IR"/>
        </w:rPr>
        <w:t xml:space="preserve">: the scribe has written </w:t>
      </w:r>
      <w:r w:rsidR="009127E4" w:rsidRPr="00CA3111">
        <w:rPr>
          <w:rFonts w:hint="cs"/>
          <w:szCs w:val="24"/>
          <w:rtl/>
          <w:lang w:bidi="fa-IR"/>
        </w:rPr>
        <w:t xml:space="preserve">«من بر همه </w:t>
      </w:r>
      <w:proofErr w:type="spellStart"/>
      <w:r w:rsidR="009127E4" w:rsidRPr="00CA3111">
        <w:rPr>
          <w:rFonts w:hint="cs"/>
          <w:szCs w:val="24"/>
          <w:rtl/>
          <w:lang w:bidi="fa-IR"/>
        </w:rPr>
        <w:t>غذاساز</w:t>
      </w:r>
      <w:proofErr w:type="spellEnd"/>
      <w:r w:rsidR="009127E4" w:rsidRPr="00CA3111">
        <w:rPr>
          <w:rFonts w:hint="cs"/>
          <w:szCs w:val="24"/>
          <w:rtl/>
          <w:lang w:bidi="fa-IR"/>
        </w:rPr>
        <w:t xml:space="preserve"> کس شوم»</w:t>
      </w:r>
      <w:r w:rsidR="009127E4" w:rsidRPr="00CA3111">
        <w:rPr>
          <w:szCs w:val="24"/>
          <w:lang w:bidi="fa-IR"/>
        </w:rPr>
        <w:t xml:space="preserve"> but the line should read</w:t>
      </w:r>
      <w:r w:rsidR="000C7139" w:rsidRPr="00CA3111">
        <w:rPr>
          <w:szCs w:val="24"/>
          <w:lang w:bidi="fa-IR"/>
        </w:rPr>
        <w:t xml:space="preserve"> </w:t>
      </w:r>
      <w:r w:rsidR="009127E4" w:rsidRPr="00CA3111">
        <w:rPr>
          <w:rFonts w:hint="cs"/>
          <w:szCs w:val="24"/>
          <w:rtl/>
          <w:lang w:bidi="fa-IR"/>
        </w:rPr>
        <w:t xml:space="preserve">«من بر همه کس شوم </w:t>
      </w:r>
      <w:proofErr w:type="spellStart"/>
      <w:r w:rsidR="009127E4" w:rsidRPr="00CA3111">
        <w:rPr>
          <w:rFonts w:hint="cs"/>
          <w:szCs w:val="24"/>
          <w:rtl/>
          <w:lang w:bidi="fa-IR"/>
        </w:rPr>
        <w:t>غذاساز</w:t>
      </w:r>
      <w:proofErr w:type="spellEnd"/>
      <w:r w:rsidR="009127E4" w:rsidRPr="00CA3111">
        <w:rPr>
          <w:rFonts w:hint="cs"/>
          <w:szCs w:val="24"/>
          <w:rtl/>
          <w:lang w:bidi="fa-IR"/>
        </w:rPr>
        <w:t>»</w:t>
      </w:r>
      <w:r w:rsidR="009127E4" w:rsidRPr="00CA3111">
        <w:rPr>
          <w:szCs w:val="24"/>
          <w:lang w:bidi="fa-IR"/>
        </w:rPr>
        <w:t>. The second set of sigla</w:t>
      </w:r>
      <w:r w:rsidR="00383F95" w:rsidRPr="00CA3111">
        <w:rPr>
          <w:szCs w:val="24"/>
          <w:lang w:bidi="fa-IR"/>
        </w:rPr>
        <w:t xml:space="preserve"> (marked in blue)</w:t>
      </w:r>
      <w:r w:rsidR="009127E4" w:rsidRPr="00CA3111">
        <w:rPr>
          <w:szCs w:val="24"/>
          <w:lang w:bidi="fa-IR"/>
        </w:rPr>
        <w:t xml:space="preserve"> seems to be a </w:t>
      </w:r>
      <w:proofErr w:type="spellStart"/>
      <w:r w:rsidR="009127E4" w:rsidRPr="00CA3111">
        <w:rPr>
          <w:szCs w:val="24"/>
          <w:lang w:bidi="fa-IR"/>
        </w:rPr>
        <w:t>dotless</w:t>
      </w:r>
      <w:proofErr w:type="spellEnd"/>
      <w:r w:rsidR="009127E4" w:rsidRPr="00CA3111">
        <w:rPr>
          <w:szCs w:val="24"/>
          <w:lang w:bidi="fa-IR"/>
        </w:rPr>
        <w:t xml:space="preserve"> (</w:t>
      </w:r>
      <w:r w:rsidR="009127E4" w:rsidRPr="00CA3111">
        <w:rPr>
          <w:rFonts w:hint="cs"/>
          <w:szCs w:val="24"/>
          <w:rtl/>
          <w:lang w:bidi="fa-IR"/>
        </w:rPr>
        <w:t>خ</w:t>
      </w:r>
      <w:r w:rsidR="009127E4" w:rsidRPr="00CA3111">
        <w:rPr>
          <w:szCs w:val="24"/>
          <w:lang w:bidi="fa-IR"/>
        </w:rPr>
        <w:t xml:space="preserve">) which </w:t>
      </w:r>
      <w:r w:rsidR="000C7139" w:rsidRPr="00CA3111">
        <w:rPr>
          <w:szCs w:val="24"/>
          <w:lang w:bidi="fa-IR"/>
        </w:rPr>
        <w:t xml:space="preserve">may either indicate a variant reading or another way of noting a transpositional error. </w:t>
      </w:r>
    </w:p>
    <w:p w14:paraId="248F49A4" w14:textId="1E6196B1" w:rsidR="00432E35" w:rsidRDefault="00432E35" w:rsidP="00AD67D4">
      <w:pPr>
        <w:pStyle w:val="NoSpacing"/>
        <w:rPr>
          <w:lang w:bidi="fa-IR"/>
        </w:rPr>
      </w:pPr>
    </w:p>
    <w:p w14:paraId="7CC575D7" w14:textId="217F9BF8" w:rsidR="003B63B5" w:rsidRDefault="00DC5EF3" w:rsidP="00AD67D4">
      <w:pPr>
        <w:pStyle w:val="NoSpacing"/>
        <w:rPr>
          <w:lang w:bidi="fa-IR"/>
        </w:rPr>
      </w:pPr>
      <w:r>
        <w:rPr>
          <w:lang w:bidi="fa-IR"/>
        </w:rPr>
        <w:t xml:space="preserve">iv. Collating </w:t>
      </w:r>
      <w:proofErr w:type="spellStart"/>
      <w:r w:rsidRPr="00CA3111">
        <w:rPr>
          <w:i/>
          <w:iCs/>
          <w:lang w:bidi="fa-IR"/>
        </w:rPr>
        <w:t>Laylī</w:t>
      </w:r>
      <w:proofErr w:type="spellEnd"/>
      <w:r w:rsidRPr="00CA3111">
        <w:rPr>
          <w:i/>
          <w:iCs/>
          <w:lang w:bidi="fa-IR"/>
        </w:rPr>
        <w:t xml:space="preserve">-u </w:t>
      </w:r>
      <w:proofErr w:type="spellStart"/>
      <w:r w:rsidRPr="00CA3111">
        <w:rPr>
          <w:i/>
          <w:iCs/>
          <w:lang w:bidi="fa-IR"/>
        </w:rPr>
        <w:t>Majnūn</w:t>
      </w:r>
      <w:proofErr w:type="spellEnd"/>
    </w:p>
    <w:p w14:paraId="2B4F0094" w14:textId="77777777" w:rsidR="00AD67D4" w:rsidRDefault="00AD67D4" w:rsidP="00AD67D4">
      <w:pPr>
        <w:pStyle w:val="NoSpacing"/>
        <w:rPr>
          <w:lang w:bidi="fa-IR"/>
        </w:rPr>
      </w:pPr>
    </w:p>
    <w:p w14:paraId="0ECC9F40" w14:textId="77777777" w:rsidR="00AD67D4" w:rsidRDefault="008C0FFC" w:rsidP="00AD67D4">
      <w:pPr>
        <w:pStyle w:val="NoSpacing"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7B5BE12" wp14:editId="0927910C">
            <wp:extent cx="3797300" cy="2101850"/>
            <wp:effectExtent l="0" t="0" r="0" b="6350"/>
            <wp:docPr id="16429633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322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24DF" w14:textId="77777777" w:rsidR="00AD67D4" w:rsidRDefault="00AD67D4" w:rsidP="00AD67D4">
      <w:pPr>
        <w:pStyle w:val="NoSpacing"/>
        <w:rPr>
          <w:lang w:bidi="fa-IR"/>
        </w:rPr>
      </w:pPr>
    </w:p>
    <w:p w14:paraId="7E37A221" w14:textId="23157D59" w:rsidR="002F173D" w:rsidRDefault="003B63B5" w:rsidP="00AD67D4">
      <w:pPr>
        <w:pStyle w:val="NoSpacing"/>
        <w:rPr>
          <w:lang w:bidi="fa-IR"/>
        </w:rPr>
      </w:pPr>
      <w:r>
        <w:rPr>
          <w:lang w:bidi="fa-IR"/>
        </w:rPr>
        <w:t xml:space="preserve">The initial collation suggests that while there is a great degree of variability between the three witnesses of </w:t>
      </w:r>
      <w:r>
        <w:rPr>
          <w:i/>
          <w:iCs/>
          <w:lang w:bidi="fa-IR"/>
        </w:rPr>
        <w:t xml:space="preserve">Laylī-u Majnūn </w:t>
      </w:r>
      <w:r>
        <w:rPr>
          <w:lang w:bidi="fa-IR"/>
        </w:rPr>
        <w:t>employed here, the</w:t>
      </w:r>
      <w:r w:rsidR="00383F95">
        <w:rPr>
          <w:lang w:bidi="fa-IR"/>
        </w:rPr>
        <w:t xml:space="preserve"> variability occurs along a similar matrix</w:t>
      </w:r>
      <w:r>
        <w:rPr>
          <w:lang w:bidi="fa-IR"/>
        </w:rPr>
        <w:t xml:space="preserve">. By this, I mean that </w:t>
      </w:r>
      <w:r w:rsidR="005063FC">
        <w:rPr>
          <w:lang w:bidi="fa-IR"/>
        </w:rPr>
        <w:t>it is</w:t>
      </w:r>
      <w:r w:rsidR="0053372D">
        <w:rPr>
          <w:lang w:bidi="fa-IR"/>
        </w:rPr>
        <w:t xml:space="preserve"> often</w:t>
      </w:r>
      <w:r w:rsidR="005063FC">
        <w:rPr>
          <w:lang w:bidi="fa-IR"/>
        </w:rPr>
        <w:t xml:space="preserve"> </w:t>
      </w:r>
      <w:r>
        <w:rPr>
          <w:lang w:bidi="fa-IR"/>
        </w:rPr>
        <w:t xml:space="preserve">the same </w:t>
      </w:r>
      <w:r w:rsidR="00383F95">
        <w:rPr>
          <w:lang w:bidi="fa-IR"/>
        </w:rPr>
        <w:t>sections</w:t>
      </w:r>
      <w:r w:rsidR="005063FC">
        <w:rPr>
          <w:lang w:bidi="fa-IR"/>
        </w:rPr>
        <w:t xml:space="preserve"> that shift, the same words that </w:t>
      </w:r>
      <w:r w:rsidR="0053372D">
        <w:rPr>
          <w:lang w:bidi="fa-IR"/>
        </w:rPr>
        <w:t>change</w:t>
      </w:r>
      <w:r w:rsidR="005063FC">
        <w:rPr>
          <w:lang w:bidi="fa-IR"/>
        </w:rPr>
        <w:t xml:space="preserve">, and the same orthographic features that index the scribe’s idiosyncrasies. Quite surprising to me is that the two witnesses that are the furthest apart chronologically—MS. Elliot </w:t>
      </w:r>
      <w:proofErr w:type="gramStart"/>
      <w:r w:rsidR="005063FC">
        <w:rPr>
          <w:lang w:bidi="fa-IR"/>
        </w:rPr>
        <w:t>192  and</w:t>
      </w:r>
      <w:proofErr w:type="gramEnd"/>
      <w:r w:rsidR="005063FC">
        <w:rPr>
          <w:lang w:bidi="fa-IR"/>
        </w:rPr>
        <w:t xml:space="preserve"> LoC M19—are almost identical. </w:t>
      </w:r>
      <w:r w:rsidR="00B57D6E">
        <w:rPr>
          <w:lang w:bidi="fa-IR"/>
        </w:rPr>
        <w:t xml:space="preserve">Though there are no definitive indications of where these manuscripts were copied, it seems likely that LoC M19 was copied in India while MS. Elliot 192 and </w:t>
      </w:r>
      <w:proofErr w:type="spellStart"/>
      <w:r w:rsidR="00B57D6E">
        <w:rPr>
          <w:lang w:bidi="fa-IR"/>
        </w:rPr>
        <w:t>SzB</w:t>
      </w:r>
      <w:proofErr w:type="spellEnd"/>
      <w:r w:rsidR="00B57D6E">
        <w:rPr>
          <w:lang w:bidi="fa-IR"/>
        </w:rPr>
        <w:t xml:space="preserve"> or. fol. 107 are from southwest or central Asia. </w:t>
      </w:r>
      <w:r w:rsidR="00FB5D1C">
        <w:rPr>
          <w:lang w:bidi="fa-IR"/>
        </w:rPr>
        <w:t xml:space="preserve">As I continue my research, I look forward to the possibility of tracing out the genealogy of these manuscripts, working towards a stemmatological analysis of extant witnesses of </w:t>
      </w:r>
      <w:proofErr w:type="spellStart"/>
      <w:r w:rsidR="00FB5D1C">
        <w:rPr>
          <w:lang w:bidi="fa-IR"/>
        </w:rPr>
        <w:t>Niẓāmī’s</w:t>
      </w:r>
      <w:proofErr w:type="spellEnd"/>
      <w:r w:rsidR="00FB5D1C">
        <w:rPr>
          <w:lang w:bidi="fa-IR"/>
        </w:rPr>
        <w:t xml:space="preserve"> </w:t>
      </w:r>
      <w:proofErr w:type="spellStart"/>
      <w:r w:rsidR="00FB5D1C">
        <w:rPr>
          <w:i/>
          <w:iCs/>
          <w:lang w:bidi="fa-IR"/>
        </w:rPr>
        <w:t>Laylī</w:t>
      </w:r>
      <w:proofErr w:type="spellEnd"/>
      <w:r w:rsidR="00FB5D1C">
        <w:rPr>
          <w:i/>
          <w:iCs/>
          <w:lang w:bidi="fa-IR"/>
        </w:rPr>
        <w:t xml:space="preserve">-u </w:t>
      </w:r>
      <w:proofErr w:type="spellStart"/>
      <w:r w:rsidR="00FB5D1C">
        <w:rPr>
          <w:i/>
          <w:iCs/>
          <w:lang w:bidi="fa-IR"/>
        </w:rPr>
        <w:t>Majnūn</w:t>
      </w:r>
      <w:proofErr w:type="spellEnd"/>
      <w:r w:rsidR="00FB5D1C">
        <w:rPr>
          <w:lang w:bidi="fa-IR"/>
        </w:rPr>
        <w:t>.</w:t>
      </w:r>
    </w:p>
    <w:p w14:paraId="268D6985" w14:textId="4788B860" w:rsidR="0082503A" w:rsidRDefault="00AD67D4" w:rsidP="00AD67D4">
      <w:pPr>
        <w:pStyle w:val="NoSpacing"/>
        <w:jc w:val="center"/>
        <w:rPr>
          <w:lang w:bidi="fa-IR"/>
        </w:rPr>
      </w:pPr>
      <w:r>
        <w:rPr>
          <w:lang w:bidi="fa-IR"/>
        </w:rPr>
        <w:t>______________________________</w:t>
      </w:r>
    </w:p>
    <w:p w14:paraId="2C32339A" w14:textId="77777777" w:rsidR="002F173D" w:rsidRDefault="002F173D" w:rsidP="00AD67D4">
      <w:pPr>
        <w:pStyle w:val="NoSpacing"/>
        <w:rPr>
          <w:lang w:bidi="fa-IR"/>
        </w:rPr>
      </w:pPr>
    </w:p>
    <w:p w14:paraId="182FE5F8" w14:textId="7C291378" w:rsidR="002F173D" w:rsidRPr="00FB5D1C" w:rsidRDefault="00000000" w:rsidP="00AD67D4">
      <w:pPr>
        <w:pStyle w:val="NoSpacing"/>
        <w:rPr>
          <w:lang w:bidi="fa-IR"/>
        </w:rPr>
      </w:pPr>
      <w:hyperlink r:id="rId14" w:history="1">
        <w:r w:rsidR="002F173D" w:rsidRPr="007B7B3C">
          <w:rPr>
            <w:rStyle w:val="Hyperlink"/>
            <w:rFonts w:asciiTheme="majorBidi" w:hAnsiTheme="majorBidi" w:cstheme="majorBidi"/>
            <w:szCs w:val="24"/>
            <w:lang w:bidi="fa-IR"/>
          </w:rPr>
          <w:t>Modje Taavon</w:t>
        </w:r>
      </w:hyperlink>
      <w:r w:rsidR="002F173D">
        <w:rPr>
          <w:lang w:bidi="fa-IR"/>
        </w:rPr>
        <w:t xml:space="preserve"> is a doctoral student in the Program for Comparative + World Literature </w:t>
      </w:r>
      <w:r w:rsidR="007B7B3C">
        <w:rPr>
          <w:lang w:bidi="fa-IR"/>
        </w:rPr>
        <w:t xml:space="preserve">and the Program for Medieval Studies </w:t>
      </w:r>
      <w:r w:rsidR="002F173D">
        <w:rPr>
          <w:lang w:bidi="fa-IR"/>
        </w:rPr>
        <w:t xml:space="preserve">at the University of Illinois at Urbana-Champaign. Her research </w:t>
      </w:r>
      <w:r w:rsidR="002F173D">
        <w:rPr>
          <w:lang w:bidi="fa-IR"/>
        </w:rPr>
        <w:lastRenderedPageBreak/>
        <w:t xml:space="preserve">focuses on medieval and early modern Persian, Arabic, and English </w:t>
      </w:r>
      <w:r w:rsidR="000F6A3E">
        <w:rPr>
          <w:lang w:bidi="fa-IR"/>
        </w:rPr>
        <w:t xml:space="preserve">advice </w:t>
      </w:r>
      <w:r w:rsidR="002F173D">
        <w:rPr>
          <w:lang w:bidi="fa-IR"/>
        </w:rPr>
        <w:t>literature,</w:t>
      </w:r>
      <w:r w:rsidR="000F6A3E">
        <w:rPr>
          <w:lang w:bidi="fa-IR"/>
        </w:rPr>
        <w:t xml:space="preserve"> </w:t>
      </w:r>
      <w:r w:rsidR="002F173D" w:rsidRPr="0012029B">
        <w:rPr>
          <w:lang w:bidi="fa-IR"/>
        </w:rPr>
        <w:t>and its participation in political and ethical debates</w:t>
      </w:r>
      <w:r w:rsidR="000F6A3E">
        <w:rPr>
          <w:lang w:bidi="fa-IR"/>
        </w:rPr>
        <w:t>.</w:t>
      </w:r>
    </w:p>
    <w:p w14:paraId="28BA781F" w14:textId="77777777" w:rsidR="00A560FE" w:rsidRDefault="00A560FE" w:rsidP="00AD67D4">
      <w:pPr>
        <w:pStyle w:val="NoSpacing"/>
        <w:rPr>
          <w:lang w:bidi="fa-IR"/>
        </w:rPr>
      </w:pPr>
    </w:p>
    <w:p w14:paraId="3274BE17" w14:textId="77777777" w:rsidR="00A560FE" w:rsidRPr="00B57D6E" w:rsidRDefault="00A560FE" w:rsidP="00AD67D4">
      <w:pPr>
        <w:pStyle w:val="NoSpacing"/>
        <w:rPr>
          <w:rtl/>
          <w:lang w:bidi="fa-IR"/>
        </w:rPr>
      </w:pPr>
    </w:p>
    <w:sectPr w:rsidR="00A560FE" w:rsidRPr="00B5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Arabic">
    <w:altName w:val="Times New Roman"/>
    <w:panose1 w:val="020B0604020202020204"/>
    <w:charset w:val="B2"/>
    <w:family w:val="roman"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69"/>
    <w:rsid w:val="00031322"/>
    <w:rsid w:val="00045CC7"/>
    <w:rsid w:val="00047F23"/>
    <w:rsid w:val="00053172"/>
    <w:rsid w:val="000C7139"/>
    <w:rsid w:val="000F6A3E"/>
    <w:rsid w:val="001431D2"/>
    <w:rsid w:val="00156874"/>
    <w:rsid w:val="00166C9F"/>
    <w:rsid w:val="00171646"/>
    <w:rsid w:val="00177A69"/>
    <w:rsid w:val="001A324B"/>
    <w:rsid w:val="00213E93"/>
    <w:rsid w:val="00227B3A"/>
    <w:rsid w:val="002B2B4D"/>
    <w:rsid w:val="002D6813"/>
    <w:rsid w:val="002F173D"/>
    <w:rsid w:val="00324E2C"/>
    <w:rsid w:val="00383F95"/>
    <w:rsid w:val="003B63B5"/>
    <w:rsid w:val="003D33B9"/>
    <w:rsid w:val="003F5D9A"/>
    <w:rsid w:val="00406633"/>
    <w:rsid w:val="004212A4"/>
    <w:rsid w:val="00432E35"/>
    <w:rsid w:val="00494FFA"/>
    <w:rsid w:val="004A1ABE"/>
    <w:rsid w:val="004D36C5"/>
    <w:rsid w:val="005063FC"/>
    <w:rsid w:val="0053372D"/>
    <w:rsid w:val="0057187D"/>
    <w:rsid w:val="00580477"/>
    <w:rsid w:val="00591C29"/>
    <w:rsid w:val="005B1194"/>
    <w:rsid w:val="005C253A"/>
    <w:rsid w:val="00690F20"/>
    <w:rsid w:val="006B7DFE"/>
    <w:rsid w:val="0073126D"/>
    <w:rsid w:val="00740B6D"/>
    <w:rsid w:val="007433E0"/>
    <w:rsid w:val="00750ECC"/>
    <w:rsid w:val="007B7B3C"/>
    <w:rsid w:val="0082503A"/>
    <w:rsid w:val="0082539B"/>
    <w:rsid w:val="008A67A7"/>
    <w:rsid w:val="008B65A0"/>
    <w:rsid w:val="008C0FFC"/>
    <w:rsid w:val="008C3CDF"/>
    <w:rsid w:val="008D47FB"/>
    <w:rsid w:val="008D4955"/>
    <w:rsid w:val="008E04EA"/>
    <w:rsid w:val="008F244D"/>
    <w:rsid w:val="008F3EF9"/>
    <w:rsid w:val="009127E4"/>
    <w:rsid w:val="0091448D"/>
    <w:rsid w:val="00927B44"/>
    <w:rsid w:val="00935B52"/>
    <w:rsid w:val="009777E4"/>
    <w:rsid w:val="00987C7C"/>
    <w:rsid w:val="009C2783"/>
    <w:rsid w:val="00A03D71"/>
    <w:rsid w:val="00A23CD8"/>
    <w:rsid w:val="00A352D4"/>
    <w:rsid w:val="00A5041B"/>
    <w:rsid w:val="00A560FE"/>
    <w:rsid w:val="00A76664"/>
    <w:rsid w:val="00A778E1"/>
    <w:rsid w:val="00A80991"/>
    <w:rsid w:val="00AB01A5"/>
    <w:rsid w:val="00AC52C4"/>
    <w:rsid w:val="00AD67D4"/>
    <w:rsid w:val="00B42B43"/>
    <w:rsid w:val="00B57D6E"/>
    <w:rsid w:val="00B636FE"/>
    <w:rsid w:val="00C0141E"/>
    <w:rsid w:val="00C20421"/>
    <w:rsid w:val="00C225F0"/>
    <w:rsid w:val="00C24E9C"/>
    <w:rsid w:val="00C369A9"/>
    <w:rsid w:val="00C91CA0"/>
    <w:rsid w:val="00CA3111"/>
    <w:rsid w:val="00CC6CF7"/>
    <w:rsid w:val="00CE12AD"/>
    <w:rsid w:val="00D067A0"/>
    <w:rsid w:val="00D74DAC"/>
    <w:rsid w:val="00D7520E"/>
    <w:rsid w:val="00DA5928"/>
    <w:rsid w:val="00DC1974"/>
    <w:rsid w:val="00DC235A"/>
    <w:rsid w:val="00DC413C"/>
    <w:rsid w:val="00DC5EF3"/>
    <w:rsid w:val="00DD3AC7"/>
    <w:rsid w:val="00DE7823"/>
    <w:rsid w:val="00E02394"/>
    <w:rsid w:val="00EC2F6A"/>
    <w:rsid w:val="00EE5FDC"/>
    <w:rsid w:val="00EF25B4"/>
    <w:rsid w:val="00F1329F"/>
    <w:rsid w:val="00F20407"/>
    <w:rsid w:val="00F400E4"/>
    <w:rsid w:val="00FA1A2D"/>
    <w:rsid w:val="00FB5D1C"/>
    <w:rsid w:val="00FF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D5400"/>
  <w15:chartTrackingRefBased/>
  <w15:docId w15:val="{C748FBE0-ADAF-9543-821C-DED06C49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dobe Arabic"/>
        <w:kern w:val="2"/>
        <w:sz w:val="24"/>
        <w:szCs w:val="4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عربي / فارسي"/>
    <w:qFormat/>
    <w:rsid w:val="00AB01A5"/>
    <w:pPr>
      <w:spacing w:line="360" w:lineRule="auto"/>
      <w:ind w:left="720"/>
      <w:jc w:val="right"/>
    </w:pPr>
  </w:style>
  <w:style w:type="paragraph" w:styleId="Heading3">
    <w:name w:val="heading 3"/>
    <w:basedOn w:val="Normal"/>
    <w:link w:val="Heading3Char"/>
    <w:uiPriority w:val="9"/>
    <w:qFormat/>
    <w:rsid w:val="00FF2410"/>
    <w:pPr>
      <w:spacing w:before="100" w:beforeAutospacing="1" w:after="100" w:afterAutospacing="1" w:line="240" w:lineRule="auto"/>
      <w:ind w:left="0"/>
      <w:jc w:val="left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AD67D4"/>
  </w:style>
  <w:style w:type="character" w:customStyle="1" w:styleId="Heading3Char">
    <w:name w:val="Heading 3 Char"/>
    <w:basedOn w:val="DefaultParagraphFont"/>
    <w:link w:val="Heading3"/>
    <w:uiPriority w:val="9"/>
    <w:rsid w:val="00FF2410"/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unhideWhenUsed/>
    <w:rsid w:val="000313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3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1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2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gif"/><Relationship Id="rId3" Type="http://schemas.openxmlformats.org/officeDocument/2006/relationships/webSettings" Target="webSettings.xml"/><Relationship Id="rId7" Type="http://schemas.openxmlformats.org/officeDocument/2006/relationships/hyperlink" Target="https://www.loc.gov/resource/plmp.m019/?sp=531&amp;st=image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igital.bodleian.ox.ac.uk/objects/ed3dac54-cfc0-43b5-9eb7-6214abe98094/surfaces/665d6738-dd98-4ee0-a0e7-916d9175f7c4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ihrist.org.uk/catalog/work_2043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hyperlink" Target="https://openiti.org/2023/08/22/Exploring-Manuscript-Textual-Variability.html" TargetMode="External"/><Relationship Id="rId14" Type="http://schemas.openxmlformats.org/officeDocument/2006/relationships/hyperlink" Target="https://medieval.illinois.edu/directory/profile/mtaavon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1659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Taavon, Modje</dc:creator>
  <cp:keywords/>
  <dc:description/>
  <cp:lastModifiedBy>Jonathan Parkes Allen</cp:lastModifiedBy>
  <cp:revision>7</cp:revision>
  <cp:lastPrinted>2023-08-30T00:35:00Z</cp:lastPrinted>
  <dcterms:created xsi:type="dcterms:W3CDTF">2023-09-14T19:59:00Z</dcterms:created>
  <dcterms:modified xsi:type="dcterms:W3CDTF">2023-09-15T19:28:00Z</dcterms:modified>
</cp:coreProperties>
</file>