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42D" w:rsidRPr="000F100C" w:rsidRDefault="0078142D" w:rsidP="0078142D">
      <w:pPr>
        <w:pStyle w:val="PlainText"/>
        <w:rPr>
          <w:b/>
          <w:i/>
        </w:rPr>
      </w:pPr>
      <w:r w:rsidRPr="0078142D">
        <w:rPr>
          <w:b/>
        </w:rPr>
        <w:t>Use Case Name:</w:t>
      </w:r>
      <w:r>
        <w:t xml:space="preserve">  Kansas City</w:t>
      </w:r>
      <w:r w:rsidR="00AD4ABE">
        <w:t>, MO. Land Disturbance Permit Process</w:t>
      </w:r>
      <w:r w:rsidR="000F100C">
        <w:tab/>
      </w:r>
      <w:r w:rsidR="000F100C">
        <w:tab/>
      </w:r>
      <w:r w:rsidR="000F100C">
        <w:rPr>
          <w:b/>
          <w:i/>
        </w:rPr>
        <w:t>DRAFT 11-3-14</w:t>
      </w:r>
    </w:p>
    <w:p w:rsidR="0078142D" w:rsidRDefault="0078142D" w:rsidP="0078142D">
      <w:pPr>
        <w:pStyle w:val="PlainText"/>
      </w:pPr>
    </w:p>
    <w:p w:rsidR="0078142D" w:rsidRDefault="00AD4ABE" w:rsidP="00AD4ABE">
      <w:pPr>
        <w:pStyle w:val="PlainText"/>
        <w:numPr>
          <w:ilvl w:val="0"/>
          <w:numId w:val="1"/>
        </w:numPr>
      </w:pPr>
      <w:r>
        <w:t>Short name: Site Disturbance API</w:t>
      </w:r>
    </w:p>
    <w:p w:rsidR="00172CAE" w:rsidRDefault="00AD4ABE" w:rsidP="0013728F">
      <w:pPr>
        <w:pStyle w:val="PlainText"/>
        <w:numPr>
          <w:ilvl w:val="0"/>
          <w:numId w:val="1"/>
        </w:numPr>
      </w:pPr>
      <w:r>
        <w:t>Key source documents: KCMO Info. Bulletin 110.C</w:t>
      </w:r>
      <w:r w:rsidR="00E32C47">
        <w:t xml:space="preserve"> (see </w:t>
      </w:r>
      <w:hyperlink r:id="rId8" w:history="1">
        <w:r w:rsidR="00E32C47" w:rsidRPr="003238A2">
          <w:rPr>
            <w:rStyle w:val="Hyperlink"/>
          </w:rPr>
          <w:t>https://data.kcmo.org/Information-Bulletins/IB110-Part-C-Building-Permit-Checklist/ynax-nukp</w:t>
        </w:r>
      </w:hyperlink>
      <w:r w:rsidR="00E32C47">
        <w:t xml:space="preserve"> )</w:t>
      </w:r>
      <w:r>
        <w:t>,Section 14, and KCMO Ordinances Ch. 63 (Erosion and Sediment Control)</w:t>
      </w:r>
      <w:r w:rsidR="00E32C47">
        <w:t xml:space="preserve"> (see </w:t>
      </w:r>
      <w:hyperlink r:id="rId9" w:history="1">
        <w:r w:rsidR="00172CAE">
          <w:rPr>
            <w:rStyle w:val="Hyperlink"/>
          </w:rPr>
          <w:t>https://www.municode.com/library/mo/kansas_city/codes/code_of_ordinances?nodeId=PTIICOOR_CH63ERSECO_ARTIIERSECORE_DIV1INGE_S63-21TIAU</w:t>
        </w:r>
      </w:hyperlink>
      <w:r w:rsidR="00172CAE">
        <w:t xml:space="preserve">) </w:t>
      </w:r>
    </w:p>
    <w:p w:rsidR="00172CAE" w:rsidRDefault="00172CAE" w:rsidP="00172CAE"/>
    <w:p w:rsidR="0078142D" w:rsidRDefault="00AD4ABE" w:rsidP="0078142D">
      <w:pPr>
        <w:pStyle w:val="PlainText"/>
        <w:rPr>
          <w:b/>
        </w:rPr>
      </w:pPr>
      <w:r>
        <w:rPr>
          <w:b/>
        </w:rPr>
        <w:t xml:space="preserve">Actors/Roles: </w:t>
      </w:r>
    </w:p>
    <w:p w:rsidR="00AD4ABE" w:rsidRDefault="00AD4ABE" w:rsidP="0078142D">
      <w:pPr>
        <w:pStyle w:val="PlainText"/>
      </w:pPr>
    </w:p>
    <w:p w:rsidR="0078142D" w:rsidRDefault="00AD4ABE" w:rsidP="00AD4ABE">
      <w:pPr>
        <w:pStyle w:val="PlainText"/>
        <w:numPr>
          <w:ilvl w:val="0"/>
          <w:numId w:val="2"/>
        </w:numPr>
      </w:pPr>
      <w:r>
        <w:t xml:space="preserve">Permit Applicant (e.g., as “agent” for “development community” which will include landowner </w:t>
      </w:r>
      <w:r w:rsidR="0078333C">
        <w:t xml:space="preserve">and </w:t>
      </w:r>
      <w:bookmarkStart w:id="0" w:name="_GoBack"/>
      <w:bookmarkEnd w:id="0"/>
      <w:r>
        <w:t>various professionals ); technically “applicant” as defined in Ord. 63-24</w:t>
      </w:r>
    </w:p>
    <w:p w:rsidR="00AD4ABE" w:rsidRDefault="00AD4ABE" w:rsidP="00AD4ABE">
      <w:pPr>
        <w:pStyle w:val="PlainText"/>
        <w:ind w:left="765"/>
      </w:pPr>
    </w:p>
    <w:p w:rsidR="00AD4ABE" w:rsidRDefault="00AD4ABE" w:rsidP="00AD4ABE">
      <w:pPr>
        <w:pStyle w:val="PlainText"/>
        <w:numPr>
          <w:ilvl w:val="0"/>
          <w:numId w:val="2"/>
        </w:numPr>
      </w:pPr>
      <w:r>
        <w:t xml:space="preserve">Government (may implicate several </w:t>
      </w:r>
      <w:r w:rsidR="00D754C4">
        <w:t xml:space="preserve">City </w:t>
      </w:r>
      <w:r>
        <w:t>departments</w:t>
      </w:r>
      <w:r w:rsidR="00D754C4">
        <w:t xml:space="preserve"> or agencies, and possibly state and federal agencies)</w:t>
      </w:r>
    </w:p>
    <w:p w:rsidR="0078142D" w:rsidRDefault="0078142D" w:rsidP="0078142D">
      <w:pPr>
        <w:pStyle w:val="PlainText"/>
      </w:pPr>
    </w:p>
    <w:p w:rsidR="0078142D" w:rsidRDefault="0078142D" w:rsidP="0078142D">
      <w:pPr>
        <w:pStyle w:val="PlainText"/>
        <w:rPr>
          <w:b/>
        </w:rPr>
      </w:pPr>
      <w:r w:rsidRPr="00D754C4">
        <w:rPr>
          <w:b/>
        </w:rPr>
        <w:t>What are they doing</w:t>
      </w:r>
      <w:proofErr w:type="gramStart"/>
      <w:r w:rsidR="00D754C4">
        <w:rPr>
          <w:b/>
        </w:rPr>
        <w:t>?</w:t>
      </w:r>
      <w:r w:rsidRPr="00D754C4">
        <w:rPr>
          <w:b/>
        </w:rPr>
        <w:t>:</w:t>
      </w:r>
      <w:proofErr w:type="gramEnd"/>
      <w:r w:rsidRPr="00D754C4">
        <w:rPr>
          <w:b/>
        </w:rPr>
        <w:t xml:space="preserve"> </w:t>
      </w:r>
    </w:p>
    <w:p w:rsidR="00D754C4" w:rsidRDefault="00D754C4" w:rsidP="0078142D">
      <w:pPr>
        <w:pStyle w:val="PlainText"/>
        <w:rPr>
          <w:b/>
        </w:rPr>
      </w:pPr>
    </w:p>
    <w:p w:rsidR="00D754C4" w:rsidRDefault="00D754C4" w:rsidP="00D754C4">
      <w:pPr>
        <w:pStyle w:val="PlainText"/>
        <w:numPr>
          <w:ilvl w:val="0"/>
          <w:numId w:val="2"/>
        </w:numPr>
      </w:pPr>
      <w:r>
        <w:t xml:space="preserve">Permit Applicant </w:t>
      </w:r>
      <w:r w:rsidR="00190EE2">
        <w:t>wants to build a multi-level building on a site in KCMO that would have residential apartments and (on the first floor) some retail establishments, which would include a restaurant that would have alcoholic beverages on its menu</w:t>
      </w:r>
      <w:r w:rsidR="006773BE">
        <w:t xml:space="preserve"> </w:t>
      </w:r>
      <w:r w:rsidR="00190EE2">
        <w:t xml:space="preserve"> </w:t>
      </w:r>
      <w:r>
        <w:t xml:space="preserve">(the “Project”); </w:t>
      </w:r>
      <w:r w:rsidR="00190EE2">
        <w:t xml:space="preserve">contemplated that </w:t>
      </w:r>
      <w:r>
        <w:t xml:space="preserve">Project </w:t>
      </w:r>
      <w:r w:rsidR="00190EE2">
        <w:t xml:space="preserve">will likely (perhaps certainly) </w:t>
      </w:r>
      <w:r>
        <w:t>include land disturbance</w:t>
      </w:r>
      <w:r w:rsidR="00190EE2">
        <w:t>.</w:t>
      </w:r>
    </w:p>
    <w:p w:rsidR="00D754C4" w:rsidRDefault="00D754C4" w:rsidP="00D754C4">
      <w:pPr>
        <w:pStyle w:val="PlainText"/>
        <w:ind w:left="765"/>
      </w:pPr>
    </w:p>
    <w:p w:rsidR="00D754C4" w:rsidRPr="00172CAE" w:rsidRDefault="00D754C4" w:rsidP="00D754C4">
      <w:pPr>
        <w:pStyle w:val="PlainText"/>
        <w:numPr>
          <w:ilvl w:val="0"/>
          <w:numId w:val="3"/>
        </w:numPr>
        <w:rPr>
          <w:b/>
        </w:rPr>
      </w:pPr>
      <w:r>
        <w:t xml:space="preserve">Government conducts review and approval processes and administers permitted activity </w:t>
      </w:r>
    </w:p>
    <w:p w:rsidR="00172CAE" w:rsidRDefault="00172CAE" w:rsidP="00172CAE">
      <w:pPr>
        <w:pStyle w:val="PlainText"/>
      </w:pPr>
    </w:p>
    <w:p w:rsidR="00172CAE" w:rsidRPr="00172CAE" w:rsidRDefault="00172CAE" w:rsidP="00172CAE">
      <w:pPr>
        <w:pStyle w:val="PlainText"/>
        <w:rPr>
          <w:b/>
        </w:rPr>
      </w:pPr>
      <w:r w:rsidRPr="00172CAE">
        <w:rPr>
          <w:b/>
        </w:rPr>
        <w:t>Nature of Issues (Business/Legal Technical):</w:t>
      </w:r>
    </w:p>
    <w:p w:rsidR="0078142D" w:rsidRDefault="0078142D" w:rsidP="0078142D">
      <w:pPr>
        <w:pStyle w:val="PlainText"/>
      </w:pPr>
    </w:p>
    <w:p w:rsidR="0078142D" w:rsidRDefault="00D754C4" w:rsidP="00D754C4">
      <w:pPr>
        <w:pStyle w:val="PlainText"/>
        <w:numPr>
          <w:ilvl w:val="0"/>
          <w:numId w:val="3"/>
        </w:numPr>
      </w:pPr>
      <w:r>
        <w:t>Underlying issues primarily technical, but with legal underpinnings</w:t>
      </w:r>
      <w:r w:rsidR="00172CAE">
        <w:t xml:space="preserve"> (in fact, we would like our “end product” to have hyperlinks to applicable law in it, even though we will also have the decision tree questions use language from the actual law in the questions)</w:t>
      </w:r>
      <w:r>
        <w:t>. API sought facilitate doing business by streamlining management processes.</w:t>
      </w:r>
    </w:p>
    <w:p w:rsidR="0078142D" w:rsidRDefault="0078142D" w:rsidP="0078142D">
      <w:pPr>
        <w:pStyle w:val="PlainText"/>
      </w:pPr>
    </w:p>
    <w:p w:rsidR="0078142D" w:rsidRDefault="00D754C4" w:rsidP="0078142D">
      <w:pPr>
        <w:pStyle w:val="PlainText"/>
        <w:rPr>
          <w:b/>
        </w:rPr>
      </w:pPr>
      <w:r>
        <w:rPr>
          <w:b/>
        </w:rPr>
        <w:t>Overview of decision tree architecture:</w:t>
      </w:r>
    </w:p>
    <w:p w:rsidR="00D754C4" w:rsidRDefault="00D754C4" w:rsidP="0078142D">
      <w:pPr>
        <w:pStyle w:val="PlainText"/>
        <w:rPr>
          <w:b/>
        </w:rPr>
      </w:pPr>
    </w:p>
    <w:p w:rsidR="00D754C4" w:rsidRPr="00E32C47" w:rsidRDefault="00E32C47" w:rsidP="00D754C4">
      <w:pPr>
        <w:pStyle w:val="PlainText"/>
        <w:numPr>
          <w:ilvl w:val="0"/>
          <w:numId w:val="4"/>
        </w:numPr>
        <w:rPr>
          <w:b/>
        </w:rPr>
      </w:pPr>
      <w:r>
        <w:t>Confirm that land disturbance is involved (Ord. 63-24)</w:t>
      </w:r>
      <w:r w:rsidR="00257795">
        <w:t>. If not STOP.</w:t>
      </w:r>
    </w:p>
    <w:p w:rsidR="00E32C47" w:rsidRPr="00E32C47" w:rsidRDefault="00E32C47" w:rsidP="00E32C47">
      <w:pPr>
        <w:pStyle w:val="PlainText"/>
        <w:ind w:left="720"/>
        <w:rPr>
          <w:b/>
        </w:rPr>
      </w:pPr>
    </w:p>
    <w:p w:rsidR="00E32C47" w:rsidRPr="00E32C47" w:rsidRDefault="00E32C47" w:rsidP="00E32C47">
      <w:pPr>
        <w:pStyle w:val="PlainText"/>
        <w:numPr>
          <w:ilvl w:val="0"/>
          <w:numId w:val="4"/>
        </w:numPr>
        <w:rPr>
          <w:b/>
        </w:rPr>
      </w:pPr>
      <w:r>
        <w:t>Identify intended uses of property to determine if exempt from site disturbance permit requirement (Ord. 63-26)</w:t>
      </w:r>
      <w:r w:rsidR="00257795">
        <w:t xml:space="preserve">.  BRANCHES FROM THERE INCLUDE: </w:t>
      </w:r>
      <w:r w:rsidR="00762F17">
        <w:t>Exempt/STOP; or proceed to next question.</w:t>
      </w:r>
    </w:p>
    <w:p w:rsidR="00E32C47" w:rsidRPr="00E32C47" w:rsidRDefault="00E32C47" w:rsidP="00E32C47">
      <w:pPr>
        <w:pStyle w:val="PlainText"/>
        <w:ind w:left="720"/>
        <w:rPr>
          <w:b/>
        </w:rPr>
      </w:pPr>
    </w:p>
    <w:p w:rsidR="00E32C47" w:rsidRPr="00E32C47" w:rsidRDefault="00E32C47" w:rsidP="00D754C4">
      <w:pPr>
        <w:pStyle w:val="PlainText"/>
        <w:numPr>
          <w:ilvl w:val="0"/>
          <w:numId w:val="4"/>
        </w:numPr>
        <w:rPr>
          <w:b/>
        </w:rPr>
      </w:pPr>
      <w:r>
        <w:t xml:space="preserve">Confirm size of </w:t>
      </w:r>
      <w:r w:rsidR="00172CAE">
        <w:t>disturbed area</w:t>
      </w:r>
      <w:r>
        <w:t xml:space="preserve"> to determine if site disturbance permit needed or if lesser regulation involved (Ord. 63-26)</w:t>
      </w:r>
      <w:r w:rsidR="00257795">
        <w:t>.  BRANCHES FROM THERE INCLUDE:</w:t>
      </w:r>
      <w:r w:rsidR="00762F17">
        <w:t xml:space="preserve">  If less than 300 square feet STOP; If 300 or more, but less than one acre, submit plans</w:t>
      </w:r>
      <w:r w:rsidR="006F21D3">
        <w:t xml:space="preserve"> (checklists will be provided below)</w:t>
      </w:r>
      <w:r w:rsidR="00762F17">
        <w:t>, but no site disturbance permit necessary; if one acre or more, permit necessary/proceed to next question</w:t>
      </w:r>
      <w:r w:rsidR="006F21D3">
        <w:t xml:space="preserve"> (also plan checklist will be provided below)</w:t>
      </w:r>
      <w:r w:rsidR="00762F17">
        <w:t>.</w:t>
      </w:r>
    </w:p>
    <w:p w:rsidR="00E32C47" w:rsidRDefault="00E32C47" w:rsidP="00E32C47">
      <w:pPr>
        <w:pStyle w:val="PlainText"/>
        <w:rPr>
          <w:b/>
        </w:rPr>
      </w:pPr>
    </w:p>
    <w:p w:rsidR="00E32C47" w:rsidRPr="006F21D3" w:rsidRDefault="00172CAE" w:rsidP="00E32C47">
      <w:pPr>
        <w:pStyle w:val="PlainText"/>
        <w:numPr>
          <w:ilvl w:val="0"/>
          <w:numId w:val="4"/>
        </w:numPr>
        <w:rPr>
          <w:b/>
        </w:rPr>
      </w:pPr>
      <w:r>
        <w:lastRenderedPageBreak/>
        <w:t xml:space="preserve">Confirm whether performance </w:t>
      </w:r>
      <w:r w:rsidR="00E32C47">
        <w:t>bond</w:t>
      </w:r>
      <w:r>
        <w:t xml:space="preserve"> or </w:t>
      </w:r>
      <w:r w:rsidR="00E32C47">
        <w:t xml:space="preserve">letter of credit </w:t>
      </w:r>
      <w:r w:rsidR="00762F17">
        <w:t xml:space="preserve">has </w:t>
      </w:r>
      <w:r w:rsidR="00E32C47">
        <w:t>been obtained to financially secure the erosion control work (Ord. 63-33)</w:t>
      </w:r>
      <w:r w:rsidR="00257795">
        <w:t xml:space="preserve">. BRANCHES FROM THERE INCLUDE: </w:t>
      </w:r>
      <w:r w:rsidR="00762F17">
        <w:t xml:space="preserve">If yes, proceed to next question; if no, get </w:t>
      </w:r>
      <w:r w:rsidR="008F3B3F">
        <w:t>such bond/letter of credit</w:t>
      </w:r>
      <w:r w:rsidR="00762F17">
        <w:t xml:space="preserve"> (but can proceed to next question to see what’s ahead).</w:t>
      </w:r>
    </w:p>
    <w:p w:rsidR="006F21D3" w:rsidRPr="00257795" w:rsidRDefault="006F21D3" w:rsidP="006F21D3">
      <w:pPr>
        <w:pStyle w:val="PlainText"/>
        <w:ind w:left="720"/>
        <w:rPr>
          <w:b/>
        </w:rPr>
      </w:pPr>
    </w:p>
    <w:p w:rsidR="00172CAE" w:rsidRPr="006F21D3" w:rsidRDefault="00257795" w:rsidP="00E32C47">
      <w:pPr>
        <w:pStyle w:val="PlainText"/>
        <w:numPr>
          <w:ilvl w:val="0"/>
          <w:numId w:val="4"/>
        </w:numPr>
        <w:rPr>
          <w:b/>
        </w:rPr>
      </w:pPr>
      <w:r>
        <w:t xml:space="preserve">Determine if any of the work will be done at night </w:t>
      </w:r>
      <w:r w:rsidR="00D67FEA">
        <w:t>9:00PM-7</w:t>
      </w:r>
      <w:r w:rsidR="00762F17">
        <w:t xml:space="preserve">:00AM and within 500 feet of a residential structure </w:t>
      </w:r>
      <w:r>
        <w:t>(Ord. 18-16.a.</w:t>
      </w:r>
      <w:r w:rsidR="008F3B3F">
        <w:t>6</w:t>
      </w:r>
      <w:r w:rsidR="008F3B3F">
        <w:rPr>
          <w:rStyle w:val="FootnoteReference"/>
        </w:rPr>
        <w:footnoteReference w:id="1"/>
      </w:r>
      <w:r>
        <w:t>)</w:t>
      </w:r>
      <w:r w:rsidR="006F21D3">
        <w:t>.  BRANCHES FROM THERE INCLUDE: If no, no need for special night work permit; if yes, need to obtain night work permit.</w:t>
      </w:r>
    </w:p>
    <w:p w:rsidR="006F21D3" w:rsidRPr="006F21D3" w:rsidRDefault="006F21D3" w:rsidP="006F21D3">
      <w:pPr>
        <w:pStyle w:val="PlainText"/>
        <w:ind w:left="720"/>
        <w:rPr>
          <w:b/>
        </w:rPr>
      </w:pPr>
    </w:p>
    <w:p w:rsidR="006F21D3" w:rsidRPr="00257795" w:rsidRDefault="006F21D3" w:rsidP="00E32C47">
      <w:pPr>
        <w:pStyle w:val="PlainText"/>
        <w:numPr>
          <w:ilvl w:val="0"/>
          <w:numId w:val="4"/>
        </w:numPr>
        <w:rPr>
          <w:b/>
        </w:rPr>
      </w:pPr>
      <w:r>
        <w:t>If answered yes to 300 square feet or more, proceed to plan checklist questions.  BRANCHES FROM THERE INCLUDE: Questions to determine whether or not in compliance with various plan requiremen</w:t>
      </w:r>
      <w:r w:rsidR="006773BE">
        <w:t>ts under I.B. 110.C, Section 14 and Ord. 63-29 and 63-30.</w:t>
      </w:r>
    </w:p>
    <w:p w:rsidR="00257795" w:rsidRDefault="00257795" w:rsidP="00257795">
      <w:pPr>
        <w:pStyle w:val="ListParagraph"/>
        <w:rPr>
          <w:b/>
        </w:rPr>
      </w:pPr>
    </w:p>
    <w:p w:rsidR="00257795" w:rsidRPr="00E32C47" w:rsidRDefault="00257795" w:rsidP="00257795">
      <w:pPr>
        <w:pStyle w:val="PlainText"/>
        <w:ind w:left="720"/>
        <w:rPr>
          <w:b/>
        </w:rPr>
      </w:pPr>
    </w:p>
    <w:p w:rsidR="00E32C47" w:rsidRPr="00E32C47" w:rsidRDefault="00E32C47" w:rsidP="00E32C47">
      <w:pPr>
        <w:pStyle w:val="PlainText"/>
        <w:ind w:left="720"/>
        <w:rPr>
          <w:b/>
        </w:rPr>
      </w:pPr>
    </w:p>
    <w:p w:rsidR="00E32C47" w:rsidRDefault="00E32C47" w:rsidP="00E32C47">
      <w:pPr>
        <w:pStyle w:val="PlainText"/>
        <w:ind w:left="720"/>
        <w:rPr>
          <w:b/>
        </w:rPr>
      </w:pPr>
    </w:p>
    <w:p w:rsidR="00D754C4" w:rsidRPr="00D754C4" w:rsidRDefault="00D754C4" w:rsidP="0078142D">
      <w:pPr>
        <w:pStyle w:val="PlainText"/>
        <w:rPr>
          <w:b/>
        </w:rPr>
      </w:pPr>
    </w:p>
    <w:sectPr w:rsidR="00D754C4" w:rsidRPr="00D754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25F" w:rsidRDefault="00B3525F" w:rsidP="008F3B3F">
      <w:pPr>
        <w:spacing w:after="0" w:line="240" w:lineRule="auto"/>
      </w:pPr>
      <w:r>
        <w:separator/>
      </w:r>
    </w:p>
  </w:endnote>
  <w:endnote w:type="continuationSeparator" w:id="0">
    <w:p w:rsidR="00B3525F" w:rsidRDefault="00B3525F" w:rsidP="008F3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25F" w:rsidRDefault="00B3525F" w:rsidP="008F3B3F">
      <w:pPr>
        <w:spacing w:after="0" w:line="240" w:lineRule="auto"/>
      </w:pPr>
      <w:r>
        <w:separator/>
      </w:r>
    </w:p>
  </w:footnote>
  <w:footnote w:type="continuationSeparator" w:id="0">
    <w:p w:rsidR="00B3525F" w:rsidRDefault="00B3525F" w:rsidP="008F3B3F">
      <w:pPr>
        <w:spacing w:after="0" w:line="240" w:lineRule="auto"/>
      </w:pPr>
      <w:r>
        <w:continuationSeparator/>
      </w:r>
    </w:p>
  </w:footnote>
  <w:footnote w:id="1">
    <w:p w:rsidR="008F3B3F" w:rsidRDefault="008F3B3F" w:rsidP="008F3B3F">
      <w:pPr>
        <w:pStyle w:val="NormalWeb"/>
        <w:shd w:val="clear" w:color="auto" w:fill="FFFFFF"/>
        <w:rPr>
          <w:rFonts w:ascii="Calibri" w:hAnsi="Calibri"/>
          <w:color w:val="000000"/>
        </w:rPr>
      </w:pPr>
      <w:r>
        <w:rPr>
          <w:rStyle w:val="FootnoteReference"/>
        </w:rPr>
        <w:footnoteRef/>
      </w:r>
      <w:r>
        <w:t xml:space="preserve"> See </w:t>
      </w:r>
    </w:p>
    <w:p w:rsidR="008F3B3F" w:rsidRDefault="008F3B3F" w:rsidP="008F3B3F">
      <w:pPr>
        <w:pStyle w:val="FootnoteText"/>
      </w:pPr>
      <w:hyperlink r:id="rId1" w:history="1">
        <w:r>
          <w:rPr>
            <w:rStyle w:val="Hyperlink"/>
            <w:rFonts w:ascii="Calibri" w:hAnsi="Calibri"/>
          </w:rPr>
          <w:t>https://www.municode.com/library/mo/kansas_city/codes/code_of_ordinances?searchRequest=%7B%22searchText%22:%2218-17%22,%22pageNum%22:1,%22resultsPerPage%22:25,%22booleanSearch%22:false,%22stemming%22:true,%22fuzzy%22:false,%22synonym%22:false,%22contentTypes%22:%5B%22CODES%22%5D,%22productIds%22:%5B%5D%7D&amp;nodeId=PTIICOOR_CH18BUBURE_ARTIINGE_S18-17APPEREPE</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546E1"/>
    <w:multiLevelType w:val="hybridMultilevel"/>
    <w:tmpl w:val="AFFE2E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2D7222A2"/>
    <w:multiLevelType w:val="hybridMultilevel"/>
    <w:tmpl w:val="62B66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F608EC"/>
    <w:multiLevelType w:val="hybridMultilevel"/>
    <w:tmpl w:val="C6B24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A94516"/>
    <w:multiLevelType w:val="hybridMultilevel"/>
    <w:tmpl w:val="19E26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42D"/>
    <w:rsid w:val="00024BF8"/>
    <w:rsid w:val="000F100C"/>
    <w:rsid w:val="0014163F"/>
    <w:rsid w:val="00172CAE"/>
    <w:rsid w:val="00190EE2"/>
    <w:rsid w:val="001D7992"/>
    <w:rsid w:val="001F27C2"/>
    <w:rsid w:val="00257795"/>
    <w:rsid w:val="006773BE"/>
    <w:rsid w:val="006F21D3"/>
    <w:rsid w:val="00762F17"/>
    <w:rsid w:val="0078142D"/>
    <w:rsid w:val="0078333C"/>
    <w:rsid w:val="008F3B3F"/>
    <w:rsid w:val="00AD4ABE"/>
    <w:rsid w:val="00B3525F"/>
    <w:rsid w:val="00D67FEA"/>
    <w:rsid w:val="00D754C4"/>
    <w:rsid w:val="00E32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D748EF-D1BE-4011-95A1-CA8B21EDF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8142D"/>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8142D"/>
    <w:rPr>
      <w:rFonts w:ascii="Calibri" w:hAnsi="Calibri"/>
      <w:szCs w:val="21"/>
    </w:rPr>
  </w:style>
  <w:style w:type="paragraph" w:styleId="ListParagraph">
    <w:name w:val="List Paragraph"/>
    <w:basedOn w:val="Normal"/>
    <w:uiPriority w:val="34"/>
    <w:qFormat/>
    <w:rsid w:val="00D754C4"/>
    <w:pPr>
      <w:ind w:left="720"/>
      <w:contextualSpacing/>
    </w:pPr>
  </w:style>
  <w:style w:type="character" w:styleId="Hyperlink">
    <w:name w:val="Hyperlink"/>
    <w:basedOn w:val="DefaultParagraphFont"/>
    <w:uiPriority w:val="99"/>
    <w:unhideWhenUsed/>
    <w:rsid w:val="00E32C47"/>
    <w:rPr>
      <w:color w:val="0563C1" w:themeColor="hyperlink"/>
      <w:u w:val="single"/>
    </w:rPr>
  </w:style>
  <w:style w:type="paragraph" w:styleId="FootnoteText">
    <w:name w:val="footnote text"/>
    <w:basedOn w:val="Normal"/>
    <w:link w:val="FootnoteTextChar"/>
    <w:uiPriority w:val="99"/>
    <w:semiHidden/>
    <w:unhideWhenUsed/>
    <w:rsid w:val="008F3B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3B3F"/>
    <w:rPr>
      <w:sz w:val="20"/>
      <w:szCs w:val="20"/>
    </w:rPr>
  </w:style>
  <w:style w:type="character" w:styleId="FootnoteReference">
    <w:name w:val="footnote reference"/>
    <w:basedOn w:val="DefaultParagraphFont"/>
    <w:uiPriority w:val="99"/>
    <w:semiHidden/>
    <w:unhideWhenUsed/>
    <w:rsid w:val="008F3B3F"/>
    <w:rPr>
      <w:vertAlign w:val="superscript"/>
    </w:rPr>
  </w:style>
  <w:style w:type="paragraph" w:styleId="NormalWeb">
    <w:name w:val="Normal (Web)"/>
    <w:basedOn w:val="Normal"/>
    <w:uiPriority w:val="99"/>
    <w:semiHidden/>
    <w:unhideWhenUsed/>
    <w:rsid w:val="008F3B3F"/>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39065">
      <w:bodyDiv w:val="1"/>
      <w:marLeft w:val="0"/>
      <w:marRight w:val="0"/>
      <w:marTop w:val="0"/>
      <w:marBottom w:val="0"/>
      <w:divBdr>
        <w:top w:val="none" w:sz="0" w:space="0" w:color="auto"/>
        <w:left w:val="none" w:sz="0" w:space="0" w:color="auto"/>
        <w:bottom w:val="none" w:sz="0" w:space="0" w:color="auto"/>
        <w:right w:val="none" w:sz="0" w:space="0" w:color="auto"/>
      </w:divBdr>
    </w:div>
    <w:div w:id="883178744">
      <w:bodyDiv w:val="1"/>
      <w:marLeft w:val="0"/>
      <w:marRight w:val="0"/>
      <w:marTop w:val="0"/>
      <w:marBottom w:val="0"/>
      <w:divBdr>
        <w:top w:val="none" w:sz="0" w:space="0" w:color="auto"/>
        <w:left w:val="none" w:sz="0" w:space="0" w:color="auto"/>
        <w:bottom w:val="none" w:sz="0" w:space="0" w:color="auto"/>
        <w:right w:val="none" w:sz="0" w:space="0" w:color="auto"/>
      </w:divBdr>
    </w:div>
    <w:div w:id="1420372643">
      <w:bodyDiv w:val="1"/>
      <w:marLeft w:val="0"/>
      <w:marRight w:val="0"/>
      <w:marTop w:val="0"/>
      <w:marBottom w:val="0"/>
      <w:divBdr>
        <w:top w:val="none" w:sz="0" w:space="0" w:color="auto"/>
        <w:left w:val="none" w:sz="0" w:space="0" w:color="auto"/>
        <w:bottom w:val="none" w:sz="0" w:space="0" w:color="auto"/>
        <w:right w:val="none" w:sz="0" w:space="0" w:color="auto"/>
      </w:divBdr>
    </w:div>
    <w:div w:id="1682509101">
      <w:bodyDiv w:val="1"/>
      <w:marLeft w:val="0"/>
      <w:marRight w:val="0"/>
      <w:marTop w:val="0"/>
      <w:marBottom w:val="0"/>
      <w:divBdr>
        <w:top w:val="none" w:sz="0" w:space="0" w:color="auto"/>
        <w:left w:val="none" w:sz="0" w:space="0" w:color="auto"/>
        <w:bottom w:val="none" w:sz="0" w:space="0" w:color="auto"/>
        <w:right w:val="none" w:sz="0" w:space="0" w:color="auto"/>
      </w:divBdr>
    </w:div>
    <w:div w:id="204617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kcmo.org/Information-Bulletins/IB110-Part-C-Building-Permit-Checklist/ynax-nuk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unicode.com/library/mo/kansas_city/codes/code_of_ordinances?nodeId=PTIICOOR_CH63ERSECO_ARTIIERSECORE_DIV1INGE_S63-21TIA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municode.com/library/mo/kansas_city/codes/code_of_ordinances?searchRequest=%7B%22searchText%22:%2218-17%22,%22pageNum%22:1,%22resultsPerPage%22:25,%22booleanSearch%22:false,%22stemming%22:true,%22fuzzy%22:false,%22synonym%22:false,%22contentTypes%22:%5B%22CODES%22%5D,%22productIds%22:%5B%5D%7D&amp;nodeId=PTIICOOR_CH18BUBURE_ARTIINGE_S18-17APPERE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33DDB-B811-4B72-A091-1C6B8FC63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Luppino, Anthony</dc:creator>
  <cp:keywords/>
  <dc:description/>
  <cp:lastModifiedBy>Luppino, Anthony</cp:lastModifiedBy>
  <cp:revision>2</cp:revision>
  <dcterms:created xsi:type="dcterms:W3CDTF">2014-11-03T17:18:00Z</dcterms:created>
  <dcterms:modified xsi:type="dcterms:W3CDTF">2014-11-03T17:18:00Z</dcterms:modified>
</cp:coreProperties>
</file>