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5010F">
      <w:pPr>
        <w:jc w:val="center"/>
        <w:rPr>
          <w:rFonts w:ascii="微软雅黑" w:hAnsi="微软雅黑" w:eastAsia="微软雅黑"/>
          <w:b/>
          <w:color w:val="1A4C8C"/>
          <w:sz w:val="44"/>
        </w:rPr>
      </w:pPr>
      <w:bookmarkStart w:id="0" w:name="_GoBack"/>
    </w:p>
    <w:p w14:paraId="0BE22D2C">
      <w:pPr>
        <w:jc w:val="center"/>
        <w:rPr>
          <w:rFonts w:ascii="微软雅黑" w:hAnsi="微软雅黑" w:eastAsia="微软雅黑"/>
          <w:b/>
          <w:color w:val="1A4C8C"/>
          <w:sz w:val="44"/>
        </w:rPr>
      </w:pPr>
    </w:p>
    <w:p w14:paraId="73B31955">
      <w:pPr>
        <w:jc w:val="center"/>
        <w:rPr>
          <w:rFonts w:hint="default" w:ascii="微软雅黑" w:hAnsi="微软雅黑" w:eastAsia="微软雅黑"/>
          <w:b/>
          <w:color w:val="1A4C8C"/>
          <w:sz w:val="44"/>
          <w:lang w:val="en-US" w:eastAsia="zh-CN"/>
        </w:rPr>
      </w:pPr>
      <w:r>
        <w:rPr>
          <w:rFonts w:hint="eastAsia" w:ascii="微软雅黑" w:hAnsi="微软雅黑" w:eastAsia="微软雅黑"/>
          <w:b/>
          <w:color w:val="1A4C8C"/>
          <w:sz w:val="44"/>
          <w:lang w:val="en-US" w:eastAsia="zh-CN"/>
        </w:rPr>
        <w:t>OPC软件开发与智能体赛道</w:t>
      </w:r>
    </w:p>
    <w:p w14:paraId="0A15B033">
      <w:pPr>
        <w:jc w:val="center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/>
          <w:b/>
          <w:color w:val="1A4C8C"/>
          <w:sz w:val="44"/>
          <w:lang w:val="en-US" w:eastAsia="zh-CN"/>
        </w:rPr>
        <w:t>高级/A级   测试单</w:t>
      </w:r>
    </w:p>
    <w:p w14:paraId="70C09A54"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br w:type="textWrapping"/>
      </w:r>
      <w:r>
        <w:rPr>
          <w:rFonts w:ascii="微软雅黑" w:hAnsi="微软雅黑" w:eastAsia="微软雅黑"/>
          <w:b w:val="0"/>
          <w:color w:val="666666"/>
          <w:sz w:val="24"/>
        </w:rPr>
        <w:t>C级测试单(L1) | B级测试单(L2) | A级测试单(L3)</w:t>
      </w:r>
      <w:r>
        <w:rPr>
          <w:rFonts w:ascii="微软雅黑" w:hAnsi="微软雅黑" w:eastAsia="微软雅黑"/>
          <w:b w:val="0"/>
          <w:color w:val="666666"/>
          <w:sz w:val="24"/>
        </w:rPr>
        <w:br w:type="textWrapping"/>
      </w:r>
      <w:r>
        <w:rPr>
          <w:rFonts w:ascii="微软雅黑" w:hAnsi="微软雅黑" w:eastAsia="微软雅黑"/>
          <w:b w:val="0"/>
          <w:color w:val="666666"/>
          <w:sz w:val="24"/>
        </w:rPr>
        <w:br w:type="textWrapping"/>
      </w:r>
      <w:r>
        <w:rPr>
          <w:rFonts w:ascii="微软雅黑" w:hAnsi="微软雅黑" w:eastAsia="微软雅黑"/>
          <w:b w:val="0"/>
          <w:color w:val="666666"/>
          <w:sz w:val="24"/>
        </w:rPr>
        <w:t>对应等级：Agent搭建工程师 → AI应用开发工程师 → AI系统项目交付专家</w:t>
      </w:r>
      <w:r>
        <w:rPr>
          <w:rFonts w:ascii="微软雅黑" w:hAnsi="微软雅黑" w:eastAsia="微软雅黑"/>
          <w:b w:val="0"/>
          <w:color w:val="666666"/>
          <w:sz w:val="24"/>
        </w:rPr>
        <w:br w:type="textWrapping"/>
      </w:r>
      <w:r>
        <w:rPr>
          <w:rFonts w:ascii="微软雅黑" w:hAnsi="微软雅黑" w:eastAsia="微软雅黑"/>
          <w:b w:val="0"/>
          <w:color w:val="666666"/>
          <w:sz w:val="24"/>
        </w:rPr>
        <w:br w:type="textWrapping"/>
      </w:r>
    </w:p>
    <w:p w14:paraId="132754C7"/>
    <w:p w14:paraId="4A2BA9F8">
      <w:pPr>
        <w:jc w:val="center"/>
      </w:pPr>
      <w:r>
        <w:rPr>
          <w:rFonts w:ascii="微软雅黑" w:hAnsi="微软雅黑" w:eastAsia="微软雅黑"/>
          <w:b w:val="0"/>
          <w:color w:val="888888"/>
          <w:sz w:val="22"/>
        </w:rPr>
        <w:t xml:space="preserve">OPC接单吧平台 </w:t>
      </w:r>
      <w:r>
        <w:rPr>
          <w:rFonts w:ascii="微软雅黑" w:hAnsi="微软雅黑" w:eastAsia="微软雅黑"/>
          <w:b w:val="0"/>
          <w:color w:val="888888"/>
          <w:sz w:val="22"/>
        </w:rPr>
        <w:br w:type="textWrapping"/>
      </w:r>
      <w:r>
        <w:rPr>
          <w:rFonts w:ascii="微软雅黑" w:hAnsi="微软雅黑" w:eastAsia="微软雅黑"/>
          <w:b w:val="0"/>
          <w:color w:val="888888"/>
          <w:sz w:val="22"/>
        </w:rPr>
        <w:t>2026年7月</w:t>
      </w:r>
    </w:p>
    <w:p w14:paraId="402AEADE">
      <w:r>
        <w:br w:type="page"/>
      </w:r>
    </w:p>
    <w:p w14:paraId="245179CA">
      <w:pPr>
        <w:pStyle w:val="3"/>
        <w:jc w:val="left"/>
      </w:pPr>
      <w:r>
        <w:rPr>
          <w:rFonts w:ascii="微软雅黑" w:hAnsi="微软雅黑" w:eastAsia="微软雅黑"/>
          <w:b/>
          <w:color w:val="1A4C8C"/>
          <w:sz w:val="32"/>
        </w:rPr>
        <w:t>A级测试单（L3）——AI系统项目交付专家</w:t>
      </w:r>
    </w:p>
    <w:p w14:paraId="2871F2F4">
      <w:pPr>
        <w:pStyle w:val="4"/>
        <w:jc w:val="left"/>
      </w:pPr>
      <w:r>
        <w:rPr>
          <w:rFonts w:ascii="微软雅黑" w:hAnsi="微软雅黑" w:eastAsia="微软雅黑"/>
          <w:b/>
          <w:color w:val="2E5EAA"/>
          <w:sz w:val="28"/>
        </w:rPr>
        <w:t>测试任务：交付「AI教育顾问SaaS平台」MVP</w:t>
      </w:r>
    </w:p>
    <w:p w14:paraId="326F2FC3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【任务背景】计划将AI课程顾问系统升级为可对外授权给其他教育机构使用的SaaS产品。你需要在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规定时间</w:t>
      </w:r>
      <w:r>
        <w:rPr>
          <w:rFonts w:ascii="微软雅黑" w:hAnsi="微软雅黑" w:eastAsia="微软雅黑"/>
          <w:b w:val="0"/>
          <w:sz w:val="21"/>
        </w:rPr>
        <w:t>内交付一个可演示的SaaS MVP，具备多租户基础、订阅套餐展示、基础支付演示与Admin后台雏形。</w:t>
      </w:r>
    </w:p>
    <w:p w14:paraId="17301080">
      <w:pPr>
        <w:pStyle w:val="5"/>
        <w:jc w:val="left"/>
      </w:pPr>
      <w:r>
        <w:rPr>
          <w:rFonts w:ascii="微软雅黑" w:hAnsi="微软雅黑" w:eastAsia="微软雅黑"/>
          <w:b/>
          <w:color w:val="4477BB"/>
          <w:sz w:val="24"/>
        </w:rPr>
        <w:t>一、详细功能需求</w:t>
      </w:r>
    </w:p>
    <w:p w14:paraId="30E856FB">
      <w:pPr>
        <w:spacing w:line="360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hint="eastAsia" w:ascii="微软雅黑" w:hAnsi="微软雅黑" w:eastAsia="微软雅黑"/>
          <w:b/>
          <w:sz w:val="21"/>
          <w:lang w:val="en-US" w:eastAsia="zh-CN"/>
        </w:rPr>
        <w:t>RAG知识库系统（课程对齐—L3核心能力）</w:t>
      </w:r>
    </w:p>
    <w:p w14:paraId="125ECEC9">
      <w:pPr>
        <w:pStyle w:val="14"/>
        <w:numPr>
          <w:ilvl w:val="0"/>
          <w:numId w:val="7"/>
        </w:numPr>
        <w:spacing w:line="360" w:lineRule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完整RAG链路：实现PDF文档解析与文本提取（3份PDF）→文本切片（Chunking，可配置切片大小与重叠）→向量化与检索（调用Embedding API）→回答生成+引用溯源。</w:t>
      </w:r>
    </w:p>
    <w:p w14:paraId="5957041D">
      <w:pPr>
        <w:pStyle w:val="14"/>
        <w:numPr>
          <w:ilvl w:val="0"/>
          <w:numId w:val="7"/>
        </w:numPr>
        <w:spacing w:line="360" w:lineRule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回答质量：基于RAG的回答准确率≥85%，回答需标注信息来源（文档名称+章节标题）。对知识库外的问题，AI应说明"该问题不在我的知识范围内"。</w:t>
      </w:r>
    </w:p>
    <w:p w14:paraId="5779E414">
      <w:pPr>
        <w:pStyle w:val="14"/>
        <w:numPr>
          <w:ilvl w:val="0"/>
          <w:numId w:val="7"/>
        </w:numPr>
        <w:spacing w:line="360" w:lineRule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课程资料管理：Admin可在后台查看已挂载的知识库文档列表，支持重新上传/更新文档（更新后RAG索引需同步刷新）。</w:t>
      </w:r>
    </w:p>
    <w:p w14:paraId="14961931">
      <w:pPr>
        <w:spacing w:line="360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hint="eastAsia" w:ascii="微软雅黑" w:hAnsi="微软雅黑" w:eastAsia="微软雅黑"/>
          <w:b/>
          <w:sz w:val="21"/>
          <w:lang w:val="en-US" w:eastAsia="zh-CN"/>
        </w:rPr>
        <w:t>Agent Skill封装</w:t>
      </w:r>
    </w:p>
    <w:p w14:paraId="0430C895">
      <w:pPr>
        <w:pStyle w:val="14"/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/>
          <w:b/>
          <w:bCs/>
          <w:sz w:val="21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1"/>
          <w:lang w:val="en-US" w:eastAsia="zh-CN"/>
        </w:rPr>
        <w:t>[</w:t>
      </w:r>
      <w:r>
        <w:rPr>
          <w:rFonts w:ascii="微软雅黑" w:hAnsi="微软雅黑" w:eastAsia="微软雅黑"/>
          <w:b/>
          <w:bCs/>
          <w:sz w:val="21"/>
        </w:rPr>
        <w:t>至少实现2个Function Calling Skill</w:t>
      </w:r>
      <w:r>
        <w:rPr>
          <w:rFonts w:hint="eastAsia" w:ascii="微软雅黑" w:hAnsi="微软雅黑" w:eastAsia="微软雅黑"/>
          <w:b/>
          <w:bCs/>
          <w:sz w:val="21"/>
          <w:lang w:val="en-US" w:eastAsia="zh-CN"/>
        </w:rPr>
        <w:t>]</w:t>
      </w:r>
    </w:p>
    <w:p w14:paraId="20F165DF">
      <w:pPr>
        <w:pStyle w:val="14"/>
        <w:numPr>
          <w:ilvl w:val="0"/>
          <w:numId w:val="0"/>
        </w:numPr>
        <w:spacing w:line="360" w:lineRule="auto"/>
        <w:ind w:leftChars="0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• Skill-1「查询课程详情」：根据用户提到的班型名称，返回该班型的完整信息（时间、地点、费用、师资、大纲）。参数：班型名称（字符串）。</w:t>
      </w:r>
    </w:p>
    <w:p w14:paraId="6DE6C733">
      <w:pPr>
        <w:pStyle w:val="14"/>
        <w:numPr>
          <w:ilvl w:val="0"/>
          <w:numId w:val="0"/>
        </w:numPr>
        <w:spacing w:line="360" w:lineRule="auto"/>
        <w:ind w:leftChars="0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• Skill-2「推荐适合班型」：根据用户提供的约束条件（如"我在上海""我只有周末有空"），返回最匹配的1-2个班型及推荐理由。参数：城市（字符串）、时间偏好（字符串）。</w:t>
      </w:r>
    </w:p>
    <w:p w14:paraId="7A4CEE74">
      <w:pPr>
        <w:pStyle w:val="14"/>
        <w:numPr>
          <w:ilvl w:val="0"/>
          <w:numId w:val="0"/>
        </w:numPr>
        <w:spacing w:line="360" w:lineRule="auto"/>
        <w:ind w:leftChars="0"/>
        <w:rPr>
          <w:rFonts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/>
          <w:bCs/>
          <w:sz w:val="21"/>
          <w:lang w:val="en-US" w:eastAsia="zh-CN"/>
        </w:rPr>
        <w:t>[</w:t>
      </w:r>
      <w:r>
        <w:rPr>
          <w:rFonts w:ascii="微软雅黑" w:hAnsi="微软雅黑" w:eastAsia="微软雅黑"/>
          <w:b/>
          <w:bCs/>
          <w:sz w:val="21"/>
        </w:rPr>
        <w:t>Skill设计规范</w:t>
      </w:r>
      <w:r>
        <w:rPr>
          <w:rFonts w:hint="eastAsia" w:ascii="微软雅黑" w:hAnsi="微软雅黑" w:eastAsia="微软雅黑"/>
          <w:b/>
          <w:bCs/>
          <w:sz w:val="21"/>
          <w:lang w:val="en-US" w:eastAsia="zh-CN"/>
        </w:rPr>
        <w:t xml:space="preserve">] </w:t>
      </w:r>
      <w:r>
        <w:rPr>
          <w:rFonts w:ascii="微软雅黑" w:hAnsi="微软雅黑" w:eastAsia="微软雅黑"/>
          <w:b w:val="0"/>
          <w:sz w:val="21"/>
        </w:rPr>
        <w:t>每个Skill需有清晰的名称、描述、参数Schema（JSON Schema格式）、返回值定义。</w:t>
      </w:r>
    </w:p>
    <w:p w14:paraId="05852936">
      <w:pPr>
        <w:pStyle w:val="14"/>
        <w:numPr>
          <w:ilvl w:val="0"/>
          <w:numId w:val="0"/>
        </w:numPr>
        <w:spacing w:line="360" w:lineRule="auto"/>
        <w:ind w:leftChars="0"/>
        <w:rPr>
          <w:rFonts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/>
          <w:bCs/>
          <w:sz w:val="21"/>
          <w:lang w:val="en-US" w:eastAsia="zh-CN"/>
        </w:rPr>
        <w:t>[</w:t>
      </w:r>
      <w:r>
        <w:rPr>
          <w:rFonts w:ascii="微软雅黑" w:hAnsi="微软雅黑" w:eastAsia="微软雅黑"/>
          <w:b/>
          <w:bCs/>
          <w:sz w:val="21"/>
        </w:rPr>
        <w:t>降级策略</w:t>
      </w:r>
      <w:r>
        <w:rPr>
          <w:rFonts w:hint="eastAsia" w:ascii="微软雅黑" w:hAnsi="微软雅黑" w:eastAsia="微软雅黑"/>
          <w:b/>
          <w:bCs/>
          <w:sz w:val="21"/>
          <w:lang w:val="en-US" w:eastAsia="zh-CN"/>
        </w:rPr>
        <w:t>]</w:t>
      </w:r>
      <w:r>
        <w:rPr>
          <w:rFonts w:ascii="微软雅黑" w:hAnsi="微软雅黑" w:eastAsia="微软雅黑"/>
          <w:b w:val="0"/>
          <w:sz w:val="21"/>
        </w:rPr>
        <w:t>当Skill调用失败（如参数缺失、数据不存在）时，Agent应降级，改用LLM直接回答或提示用户补充信息。</w:t>
      </w:r>
    </w:p>
    <w:p w14:paraId="7D51FC3C">
      <w:pPr>
        <w:spacing w:line="360" w:lineRule="auto"/>
        <w:rPr>
          <w:rFonts w:ascii="微软雅黑" w:hAnsi="微软雅黑" w:eastAsia="微软雅黑"/>
          <w:b/>
          <w:sz w:val="21"/>
        </w:rPr>
      </w:pPr>
      <w:r>
        <w:rPr>
          <w:rFonts w:ascii="微软雅黑" w:hAnsi="微软雅黑" w:eastAsia="微软雅黑"/>
          <w:b/>
          <w:sz w:val="21"/>
        </w:rPr>
        <w:t>3. 订阅套餐与支付演示（简化版）</w:t>
      </w:r>
    </w:p>
    <w:p w14:paraId="0A1A9FDF">
      <w:pPr>
        <w:pStyle w:val="14"/>
        <w:numPr>
          <w:ilvl w:val="0"/>
          <w:numId w:val="8"/>
        </w:numPr>
        <w:spacing w:line="360" w:lineRule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套餐展示：前端展示至少2种套餐（如免费版：50次对话/月；专业版：无限对话+RAG知识库+课程资料管理），展示功能对比与价格。</w:t>
      </w:r>
    </w:p>
    <w:p w14:paraId="74EEA27B">
      <w:pPr>
        <w:pStyle w:val="14"/>
        <w:numPr>
          <w:ilvl w:val="0"/>
          <w:numId w:val="8"/>
        </w:numPr>
        <w:spacing w:line="360" w:lineRule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支付演示：接入至少一种支付渠道的演示环境（微信支付/支付宝/Stripe沙箱/模拟支付按钮均可），实现：①选择套餐→②点击支付→③模拟支付成功→④用户套餐状态升级→⑤解锁对应功能（如专业版解锁知识库管理）。不要求真实收款，但流程需闭环可演示。</w:t>
      </w:r>
    </w:p>
    <w:p w14:paraId="6A6B8EDC">
      <w:pPr>
        <w:pStyle w:val="14"/>
        <w:numPr>
          <w:ilvl w:val="0"/>
          <w:numId w:val="8"/>
        </w:numPr>
        <w:spacing w:line="360" w:lineRule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用量控制：实现基础的用量计数（如免费版对话次数达到50次后，提示"已用完，请升级"并引导至套餐页面）。</w:t>
      </w:r>
    </w:p>
    <w:p w14:paraId="2A785688">
      <w:pPr>
        <w:spacing w:line="360" w:lineRule="auto"/>
        <w:rPr>
          <w:rFonts w:ascii="微软雅黑" w:hAnsi="微软雅黑" w:eastAsia="微软雅黑"/>
          <w:b/>
          <w:sz w:val="21"/>
        </w:rPr>
      </w:pPr>
      <w:r>
        <w:rPr>
          <w:rFonts w:ascii="微软雅黑" w:hAnsi="微软雅黑" w:eastAsia="微软雅黑"/>
          <w:b/>
          <w:sz w:val="21"/>
        </w:rPr>
        <w:t>4. Admin后台（简化版）</w:t>
      </w:r>
    </w:p>
    <w:p w14:paraId="2BE4DD67">
      <w:pPr>
        <w:pStyle w:val="14"/>
        <w:numPr>
          <w:ilvl w:val="0"/>
          <w:numId w:val="9"/>
        </w:numPr>
        <w:spacing w:line="360" w:lineRule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课程资料管理：Admin可上传PDF课程手册，系统实现基础解析（文本提取即可，不要求向量化），上传后Bot可基于新资料回答。支持查看已上传文档列表与删除。</w:t>
      </w:r>
    </w:p>
    <w:p w14:paraId="0AD09CA5">
      <w:pPr>
        <w:pStyle w:val="14"/>
        <w:numPr>
          <w:ilvl w:val="0"/>
          <w:numId w:val="9"/>
        </w:numPr>
        <w:spacing w:line="360" w:lineRule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对话记录查看：Admin可查看用户的对话记录（脱敏处理，隐藏手机号等敏感信息），支持按时间筛选。</w:t>
      </w:r>
    </w:p>
    <w:p w14:paraId="54263BD3">
      <w:pPr>
        <w:pStyle w:val="14"/>
        <w:numPr>
          <w:ilvl w:val="0"/>
          <w:numId w:val="9"/>
        </w:numPr>
        <w:spacing w:line="360" w:lineRule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用量统计：Admin可查看平台整体用量数据（总对话次数、活跃用户量）。</w:t>
      </w:r>
    </w:p>
    <w:p w14:paraId="2B3F19AF">
      <w:pPr>
        <w:spacing w:line="360" w:lineRule="auto"/>
        <w:rPr>
          <w:rFonts w:ascii="微软雅黑" w:hAnsi="微软雅黑" w:eastAsia="微软雅黑"/>
          <w:b/>
          <w:sz w:val="21"/>
        </w:rPr>
      </w:pPr>
      <w:r>
        <w:rPr>
          <w:rFonts w:ascii="微软雅黑" w:hAnsi="微软雅黑" w:eastAsia="微软雅黑"/>
          <w:b/>
          <w:sz w:val="21"/>
        </w:rPr>
        <w:t>5. AI对话与RAG</w:t>
      </w:r>
    </w:p>
    <w:p w14:paraId="17514990">
      <w:pPr>
        <w:ind w:firstLine="420" w:firstLineChars="200"/>
      </w:pPr>
      <w:r>
        <w:rPr>
          <w:rFonts w:hint="eastAsia" w:ascii="Calibri" w:hAnsi="Calibri" w:eastAsia="微软雅黑"/>
          <w:sz w:val="21"/>
          <w:lang w:val="en-US" w:eastAsia="zh-CN"/>
        </w:rPr>
        <w:t>除了</w:t>
      </w:r>
      <w:r>
        <w:rPr>
          <w:rFonts w:ascii="Calibri" w:hAnsi="Calibri" w:eastAsia="微软雅黑"/>
          <w:sz w:val="21"/>
        </w:rPr>
        <w:t>前端对话界面、LLM API接入、对话历史功能</w:t>
      </w:r>
      <w:r>
        <w:rPr>
          <w:rFonts w:hint="eastAsia" w:ascii="Calibri" w:hAnsi="Calibri" w:eastAsia="微软雅黑"/>
          <w:sz w:val="21"/>
          <w:lang w:val="en-US" w:eastAsia="zh-CN"/>
        </w:rPr>
        <w:t>外，增加</w:t>
      </w:r>
      <w:r>
        <w:rPr>
          <w:rFonts w:ascii="Calibri" w:hAnsi="Calibri" w:eastAsia="微软雅黑"/>
          <w:sz w:val="21"/>
        </w:rPr>
        <w:t>RAG回答（替代Prompt注入）、Agent Skill调用（Function Calling）、套餐状态感知（免费版/专业版功能差异）。</w:t>
      </w:r>
    </w:p>
    <w:p w14:paraId="07E23625">
      <w:pPr>
        <w:ind w:firstLine="420" w:firstLineChars="200"/>
      </w:pPr>
      <w:r>
        <w:rPr>
          <w:rFonts w:ascii="Calibri" w:hAnsi="Calibri" w:eastAsia="微软雅黑"/>
          <w:sz w:val="21"/>
        </w:rPr>
        <w:t>多轮对话：支持上下文记忆，能够进行连贯的多轮课程咨询对话。</w:t>
      </w:r>
    </w:p>
    <w:p w14:paraId="723D9ADC">
      <w:pPr>
        <w:spacing w:line="360" w:lineRule="auto"/>
        <w:rPr>
          <w:rFonts w:ascii="微软雅黑" w:hAnsi="微软雅黑" w:eastAsia="微软雅黑"/>
          <w:b/>
          <w:sz w:val="21"/>
        </w:rPr>
      </w:pPr>
      <w:r>
        <w:rPr>
          <w:rFonts w:ascii="微软雅黑" w:hAnsi="微软雅黑" w:eastAsia="微软雅黑"/>
          <w:b/>
          <w:sz w:val="21"/>
        </w:rPr>
        <w:t>6. 部署与文档（简化版）</w:t>
      </w:r>
    </w:p>
    <w:p w14:paraId="4DB41D4F">
      <w:pPr>
        <w:pStyle w:val="14"/>
        <w:numPr>
          <w:ilvl w:val="0"/>
          <w:numId w:val="10"/>
        </w:numPr>
        <w:spacing w:line="360" w:lineRule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部署上线：提供公网可访问URL，或提供Docker Compose一键部署脚本（含数据库初始化），确保评审15分钟内可运行。</w:t>
      </w:r>
    </w:p>
    <w:p w14:paraId="60FCD97B">
      <w:pPr>
        <w:pStyle w:val="14"/>
        <w:numPr>
          <w:ilvl w:val="0"/>
          <w:numId w:val="10"/>
        </w:numPr>
        <w:spacing w:line="360" w:lineRule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环境管理：提供.env.example与配置说明，标注所有关键配置项。</w:t>
      </w:r>
    </w:p>
    <w:p w14:paraId="00763BF5">
      <w:pPr>
        <w:pStyle w:val="14"/>
        <w:numPr>
          <w:ilvl w:val="0"/>
          <w:numId w:val="0"/>
        </w:numPr>
        <w:spacing w:line="360" w:lineRule="auto"/>
        <w:ind w:leftChars="0"/>
        <w:rPr>
          <w:rFonts w:ascii="微软雅黑" w:hAnsi="微软雅黑" w:eastAsia="微软雅黑"/>
          <w:b w:val="0"/>
          <w:sz w:val="21"/>
        </w:rPr>
      </w:pPr>
    </w:p>
    <w:p w14:paraId="4F995456">
      <w:pPr>
        <w:pStyle w:val="5"/>
        <w:jc w:val="left"/>
      </w:pPr>
      <w:r>
        <w:rPr>
          <w:rFonts w:ascii="微软雅黑" w:hAnsi="微软雅黑" w:eastAsia="微软雅黑"/>
          <w:b/>
          <w:color w:val="4477BB"/>
          <w:sz w:val="24"/>
        </w:rPr>
        <w:t>二、测试需求描述</w:t>
      </w:r>
    </w:p>
    <w:p w14:paraId="715ADC29">
      <w:pPr>
        <w:spacing w:line="360" w:lineRule="auto"/>
        <w:ind w:firstLine="420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选手需建立基础测试记录，覆盖功能、隔离与支付流程。</w:t>
      </w:r>
    </w:p>
    <w:tbl>
      <w:tblPr>
        <w:tblStyle w:val="33"/>
        <w:tblW w:w="0" w:type="auto"/>
        <w:jc w:val="center"/>
        <w:tblBorders>
          <w:top w:val="single" w:color="2D6A4F" w:sz="8" w:space="0"/>
          <w:left w:val="none" w:color="auto" w:sz="0" w:space="0"/>
          <w:bottom w:val="single" w:color="2D6A4F" w:sz="8" w:space="0"/>
          <w:right w:val="none" w:color="auto" w:sz="0" w:space="0"/>
          <w:insideH w:val="single" w:color="B7E4C7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1046"/>
        <w:gridCol w:w="3087"/>
        <w:gridCol w:w="1821"/>
        <w:gridCol w:w="1571"/>
      </w:tblGrid>
      <w:tr w14:paraId="4D867E42">
        <w:tblPrEx>
          <w:tblBorders>
            <w:top w:val="single" w:color="2D6A4F" w:sz="8" w:space="0"/>
            <w:left w:val="none" w:color="auto" w:sz="0" w:space="0"/>
            <w:bottom w:val="single" w:color="2D6A4F" w:sz="8" w:space="0"/>
            <w:right w:val="none" w:color="auto" w:sz="0" w:space="0"/>
            <w:insideH w:val="single" w:color="B7E4C7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F3DC"/>
          </w:tcPr>
          <w:p w14:paraId="54E044A7">
            <w:pPr>
              <w:jc w:val="center"/>
            </w:pPr>
            <w:r>
              <w:rPr>
                <w:rFonts w:ascii="Calibri" w:hAnsi="Calibri" w:eastAsia="微软雅黑"/>
                <w:b/>
                <w:sz w:val="18"/>
              </w:rPr>
              <w:t>测试类型</w:t>
            </w:r>
          </w:p>
        </w:tc>
        <w:tc>
          <w:tcPr>
            <w:tcW w:w="1134" w:type="dxa"/>
            <w:shd w:val="clear" w:color="auto" w:fill="D8F3DC"/>
          </w:tcPr>
          <w:p w14:paraId="4C6A4977">
            <w:pPr>
              <w:jc w:val="center"/>
            </w:pPr>
            <w:r>
              <w:rPr>
                <w:rFonts w:ascii="Calibri" w:hAnsi="Calibri" w:eastAsia="微软雅黑"/>
                <w:b/>
                <w:sz w:val="18"/>
              </w:rPr>
              <w:t>测试数量</w:t>
            </w:r>
          </w:p>
        </w:tc>
        <w:tc>
          <w:tcPr>
            <w:tcW w:w="3402" w:type="dxa"/>
            <w:shd w:val="clear" w:color="auto" w:fill="D8F3DC"/>
          </w:tcPr>
          <w:p w14:paraId="4B2C7257">
            <w:pPr>
              <w:jc w:val="center"/>
            </w:pPr>
            <w:r>
              <w:rPr>
                <w:rFonts w:ascii="Calibri" w:hAnsi="Calibri" w:eastAsia="微软雅黑"/>
                <w:b/>
                <w:sz w:val="18"/>
              </w:rPr>
              <w:t>测试要点</w:t>
            </w:r>
          </w:p>
        </w:tc>
        <w:tc>
          <w:tcPr>
            <w:tcW w:w="1984" w:type="dxa"/>
            <w:shd w:val="clear" w:color="auto" w:fill="D8F3DC"/>
          </w:tcPr>
          <w:p w14:paraId="727FB8CB">
            <w:pPr>
              <w:jc w:val="center"/>
            </w:pPr>
            <w:r>
              <w:rPr>
                <w:rFonts w:ascii="Calibri" w:hAnsi="Calibri" w:eastAsia="微软雅黑"/>
                <w:b/>
                <w:sz w:val="18"/>
              </w:rPr>
              <w:t>通过标准</w:t>
            </w:r>
          </w:p>
        </w:tc>
        <w:tc>
          <w:tcPr>
            <w:tcW w:w="1728" w:type="dxa"/>
            <w:shd w:val="clear" w:color="auto" w:fill="D8F3DC"/>
          </w:tcPr>
          <w:p w14:paraId="5351B2C1">
            <w:pPr>
              <w:jc w:val="center"/>
            </w:pPr>
            <w:r>
              <w:rPr>
                <w:rFonts w:ascii="Calibri" w:hAnsi="Calibri" w:eastAsia="微软雅黑"/>
                <w:b/>
                <w:sz w:val="18"/>
              </w:rPr>
              <w:t>交付物</w:t>
            </w:r>
          </w:p>
        </w:tc>
      </w:tr>
      <w:tr w14:paraId="3BBBA4B4">
        <w:tblPrEx>
          <w:tblBorders>
            <w:top w:val="single" w:color="2D6A4F" w:sz="8" w:space="0"/>
            <w:left w:val="none" w:color="auto" w:sz="0" w:space="0"/>
            <w:bottom w:val="single" w:color="2D6A4F" w:sz="8" w:space="0"/>
            <w:right w:val="none" w:color="auto" w:sz="0" w:space="0"/>
            <w:insideH w:val="single" w:color="B7E4C7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520B1D7">
            <w:r>
              <w:rPr>
                <w:rFonts w:ascii="Calibri" w:hAnsi="Calibri" w:eastAsia="微软雅黑"/>
                <w:sz w:val="18"/>
              </w:rPr>
              <w:t>RAG测试</w:t>
            </w:r>
          </w:p>
        </w:tc>
        <w:tc>
          <w:tcPr>
            <w:tcW w:w="1134" w:type="dxa"/>
          </w:tcPr>
          <w:p w14:paraId="0DCD1ADF">
            <w:r>
              <w:rPr>
                <w:rFonts w:ascii="Calibri" w:hAnsi="Calibri" w:eastAsia="微软雅黑"/>
                <w:sz w:val="18"/>
              </w:rPr>
              <w:t>≥5组</w:t>
            </w:r>
          </w:p>
        </w:tc>
        <w:tc>
          <w:tcPr>
            <w:tcW w:w="3402" w:type="dxa"/>
          </w:tcPr>
          <w:p w14:paraId="10F27ADE">
            <w:r>
              <w:rPr>
                <w:rFonts w:ascii="Calibri" w:hAnsi="Calibri" w:eastAsia="微软雅黑"/>
                <w:sz w:val="18"/>
              </w:rPr>
              <w:t>知识库内问答（直接/间接）、知识库外问答（拒绝编造）、引用溯源准确性、文档更新后索引刷新</w:t>
            </w:r>
          </w:p>
        </w:tc>
        <w:tc>
          <w:tcPr>
            <w:tcW w:w="1984" w:type="dxa"/>
          </w:tcPr>
          <w:p w14:paraId="1247A732">
            <w:r>
              <w:rPr>
                <w:rFonts w:ascii="Calibri" w:hAnsi="Calibri" w:eastAsia="微软雅黑"/>
                <w:sz w:val="18"/>
              </w:rPr>
              <w:t>准确率≥85%</w:t>
            </w:r>
          </w:p>
        </w:tc>
        <w:tc>
          <w:tcPr>
            <w:tcW w:w="1728" w:type="dxa"/>
          </w:tcPr>
          <w:p w14:paraId="5BAD1199"/>
        </w:tc>
      </w:tr>
      <w:tr w14:paraId="4C0283E3">
        <w:tblPrEx>
          <w:tblBorders>
            <w:top w:val="single" w:color="2D6A4F" w:sz="8" w:space="0"/>
            <w:left w:val="none" w:color="auto" w:sz="0" w:space="0"/>
            <w:bottom w:val="single" w:color="2D6A4F" w:sz="8" w:space="0"/>
            <w:right w:val="none" w:color="auto" w:sz="0" w:space="0"/>
            <w:insideH w:val="single" w:color="B7E4C7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B54B894">
            <w:r>
              <w:rPr>
                <w:rFonts w:ascii="Calibri" w:hAnsi="Calibri" w:eastAsia="微软雅黑"/>
                <w:sz w:val="18"/>
              </w:rPr>
              <w:t>Agent Skill测试</w:t>
            </w:r>
          </w:p>
        </w:tc>
        <w:tc>
          <w:tcPr>
            <w:tcW w:w="1134" w:type="dxa"/>
          </w:tcPr>
          <w:p w14:paraId="5F4DFD89">
            <w:r>
              <w:rPr>
                <w:rFonts w:ascii="Calibri" w:hAnsi="Calibri" w:eastAsia="微软雅黑"/>
                <w:sz w:val="18"/>
              </w:rPr>
              <w:t>≥4组</w:t>
            </w:r>
          </w:p>
        </w:tc>
        <w:tc>
          <w:tcPr>
            <w:tcW w:w="3402" w:type="dxa"/>
          </w:tcPr>
          <w:p w14:paraId="5528F06E">
            <w:r>
              <w:rPr>
                <w:rFonts w:ascii="Calibri" w:hAnsi="Calibri" w:eastAsia="微软雅黑"/>
                <w:sz w:val="18"/>
              </w:rPr>
              <w:t>查询课程详情Skill（2个不同班型）、推荐适合班型Skill（2组不同约束）、Skill参数缺失降级</w:t>
            </w:r>
          </w:p>
        </w:tc>
        <w:tc>
          <w:tcPr>
            <w:tcW w:w="1984" w:type="dxa"/>
          </w:tcPr>
          <w:p w14:paraId="589CB2F9">
            <w:r>
              <w:rPr>
                <w:rFonts w:ascii="Calibri" w:hAnsi="Calibri" w:eastAsia="微软雅黑"/>
                <w:sz w:val="18"/>
              </w:rPr>
              <w:t>Skill调用正确，降级优雅</w:t>
            </w:r>
          </w:p>
        </w:tc>
        <w:tc>
          <w:tcPr>
            <w:tcW w:w="1728" w:type="dxa"/>
          </w:tcPr>
          <w:p w14:paraId="5E7863BA"/>
        </w:tc>
      </w:tr>
      <w:tr w14:paraId="5D29A377">
        <w:tblPrEx>
          <w:tblBorders>
            <w:top w:val="single" w:color="2D6A4F" w:sz="8" w:space="0"/>
            <w:left w:val="none" w:color="auto" w:sz="0" w:space="0"/>
            <w:bottom w:val="single" w:color="2D6A4F" w:sz="8" w:space="0"/>
            <w:right w:val="none" w:color="auto" w:sz="0" w:space="0"/>
            <w:insideH w:val="single" w:color="B7E4C7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7239441">
            <w:r>
              <w:rPr>
                <w:rFonts w:ascii="Calibri" w:hAnsi="Calibri" w:eastAsia="微软雅黑"/>
                <w:sz w:val="18"/>
              </w:rPr>
              <w:t>商业化测试</w:t>
            </w:r>
          </w:p>
        </w:tc>
        <w:tc>
          <w:tcPr>
            <w:tcW w:w="1134" w:type="dxa"/>
          </w:tcPr>
          <w:p w14:paraId="1EC52932">
            <w:r>
              <w:rPr>
                <w:rFonts w:ascii="Calibri" w:hAnsi="Calibri" w:eastAsia="微软雅黑"/>
                <w:sz w:val="18"/>
              </w:rPr>
              <w:t>≥3组</w:t>
            </w:r>
          </w:p>
        </w:tc>
        <w:tc>
          <w:tcPr>
            <w:tcW w:w="3402" w:type="dxa"/>
          </w:tcPr>
          <w:p w14:paraId="485471BB">
            <w:r>
              <w:rPr>
                <w:rFonts w:ascii="Calibri" w:hAnsi="Calibri" w:eastAsia="微软雅黑"/>
                <w:sz w:val="18"/>
              </w:rPr>
              <w:t>套餐展示与对比、支付流程闭环、用量超限拦截</w:t>
            </w:r>
          </w:p>
        </w:tc>
        <w:tc>
          <w:tcPr>
            <w:tcW w:w="1984" w:type="dxa"/>
          </w:tcPr>
          <w:p w14:paraId="5A2FD2A9">
            <w:r>
              <w:rPr>
                <w:rFonts w:ascii="Calibri" w:hAnsi="Calibri" w:eastAsia="微软雅黑"/>
                <w:sz w:val="18"/>
              </w:rPr>
              <w:t>流程闭环可演示</w:t>
            </w:r>
          </w:p>
        </w:tc>
        <w:tc>
          <w:tcPr>
            <w:tcW w:w="1728" w:type="dxa"/>
          </w:tcPr>
          <w:p w14:paraId="789F0A05"/>
        </w:tc>
      </w:tr>
      <w:tr w14:paraId="37B635CD">
        <w:tblPrEx>
          <w:tblBorders>
            <w:top w:val="single" w:color="2D6A4F" w:sz="8" w:space="0"/>
            <w:left w:val="none" w:color="auto" w:sz="0" w:space="0"/>
            <w:bottom w:val="single" w:color="2D6A4F" w:sz="8" w:space="0"/>
            <w:right w:val="none" w:color="auto" w:sz="0" w:space="0"/>
            <w:insideH w:val="single" w:color="B7E4C7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9D7BF1C">
            <w:r>
              <w:rPr>
                <w:rFonts w:ascii="Calibri" w:hAnsi="Calibri" w:eastAsia="微软雅黑"/>
                <w:sz w:val="18"/>
              </w:rPr>
              <w:t>Admin后台测试</w:t>
            </w:r>
          </w:p>
        </w:tc>
        <w:tc>
          <w:tcPr>
            <w:tcW w:w="1134" w:type="dxa"/>
          </w:tcPr>
          <w:p w14:paraId="2EC76BA6">
            <w:r>
              <w:rPr>
                <w:rFonts w:ascii="Calibri" w:hAnsi="Calibri" w:eastAsia="微软雅黑"/>
                <w:sz w:val="18"/>
              </w:rPr>
              <w:t>≥3组</w:t>
            </w:r>
          </w:p>
        </w:tc>
        <w:tc>
          <w:tcPr>
            <w:tcW w:w="3402" w:type="dxa"/>
          </w:tcPr>
          <w:p w14:paraId="08C43013">
            <w:r>
              <w:rPr>
                <w:rFonts w:ascii="Calibri" w:hAnsi="Calibri" w:eastAsia="微软雅黑"/>
                <w:sz w:val="18"/>
              </w:rPr>
              <w:t>课程资料上传与解析、对话记录查看、用量统计</w:t>
            </w:r>
          </w:p>
        </w:tc>
        <w:tc>
          <w:tcPr>
            <w:tcW w:w="1984" w:type="dxa"/>
          </w:tcPr>
          <w:p w14:paraId="19E2B7D7">
            <w:r>
              <w:rPr>
                <w:rFonts w:ascii="Calibri" w:hAnsi="Calibri" w:eastAsia="微软雅黑"/>
                <w:sz w:val="18"/>
              </w:rPr>
              <w:t>功能可用</w:t>
            </w:r>
          </w:p>
        </w:tc>
        <w:tc>
          <w:tcPr>
            <w:tcW w:w="1728" w:type="dxa"/>
          </w:tcPr>
          <w:p w14:paraId="20223EAF"/>
        </w:tc>
      </w:tr>
      <w:tr w14:paraId="0DA12386">
        <w:tblPrEx>
          <w:tblBorders>
            <w:top w:val="single" w:color="2D6A4F" w:sz="8" w:space="0"/>
            <w:left w:val="none" w:color="auto" w:sz="0" w:space="0"/>
            <w:bottom w:val="single" w:color="2D6A4F" w:sz="8" w:space="0"/>
            <w:right w:val="none" w:color="auto" w:sz="0" w:space="0"/>
            <w:insideH w:val="single" w:color="B7E4C7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8E5EF11">
            <w:r>
              <w:rPr>
                <w:rFonts w:ascii="Calibri" w:hAnsi="Calibri" w:eastAsia="微软雅黑"/>
                <w:sz w:val="18"/>
              </w:rPr>
              <w:t>部署测试</w:t>
            </w:r>
          </w:p>
        </w:tc>
        <w:tc>
          <w:tcPr>
            <w:tcW w:w="1134" w:type="dxa"/>
          </w:tcPr>
          <w:p w14:paraId="39415253">
            <w:r>
              <w:rPr>
                <w:rFonts w:ascii="Calibri" w:hAnsi="Calibri" w:eastAsia="微软雅黑"/>
                <w:sz w:val="18"/>
              </w:rPr>
              <w:t>≥2组</w:t>
            </w:r>
          </w:p>
        </w:tc>
        <w:tc>
          <w:tcPr>
            <w:tcW w:w="3402" w:type="dxa"/>
          </w:tcPr>
          <w:p w14:paraId="43D584D4">
            <w:r>
              <w:rPr>
                <w:rFonts w:ascii="Calibri" w:hAnsi="Calibri" w:eastAsia="微软雅黑"/>
                <w:sz w:val="18"/>
              </w:rPr>
              <w:t>公网访问或Docker一键部署、环境变量配置、服务稳定性</w:t>
            </w:r>
          </w:p>
        </w:tc>
        <w:tc>
          <w:tcPr>
            <w:tcW w:w="1984" w:type="dxa"/>
          </w:tcPr>
          <w:p w14:paraId="5E936AF9">
            <w:r>
              <w:rPr>
                <w:rFonts w:ascii="Calibri" w:hAnsi="Calibri" w:eastAsia="微软雅黑"/>
                <w:sz w:val="18"/>
              </w:rPr>
              <w:t>部署成功</w:t>
            </w:r>
          </w:p>
        </w:tc>
        <w:tc>
          <w:tcPr>
            <w:tcW w:w="1728" w:type="dxa"/>
          </w:tcPr>
          <w:p w14:paraId="49D77290"/>
        </w:tc>
      </w:tr>
    </w:tbl>
    <w:p w14:paraId="01577E5C">
      <w:pPr>
        <w:spacing w:line="360" w:lineRule="auto"/>
        <w:ind w:firstLine="420"/>
        <w:rPr>
          <w:rFonts w:ascii="微软雅黑" w:hAnsi="微软雅黑" w:eastAsia="微软雅黑"/>
          <w:b w:val="0"/>
          <w:sz w:val="21"/>
        </w:rPr>
      </w:pPr>
    </w:p>
    <w:p w14:paraId="21A559D6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【测试执行方式】</w:t>
      </w:r>
    </w:p>
    <w:p w14:paraId="7DA5A237">
      <w:r>
        <w:rPr>
          <w:rFonts w:ascii="Calibri" w:hAnsi="Calibri" w:eastAsia="微软雅黑"/>
          <w:sz w:val="21"/>
        </w:rPr>
        <w:t>• 选手提交测试记录表（Excel/Word），包含：测试编号、场景、步骤、预期结果、实际结果、截图/录屏、结果。</w:t>
      </w:r>
    </w:p>
    <w:p w14:paraId="50073DC0">
      <w:r>
        <w:rPr>
          <w:rFonts w:ascii="Calibri" w:hAnsi="Calibri" w:eastAsia="微软雅黑"/>
          <w:sz w:val="21"/>
        </w:rPr>
        <w:t>• 评审委员会实测复现，重点验证RAG准确性、Agent Skill调用正确性和支付流程闭环。</w:t>
      </w:r>
    </w:p>
    <w:p w14:paraId="28224346">
      <w:pPr>
        <w:pStyle w:val="5"/>
        <w:jc w:val="left"/>
      </w:pPr>
      <w:r>
        <w:rPr>
          <w:rFonts w:ascii="微软雅黑" w:hAnsi="微软雅黑" w:eastAsia="微软雅黑"/>
          <w:b/>
          <w:color w:val="4477BB"/>
          <w:sz w:val="24"/>
        </w:rPr>
        <w:t>三、交付物清单（48小时内）</w:t>
      </w:r>
    </w:p>
    <w:p w14:paraId="34F5941D">
      <w:pPr>
        <w:pStyle w:val="14"/>
        <w:numPr>
          <w:ilvl w:val="0"/>
          <w:numId w:val="11"/>
        </w:numPr>
        <w:spacing w:line="360" w:lineRule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可访问的演示链接或Docker Compose部署包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或者</w:t>
      </w:r>
      <w:r>
        <w:rPr>
          <w:rFonts w:ascii="微软雅黑" w:hAnsi="微软雅黑" w:eastAsia="微软雅黑"/>
          <w:b w:val="0"/>
          <w:sz w:val="21"/>
        </w:rPr>
        <w:t>源代码仓库（GitHub/Gitee链接）</w:t>
      </w:r>
    </w:p>
    <w:p w14:paraId="3853D8DE">
      <w:pPr>
        <w:pStyle w:val="14"/>
        <w:numPr>
          <w:ilvl w:val="0"/>
          <w:numId w:val="11"/>
        </w:numPr>
        <w:spacing w:line="360" w:lineRule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README文档（≥800字，包含：项目简介、技术栈、安装运行步骤、环境变量说明、RAG设计说明、Agent Skill设计说明、支付流程说明、AI辅助代码标注）</w:t>
      </w:r>
    </w:p>
    <w:p w14:paraId="721C0F54">
      <w:pPr>
        <w:pStyle w:val="14"/>
        <w:numPr>
          <w:ilvl w:val="0"/>
          <w:numId w:val="11"/>
        </w:numPr>
        <w:spacing w:line="360" w:lineRule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测试记录表（≥17组测试用例）</w:t>
      </w:r>
    </w:p>
    <w:p w14:paraId="12EA0565">
      <w:pPr>
        <w:pStyle w:val="14"/>
        <w:numPr>
          <w:ilvl w:val="0"/>
          <w:numId w:val="11"/>
        </w:numPr>
        <w:spacing w:line="360" w:lineRule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系统架构说明（≥400字，说明RAG链路设计、Agent Skill架构、数据库设计、支付流程设计、部署方案）</w:t>
      </w:r>
    </w:p>
    <w:p w14:paraId="4D426DC8">
      <w:pPr>
        <w:pStyle w:val="14"/>
        <w:numPr>
          <w:ilvl w:val="0"/>
          <w:numId w:val="11"/>
        </w:numPr>
        <w:spacing w:line="360" w:lineRule="auto"/>
      </w:pPr>
      <w:r>
        <w:rPr>
          <w:rFonts w:ascii="微软雅黑" w:hAnsi="微软雅黑" w:eastAsia="微软雅黑"/>
          <w:b w:val="0"/>
          <w:sz w:val="21"/>
        </w:rPr>
        <w:t>产品演示视频（≥3分钟，展示RAG问答、Agent Skill调用、支付升级、Admin后台等核心流程）</w:t>
      </w:r>
    </w:p>
    <w:p w14:paraId="7CE9EFF9">
      <w:pPr>
        <w:pStyle w:val="5"/>
        <w:numPr>
          <w:ilvl w:val="0"/>
          <w:numId w:val="12"/>
        </w:numPr>
        <w:jc w:val="left"/>
        <w:rPr>
          <w:rFonts w:ascii="微软雅黑" w:hAnsi="微软雅黑" w:eastAsia="微软雅黑"/>
          <w:b/>
          <w:color w:val="4477BB"/>
          <w:sz w:val="24"/>
        </w:rPr>
      </w:pPr>
      <w:r>
        <w:rPr>
          <w:rFonts w:ascii="微软雅黑" w:hAnsi="微软雅黑" w:eastAsia="微软雅黑"/>
          <w:b/>
          <w:color w:val="4477BB"/>
          <w:sz w:val="24"/>
        </w:rPr>
        <w:t>评分标准（百分制）</w:t>
      </w:r>
    </w:p>
    <w:tbl>
      <w:tblPr>
        <w:tblStyle w:val="33"/>
        <w:tblW w:w="0" w:type="auto"/>
        <w:jc w:val="center"/>
        <w:tblBorders>
          <w:top w:val="single" w:color="2D6A4F" w:sz="8" w:space="0"/>
          <w:left w:val="none" w:color="auto" w:sz="0" w:space="0"/>
          <w:bottom w:val="single" w:color="2D6A4F" w:sz="8" w:space="0"/>
          <w:right w:val="none" w:color="auto" w:sz="0" w:space="0"/>
          <w:insideH w:val="single" w:color="B7E4C7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134"/>
        <w:gridCol w:w="2835"/>
        <w:gridCol w:w="2268"/>
      </w:tblGrid>
      <w:tr w14:paraId="5660FD5A">
        <w:tblPrEx>
          <w:tblBorders>
            <w:top w:val="single" w:color="2D6A4F" w:sz="8" w:space="0"/>
            <w:left w:val="none" w:color="auto" w:sz="0" w:space="0"/>
            <w:bottom w:val="single" w:color="2D6A4F" w:sz="8" w:space="0"/>
            <w:right w:val="none" w:color="auto" w:sz="0" w:space="0"/>
            <w:insideH w:val="single" w:color="B7E4C7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8F3DC"/>
          </w:tcPr>
          <w:p w14:paraId="281B5404">
            <w:pPr>
              <w:jc w:val="center"/>
            </w:pPr>
            <w:r>
              <w:rPr>
                <w:rFonts w:ascii="Calibri" w:hAnsi="Calibri" w:eastAsia="微软雅黑"/>
                <w:b/>
                <w:sz w:val="18"/>
              </w:rPr>
              <w:t>评分维度</w:t>
            </w:r>
          </w:p>
        </w:tc>
        <w:tc>
          <w:tcPr>
            <w:tcW w:w="1134" w:type="dxa"/>
            <w:shd w:val="clear" w:color="auto" w:fill="D8F3DC"/>
          </w:tcPr>
          <w:p w14:paraId="021A8ECE">
            <w:pPr>
              <w:jc w:val="center"/>
            </w:pPr>
            <w:r>
              <w:rPr>
                <w:rFonts w:ascii="Calibri" w:hAnsi="Calibri" w:eastAsia="微软雅黑"/>
                <w:b/>
                <w:sz w:val="18"/>
              </w:rPr>
              <w:t>权重</w:t>
            </w:r>
          </w:p>
        </w:tc>
        <w:tc>
          <w:tcPr>
            <w:tcW w:w="2835" w:type="dxa"/>
            <w:shd w:val="clear" w:color="auto" w:fill="D8F3DC"/>
          </w:tcPr>
          <w:p w14:paraId="7AD2FCD9">
            <w:pPr>
              <w:jc w:val="center"/>
            </w:pPr>
            <w:r>
              <w:rPr>
                <w:rFonts w:ascii="Calibri" w:hAnsi="Calibri" w:eastAsia="微软雅黑"/>
                <w:b/>
                <w:sz w:val="18"/>
              </w:rPr>
              <w:t>评分细则</w:t>
            </w:r>
          </w:p>
        </w:tc>
        <w:tc>
          <w:tcPr>
            <w:tcW w:w="2268" w:type="dxa"/>
            <w:shd w:val="clear" w:color="auto" w:fill="D8F3DC"/>
          </w:tcPr>
          <w:p w14:paraId="34AAAE78">
            <w:pPr>
              <w:jc w:val="center"/>
            </w:pPr>
            <w:r>
              <w:rPr>
                <w:rFonts w:ascii="Calibri" w:hAnsi="Calibri" w:eastAsia="微软雅黑"/>
                <w:b/>
                <w:sz w:val="18"/>
              </w:rPr>
              <w:t>得分要点</w:t>
            </w:r>
          </w:p>
        </w:tc>
      </w:tr>
      <w:tr w14:paraId="19183552">
        <w:tblPrEx>
          <w:tblBorders>
            <w:top w:val="single" w:color="2D6A4F" w:sz="8" w:space="0"/>
            <w:left w:val="none" w:color="auto" w:sz="0" w:space="0"/>
            <w:bottom w:val="single" w:color="2D6A4F" w:sz="8" w:space="0"/>
            <w:right w:val="none" w:color="auto" w:sz="0" w:space="0"/>
            <w:insideH w:val="single" w:color="B7E4C7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811D296">
            <w:r>
              <w:rPr>
                <w:rFonts w:ascii="Calibri" w:hAnsi="Calibri" w:eastAsia="微软雅黑"/>
                <w:sz w:val="18"/>
              </w:rPr>
              <w:t>RAG知识库系统</w:t>
            </w:r>
          </w:p>
        </w:tc>
        <w:tc>
          <w:tcPr>
            <w:tcW w:w="1134" w:type="dxa"/>
          </w:tcPr>
          <w:p w14:paraId="145BE2F7">
            <w:r>
              <w:rPr>
                <w:rFonts w:ascii="Calibri" w:hAnsi="Calibri" w:eastAsia="微软雅黑"/>
                <w:sz w:val="18"/>
              </w:rPr>
              <w:t>25%</w:t>
            </w:r>
          </w:p>
        </w:tc>
        <w:tc>
          <w:tcPr>
            <w:tcW w:w="2835" w:type="dxa"/>
          </w:tcPr>
          <w:p w14:paraId="54C221E1">
            <w:r>
              <w:rPr>
                <w:rFonts w:ascii="Calibri" w:hAnsi="Calibri" w:eastAsia="微软雅黑"/>
                <w:sz w:val="18"/>
              </w:rPr>
              <w:t>RAG链路完整性（解析→切片→向量→检索→引用）、回答准确率、文档管理功能</w:t>
            </w:r>
          </w:p>
        </w:tc>
        <w:tc>
          <w:tcPr>
            <w:tcW w:w="2268" w:type="dxa"/>
          </w:tcPr>
          <w:p w14:paraId="1D0ABC1E">
            <w:r>
              <w:rPr>
                <w:rFonts w:ascii="Calibri" w:hAnsi="Calibri" w:eastAsia="微软雅黑"/>
                <w:sz w:val="18"/>
              </w:rPr>
              <w:t>链路完整；准确率≥85%</w:t>
            </w:r>
          </w:p>
        </w:tc>
      </w:tr>
      <w:tr w14:paraId="71836760">
        <w:tblPrEx>
          <w:tblBorders>
            <w:top w:val="single" w:color="2D6A4F" w:sz="8" w:space="0"/>
            <w:left w:val="none" w:color="auto" w:sz="0" w:space="0"/>
            <w:bottom w:val="single" w:color="2D6A4F" w:sz="8" w:space="0"/>
            <w:right w:val="none" w:color="auto" w:sz="0" w:space="0"/>
            <w:insideH w:val="single" w:color="B7E4C7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D02B780">
            <w:r>
              <w:rPr>
                <w:rFonts w:ascii="Calibri" w:hAnsi="Calibri" w:eastAsia="微软雅黑"/>
                <w:sz w:val="18"/>
              </w:rPr>
              <w:t>Agent Skill封装</w:t>
            </w:r>
          </w:p>
        </w:tc>
        <w:tc>
          <w:tcPr>
            <w:tcW w:w="1134" w:type="dxa"/>
          </w:tcPr>
          <w:p w14:paraId="60C05455">
            <w:r>
              <w:rPr>
                <w:rFonts w:ascii="Calibri" w:hAnsi="Calibri" w:eastAsia="微软雅黑"/>
                <w:sz w:val="18"/>
              </w:rPr>
              <w:t>2</w:t>
            </w:r>
            <w:r>
              <w:rPr>
                <w:rFonts w:hint="eastAsia" w:ascii="Calibri" w:hAnsi="Calibri" w:eastAsia="微软雅黑"/>
                <w:sz w:val="18"/>
                <w:lang w:val="en-US" w:eastAsia="zh-CN"/>
              </w:rPr>
              <w:t>5</w:t>
            </w:r>
            <w:r>
              <w:rPr>
                <w:rFonts w:ascii="Calibri" w:hAnsi="Calibri" w:eastAsia="微软雅黑"/>
                <w:sz w:val="18"/>
              </w:rPr>
              <w:t>%</w:t>
            </w:r>
          </w:p>
        </w:tc>
        <w:tc>
          <w:tcPr>
            <w:tcW w:w="2835" w:type="dxa"/>
          </w:tcPr>
          <w:p w14:paraId="53C570AD">
            <w:r>
              <w:rPr>
                <w:rFonts w:ascii="Calibri" w:hAnsi="Calibri" w:eastAsia="微软雅黑"/>
                <w:sz w:val="18"/>
              </w:rPr>
              <w:t>Function Calling实现（≥2个Skill）、参数Schema设计、降级策略、Skill调用准确性</w:t>
            </w:r>
          </w:p>
        </w:tc>
        <w:tc>
          <w:tcPr>
            <w:tcW w:w="2268" w:type="dxa"/>
          </w:tcPr>
          <w:p w14:paraId="7E5CC63A">
            <w:r>
              <w:rPr>
                <w:rFonts w:ascii="Calibri" w:hAnsi="Calibri" w:eastAsia="微软雅黑"/>
                <w:sz w:val="18"/>
              </w:rPr>
              <w:t>Skill≥2个；调用准确</w:t>
            </w:r>
          </w:p>
        </w:tc>
      </w:tr>
      <w:tr w14:paraId="2CEBF03C">
        <w:tblPrEx>
          <w:tblBorders>
            <w:top w:val="single" w:color="2D6A4F" w:sz="8" w:space="0"/>
            <w:left w:val="none" w:color="auto" w:sz="0" w:space="0"/>
            <w:bottom w:val="single" w:color="2D6A4F" w:sz="8" w:space="0"/>
            <w:right w:val="none" w:color="auto" w:sz="0" w:space="0"/>
            <w:insideH w:val="single" w:color="B7E4C7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0644678">
            <w:r>
              <w:rPr>
                <w:rFonts w:ascii="Calibri" w:hAnsi="Calibri" w:eastAsia="微软雅黑"/>
                <w:sz w:val="18"/>
              </w:rPr>
              <w:t>商业化与支付演示</w:t>
            </w:r>
          </w:p>
        </w:tc>
        <w:tc>
          <w:tcPr>
            <w:tcW w:w="1134" w:type="dxa"/>
          </w:tcPr>
          <w:p w14:paraId="5CEB9BC2">
            <w:r>
              <w:rPr>
                <w:rFonts w:ascii="Calibri" w:hAnsi="Calibri" w:eastAsia="微软雅黑"/>
                <w:sz w:val="18"/>
              </w:rPr>
              <w:t>15%</w:t>
            </w:r>
          </w:p>
        </w:tc>
        <w:tc>
          <w:tcPr>
            <w:tcW w:w="2835" w:type="dxa"/>
          </w:tcPr>
          <w:p w14:paraId="215C93C3">
            <w:r>
              <w:rPr>
                <w:rFonts w:ascii="Calibri" w:hAnsi="Calibri" w:eastAsia="微软雅黑"/>
                <w:sz w:val="18"/>
              </w:rPr>
              <w:t>套餐展示清晰度、支付流程闭环、用量控制准确性</w:t>
            </w:r>
          </w:p>
        </w:tc>
        <w:tc>
          <w:tcPr>
            <w:tcW w:w="2268" w:type="dxa"/>
          </w:tcPr>
          <w:p w14:paraId="1605E914">
            <w:r>
              <w:rPr>
                <w:rFonts w:ascii="Calibri" w:hAnsi="Calibri" w:eastAsia="微软雅黑"/>
                <w:sz w:val="18"/>
              </w:rPr>
              <w:t>流程可演示</w:t>
            </w:r>
          </w:p>
        </w:tc>
      </w:tr>
      <w:tr w14:paraId="507DA386">
        <w:tblPrEx>
          <w:tblBorders>
            <w:top w:val="single" w:color="2D6A4F" w:sz="8" w:space="0"/>
            <w:left w:val="none" w:color="auto" w:sz="0" w:space="0"/>
            <w:bottom w:val="single" w:color="2D6A4F" w:sz="8" w:space="0"/>
            <w:right w:val="none" w:color="auto" w:sz="0" w:space="0"/>
            <w:insideH w:val="single" w:color="B7E4C7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540BEC3">
            <w:r>
              <w:rPr>
                <w:rFonts w:ascii="Calibri" w:hAnsi="Calibri" w:eastAsia="微软雅黑"/>
                <w:sz w:val="18"/>
              </w:rPr>
              <w:t>Admin后台与可维护性</w:t>
            </w:r>
          </w:p>
        </w:tc>
        <w:tc>
          <w:tcPr>
            <w:tcW w:w="1134" w:type="dxa"/>
          </w:tcPr>
          <w:p w14:paraId="075C6151">
            <w:r>
              <w:rPr>
                <w:rFonts w:hint="eastAsia" w:ascii="Calibri" w:hAnsi="Calibri" w:eastAsia="微软雅黑"/>
                <w:sz w:val="18"/>
                <w:lang w:val="en-US" w:eastAsia="zh-CN"/>
              </w:rPr>
              <w:t>20</w:t>
            </w:r>
            <w:r>
              <w:rPr>
                <w:rFonts w:ascii="Calibri" w:hAnsi="Calibri" w:eastAsia="微软雅黑"/>
                <w:sz w:val="18"/>
              </w:rPr>
              <w:t>%</w:t>
            </w:r>
          </w:p>
        </w:tc>
        <w:tc>
          <w:tcPr>
            <w:tcW w:w="2835" w:type="dxa"/>
          </w:tcPr>
          <w:p w14:paraId="61E56909">
            <w:r>
              <w:rPr>
                <w:rFonts w:ascii="Calibri" w:hAnsi="Calibri" w:eastAsia="微软雅黑"/>
                <w:sz w:val="18"/>
              </w:rPr>
              <w:t>课程资料上传/解析/管理、对话记录查看、用量统计、界面可用性</w:t>
            </w:r>
          </w:p>
        </w:tc>
        <w:tc>
          <w:tcPr>
            <w:tcW w:w="2268" w:type="dxa"/>
          </w:tcPr>
          <w:p w14:paraId="46AE8217">
            <w:r>
              <w:rPr>
                <w:rFonts w:ascii="Calibri" w:hAnsi="Calibri" w:eastAsia="微软雅黑"/>
                <w:sz w:val="18"/>
              </w:rPr>
              <w:t>Admin功能可用</w:t>
            </w:r>
          </w:p>
        </w:tc>
      </w:tr>
      <w:tr w14:paraId="5457D461">
        <w:tblPrEx>
          <w:tblBorders>
            <w:top w:val="single" w:color="2D6A4F" w:sz="8" w:space="0"/>
            <w:left w:val="none" w:color="auto" w:sz="0" w:space="0"/>
            <w:bottom w:val="single" w:color="2D6A4F" w:sz="8" w:space="0"/>
            <w:right w:val="none" w:color="auto" w:sz="0" w:space="0"/>
            <w:insideH w:val="single" w:color="B7E4C7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F1EE428">
            <w:r>
              <w:rPr>
                <w:rFonts w:ascii="Calibri" w:hAnsi="Calibri" w:eastAsia="微软雅黑"/>
                <w:sz w:val="18"/>
              </w:rPr>
              <w:t>AI对话与RAG复用</w:t>
            </w:r>
          </w:p>
        </w:tc>
        <w:tc>
          <w:tcPr>
            <w:tcW w:w="1134" w:type="dxa"/>
          </w:tcPr>
          <w:p w14:paraId="5C2D675F">
            <w:r>
              <w:rPr>
                <w:rFonts w:ascii="Calibri" w:hAnsi="Calibri" w:eastAsia="微软雅黑"/>
                <w:sz w:val="18"/>
              </w:rPr>
              <w:t>10%</w:t>
            </w:r>
          </w:p>
        </w:tc>
        <w:tc>
          <w:tcPr>
            <w:tcW w:w="2835" w:type="dxa"/>
          </w:tcPr>
          <w:p w14:paraId="6DD51013">
            <w:r>
              <w:rPr>
                <w:rFonts w:ascii="Calibri" w:hAnsi="Calibri" w:eastAsia="微软雅黑"/>
                <w:sz w:val="18"/>
              </w:rPr>
              <w:t>对话体验、RAG回答质量、回答准确性、引用溯源</w:t>
            </w:r>
          </w:p>
        </w:tc>
        <w:tc>
          <w:tcPr>
            <w:tcW w:w="2268" w:type="dxa"/>
          </w:tcPr>
          <w:p w14:paraId="68256814">
            <w:r>
              <w:rPr>
                <w:rFonts w:ascii="Calibri" w:hAnsi="Calibri" w:eastAsia="微软雅黑"/>
                <w:sz w:val="18"/>
              </w:rPr>
              <w:t>回答准确</w:t>
            </w:r>
          </w:p>
        </w:tc>
      </w:tr>
      <w:tr w14:paraId="1894CCEF">
        <w:tblPrEx>
          <w:tblBorders>
            <w:top w:val="single" w:color="2D6A4F" w:sz="8" w:space="0"/>
            <w:left w:val="none" w:color="auto" w:sz="0" w:space="0"/>
            <w:bottom w:val="single" w:color="2D6A4F" w:sz="8" w:space="0"/>
            <w:right w:val="none" w:color="auto" w:sz="0" w:space="0"/>
            <w:insideH w:val="single" w:color="B7E4C7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AA2BE8A">
            <w:r>
              <w:rPr>
                <w:rFonts w:ascii="Calibri" w:hAnsi="Calibri" w:eastAsia="微软雅黑"/>
                <w:sz w:val="18"/>
              </w:rPr>
              <w:t>部署与演示</w:t>
            </w:r>
          </w:p>
        </w:tc>
        <w:tc>
          <w:tcPr>
            <w:tcW w:w="1134" w:type="dxa"/>
          </w:tcPr>
          <w:p w14:paraId="06076201">
            <w:r>
              <w:rPr>
                <w:rFonts w:ascii="Calibri" w:hAnsi="Calibri" w:eastAsia="微软雅黑"/>
                <w:sz w:val="18"/>
              </w:rPr>
              <w:t>5%</w:t>
            </w:r>
          </w:p>
        </w:tc>
        <w:tc>
          <w:tcPr>
            <w:tcW w:w="2835" w:type="dxa"/>
          </w:tcPr>
          <w:p w14:paraId="06B9243B">
            <w:r>
              <w:rPr>
                <w:rFonts w:ascii="Calibri" w:hAnsi="Calibri" w:eastAsia="微软雅黑"/>
                <w:sz w:val="18"/>
              </w:rPr>
              <w:t>公网可访问或Docker一键部署、演示视频质量、评审期间稳定性</w:t>
            </w:r>
          </w:p>
        </w:tc>
        <w:tc>
          <w:tcPr>
            <w:tcW w:w="2268" w:type="dxa"/>
          </w:tcPr>
          <w:p w14:paraId="703BF2A4">
            <w:r>
              <w:rPr>
                <w:rFonts w:ascii="Calibri" w:hAnsi="Calibri" w:eastAsia="微软雅黑"/>
                <w:sz w:val="18"/>
              </w:rPr>
              <w:t>部署成功；视频≥3分钟</w:t>
            </w:r>
          </w:p>
        </w:tc>
      </w:tr>
    </w:tbl>
    <w:p w14:paraId="71543975">
      <w:pPr>
        <w:numPr>
          <w:ilvl w:val="0"/>
          <w:numId w:val="0"/>
        </w:numPr>
      </w:pPr>
    </w:p>
    <w:p w14:paraId="65988637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【特别加分项】</w:t>
      </w:r>
    </w:p>
    <w:p w14:paraId="2D7E18CD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接入真实微信支付/支付宝沙箱并完成真实支付流程演示：+3分</w:t>
      </w:r>
    </w:p>
    <w:p w14:paraId="22410C06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提供Docker Compose一键部署，评审15分钟内成功运行：+2分</w:t>
      </w:r>
    </w:p>
    <w:p w14:paraId="651E90D7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实现简单的数据看板（租户级对话数/用户数图表）：+2分</w:t>
      </w:r>
    </w:p>
    <w:p w14:paraId="428BA17D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实现多语言切换（中英文）：+1分</w:t>
      </w:r>
    </w:p>
    <w:p w14:paraId="1C74A964">
      <w:pPr>
        <w:pStyle w:val="14"/>
        <w:numPr>
          <w:ilvl w:val="0"/>
          <w:numId w:val="13"/>
        </w:numPr>
        <w:spacing w:line="360" w:lineRule="auto"/>
      </w:pPr>
    </w:p>
    <w:bookmarkEnd w:id="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F7B743C"/>
    <w:multiLevelType w:val="singleLevel"/>
    <w:tmpl w:val="3F7B743C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6"/>
  </w:num>
  <w:num w:numId="1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72106"/>
    <w:rsid w:val="00CB0664"/>
    <w:rsid w:val="00FC693F"/>
    <w:rsid w:val="02BD1F5B"/>
    <w:rsid w:val="064979F7"/>
    <w:rsid w:val="06F0633B"/>
    <w:rsid w:val="07452DC7"/>
    <w:rsid w:val="08A305AD"/>
    <w:rsid w:val="096B5FE2"/>
    <w:rsid w:val="09DB74E4"/>
    <w:rsid w:val="0B6E1745"/>
    <w:rsid w:val="0BB35F9E"/>
    <w:rsid w:val="0BF0732E"/>
    <w:rsid w:val="0C780046"/>
    <w:rsid w:val="0D431615"/>
    <w:rsid w:val="0D6C0E0E"/>
    <w:rsid w:val="0D7C3D64"/>
    <w:rsid w:val="0DA05E0C"/>
    <w:rsid w:val="10C02BCE"/>
    <w:rsid w:val="1105333E"/>
    <w:rsid w:val="12197A65"/>
    <w:rsid w:val="12DB5F87"/>
    <w:rsid w:val="137849AA"/>
    <w:rsid w:val="13F91A47"/>
    <w:rsid w:val="14D64F88"/>
    <w:rsid w:val="153F4F0B"/>
    <w:rsid w:val="154C078A"/>
    <w:rsid w:val="16F15E07"/>
    <w:rsid w:val="188D4A69"/>
    <w:rsid w:val="1A624AB0"/>
    <w:rsid w:val="1B6E7842"/>
    <w:rsid w:val="1B9B3617"/>
    <w:rsid w:val="1BD21F50"/>
    <w:rsid w:val="1DC97EE6"/>
    <w:rsid w:val="230549A5"/>
    <w:rsid w:val="24114DBD"/>
    <w:rsid w:val="25214410"/>
    <w:rsid w:val="268B6D35"/>
    <w:rsid w:val="27EF54CE"/>
    <w:rsid w:val="2A4828F5"/>
    <w:rsid w:val="2ADB5D35"/>
    <w:rsid w:val="2BD328A1"/>
    <w:rsid w:val="2CD258AD"/>
    <w:rsid w:val="2DE81100"/>
    <w:rsid w:val="2E3D76E0"/>
    <w:rsid w:val="2EA36470"/>
    <w:rsid w:val="32EB5C06"/>
    <w:rsid w:val="33BD41B8"/>
    <w:rsid w:val="34477763"/>
    <w:rsid w:val="34BF0BEE"/>
    <w:rsid w:val="34D128EE"/>
    <w:rsid w:val="353A58C2"/>
    <w:rsid w:val="3A1D29B6"/>
    <w:rsid w:val="3A555E4B"/>
    <w:rsid w:val="3CFD29C3"/>
    <w:rsid w:val="3FB43A6B"/>
    <w:rsid w:val="412B3808"/>
    <w:rsid w:val="42A961EA"/>
    <w:rsid w:val="43BD36B4"/>
    <w:rsid w:val="44804CC7"/>
    <w:rsid w:val="44F00B6E"/>
    <w:rsid w:val="45E611FC"/>
    <w:rsid w:val="464C2EC0"/>
    <w:rsid w:val="49CE6C87"/>
    <w:rsid w:val="4BF048E6"/>
    <w:rsid w:val="4C9D6CB9"/>
    <w:rsid w:val="4F655016"/>
    <w:rsid w:val="534F73A8"/>
    <w:rsid w:val="56F444EE"/>
    <w:rsid w:val="597656B8"/>
    <w:rsid w:val="59A259AE"/>
    <w:rsid w:val="5A213504"/>
    <w:rsid w:val="5ACD0B18"/>
    <w:rsid w:val="5ADD1D2D"/>
    <w:rsid w:val="5DB6074F"/>
    <w:rsid w:val="5F3A1236"/>
    <w:rsid w:val="603D2F2E"/>
    <w:rsid w:val="61EA4FA7"/>
    <w:rsid w:val="67D70E6A"/>
    <w:rsid w:val="688F051A"/>
    <w:rsid w:val="6BCF3446"/>
    <w:rsid w:val="6C7A024B"/>
    <w:rsid w:val="6C7A6F2C"/>
    <w:rsid w:val="6CFA036D"/>
    <w:rsid w:val="6DB906AB"/>
    <w:rsid w:val="70976F8B"/>
    <w:rsid w:val="720F69C6"/>
    <w:rsid w:val="735C09CF"/>
    <w:rsid w:val="747D17B2"/>
    <w:rsid w:val="74975BCA"/>
    <w:rsid w:val="74C43511"/>
    <w:rsid w:val="74E10411"/>
    <w:rsid w:val="75A453F8"/>
    <w:rsid w:val="75BF063E"/>
    <w:rsid w:val="764B62AB"/>
    <w:rsid w:val="76500BBD"/>
    <w:rsid w:val="76652A57"/>
    <w:rsid w:val="79D46E69"/>
    <w:rsid w:val="7B4D6DF1"/>
    <w:rsid w:val="7C464467"/>
    <w:rsid w:val="7E544707"/>
    <w:rsid w:val="7EB9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2140</Words>
  <Characters>2616</Characters>
  <Lines>0</Lines>
  <Paragraphs>0</Paragraphs>
  <TotalTime>122</TotalTime>
  <ScaleCrop>false</ScaleCrop>
  <LinksUpToDate>false</LinksUpToDate>
  <CharactersWithSpaces>2659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失去记忆的</cp:lastModifiedBy>
  <dcterms:modified xsi:type="dcterms:W3CDTF">2026-08-03T01:08:21Z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eyJoZGlkIjoiYjUwNjVhMmYxYjM4MWY1MWJmMTBhOTg1MzJlYzgzNjAiLCJ1c2VySWQiOiI5OTk2MDgxNjkifQ==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FC69E0ECCBDC4C2A801AB97DA820204F_12</vt:lpwstr>
  </property>
</Properties>
</file>