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28DA4" w14:textId="77777777" w:rsidR="00E91975" w:rsidRPr="00F96311" w:rsidRDefault="00115A30" w:rsidP="00F96311">
      <w:bookmarkStart w:id="0" w:name="_Toc265238790"/>
      <w:r w:rsidRPr="00F96311">
        <w:rPr>
          <w:noProof/>
          <w:lang w:val="de-AT"/>
        </w:rPr>
        <w:drawing>
          <wp:inline distT="0" distB="0" distL="0" distR="0" wp14:anchorId="1EA9B2DF" wp14:editId="6F3FCB55">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7E708C90" w14:textId="77777777" w:rsidR="00E91975" w:rsidRPr="00F96311" w:rsidRDefault="00E91975" w:rsidP="00F96311"/>
    <w:p w14:paraId="3ECD7529" w14:textId="77777777" w:rsidR="00E91975" w:rsidRPr="00F96311" w:rsidRDefault="00E91975" w:rsidP="00F96311"/>
    <w:p w14:paraId="6B1481AE" w14:textId="77777777" w:rsidR="00E91975" w:rsidRPr="00F96311" w:rsidRDefault="00EE1993" w:rsidP="00E91975">
      <w:pPr>
        <w:shd w:val="clear" w:color="auto" w:fill="000000"/>
        <w:ind w:left="-142"/>
        <w:jc w:val="center"/>
        <w:rPr>
          <w:rFonts w:asciiTheme="minorHAnsi" w:hAnsiTheme="minorHAnsi" w:cstheme="minorHAnsi"/>
          <w:b/>
          <w:color w:val="FFFFFF"/>
          <w:sz w:val="48"/>
          <w:szCs w:val="48"/>
        </w:rPr>
      </w:pPr>
      <w:r w:rsidRPr="00F96311">
        <w:rPr>
          <w:rFonts w:asciiTheme="minorHAnsi" w:hAnsiTheme="minorHAnsi" w:cstheme="minorHAnsi"/>
          <w:b/>
          <w:color w:val="FFFFFF"/>
          <w:sz w:val="48"/>
          <w:szCs w:val="48"/>
        </w:rPr>
        <w:t>Specification</w:t>
      </w:r>
    </w:p>
    <w:p w14:paraId="0CBFDD9C" w14:textId="77777777" w:rsidR="00E91975" w:rsidRPr="00F96311" w:rsidRDefault="00E91975" w:rsidP="00F96311">
      <w:bookmarkStart w:id="1" w:name="_Toc274897532"/>
      <w:bookmarkStart w:id="2" w:name="_Toc274906476"/>
      <w:bookmarkStart w:id="3" w:name="_Toc274906523"/>
      <w:bookmarkStart w:id="4" w:name="_Toc274908781"/>
    </w:p>
    <w:p w14:paraId="37A564A4" w14:textId="77777777" w:rsidR="00E91975" w:rsidRPr="00F96311" w:rsidRDefault="00913E37" w:rsidP="00F96311">
      <w:r w:rsidRPr="00F96311">
        <w:rPr>
          <w:noProof/>
          <w:lang w:val="de-AT"/>
        </w:rPr>
        <w:drawing>
          <wp:anchor distT="0" distB="0" distL="114300" distR="114300" simplePos="0" relativeHeight="251657216" behindDoc="0" locked="0" layoutInCell="1" allowOverlap="1" wp14:anchorId="7D68702A" wp14:editId="2AA3F7DD">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6945" w:type="dxa"/>
        <w:tblInd w:w="2235" w:type="dxa"/>
        <w:tblLook w:val="01E0" w:firstRow="1" w:lastRow="1" w:firstColumn="1" w:lastColumn="1" w:noHBand="0" w:noVBand="0"/>
      </w:tblPr>
      <w:tblGrid>
        <w:gridCol w:w="6945"/>
      </w:tblGrid>
      <w:tr w:rsidR="00AC5DA8" w:rsidRPr="00F96311" w14:paraId="6D4B1AC6" w14:textId="77777777" w:rsidTr="00F96311">
        <w:tc>
          <w:tcPr>
            <w:tcW w:w="6945" w:type="dxa"/>
          </w:tcPr>
          <w:bookmarkEnd w:id="1"/>
          <w:bookmarkEnd w:id="2"/>
          <w:bookmarkEnd w:id="3"/>
          <w:bookmarkEnd w:id="4"/>
          <w:p w14:paraId="5F12BF8B" w14:textId="77777777" w:rsidR="00AC5DA8" w:rsidRPr="00F96311" w:rsidRDefault="00AC5DA8" w:rsidP="00F96311">
            <w:pPr>
              <w:jc w:val="center"/>
              <w:rPr>
                <w:rFonts w:asciiTheme="minorHAnsi" w:hAnsiTheme="minorHAnsi" w:cstheme="minorHAnsi"/>
                <w:b/>
                <w:sz w:val="32"/>
              </w:rPr>
            </w:pPr>
            <w:r w:rsidRPr="00F96311">
              <w:rPr>
                <w:rFonts w:asciiTheme="minorHAnsi" w:hAnsiTheme="minorHAnsi" w:cstheme="minorHAnsi"/>
                <w:b/>
                <w:sz w:val="32"/>
              </w:rPr>
              <w:t>OpenPEPPOL AISBL</w:t>
            </w:r>
          </w:p>
        </w:tc>
      </w:tr>
      <w:tr w:rsidR="00AC5DA8" w:rsidRPr="00F96311" w14:paraId="7563C59E" w14:textId="77777777" w:rsidTr="00F96311">
        <w:tc>
          <w:tcPr>
            <w:tcW w:w="6945" w:type="dxa"/>
          </w:tcPr>
          <w:p w14:paraId="754F119E" w14:textId="77777777" w:rsidR="00AC5DA8" w:rsidRPr="00F96311" w:rsidRDefault="00AC5DA8" w:rsidP="00F96311"/>
        </w:tc>
      </w:tr>
      <w:tr w:rsidR="00E91975" w:rsidRPr="00F96311" w14:paraId="0501814C" w14:textId="77777777" w:rsidTr="00F96311">
        <w:tc>
          <w:tcPr>
            <w:tcW w:w="6945" w:type="dxa"/>
          </w:tcPr>
          <w:p w14:paraId="0FA13BE8" w14:textId="77777777" w:rsidR="00E91975" w:rsidRPr="00F96311" w:rsidRDefault="00E91975" w:rsidP="0047482D">
            <w:pPr>
              <w:pBdr>
                <w:bottom w:val="single" w:sz="4" w:space="1" w:color="auto"/>
              </w:pBdr>
              <w:ind w:right="709"/>
              <w:rPr>
                <w:rFonts w:asciiTheme="minorHAnsi" w:hAnsiTheme="minorHAnsi" w:cstheme="minorHAnsi"/>
                <w:b/>
              </w:rPr>
            </w:pPr>
          </w:p>
          <w:p w14:paraId="3783F059" w14:textId="77777777" w:rsidR="00E91975" w:rsidRPr="00F96311" w:rsidRDefault="00E91975" w:rsidP="00F96311"/>
          <w:p w14:paraId="5BA86198" w14:textId="77777777" w:rsidR="00E91975" w:rsidRPr="00F96311" w:rsidRDefault="00115A30" w:rsidP="0047482D">
            <w:pPr>
              <w:ind w:right="709"/>
              <w:jc w:val="center"/>
              <w:rPr>
                <w:rFonts w:asciiTheme="minorHAnsi" w:hAnsiTheme="minorHAnsi" w:cstheme="minorHAnsi"/>
                <w:b/>
                <w:sz w:val="28"/>
              </w:rPr>
            </w:pPr>
            <w:r w:rsidRPr="00F96311">
              <w:rPr>
                <w:rFonts w:asciiTheme="minorHAnsi" w:hAnsiTheme="minorHAnsi" w:cstheme="minorHAnsi"/>
                <w:b/>
                <w:sz w:val="28"/>
              </w:rPr>
              <w:t>Peppol</w:t>
            </w:r>
            <w:r w:rsidR="0047482D" w:rsidRPr="00F96311">
              <w:rPr>
                <w:rFonts w:asciiTheme="minorHAnsi" w:hAnsiTheme="minorHAnsi" w:cstheme="minorHAnsi"/>
                <w:b/>
                <w:sz w:val="28"/>
              </w:rPr>
              <w:t xml:space="preserve"> Transport Infrastructure</w:t>
            </w:r>
            <w:r w:rsidR="00E91975" w:rsidRPr="00F96311">
              <w:rPr>
                <w:rFonts w:asciiTheme="minorHAnsi" w:hAnsiTheme="minorHAnsi" w:cstheme="minorHAnsi"/>
                <w:b/>
                <w:sz w:val="28"/>
              </w:rPr>
              <w:t xml:space="preserve"> </w:t>
            </w:r>
          </w:p>
          <w:p w14:paraId="65B4E732" w14:textId="77777777" w:rsidR="00E91975" w:rsidRPr="00F96311" w:rsidRDefault="00E91975" w:rsidP="0047482D">
            <w:pPr>
              <w:ind w:right="709"/>
              <w:jc w:val="center"/>
              <w:rPr>
                <w:rFonts w:asciiTheme="minorHAnsi" w:hAnsiTheme="minorHAnsi" w:cstheme="minorHAnsi"/>
                <w:b/>
                <w:sz w:val="28"/>
              </w:rPr>
            </w:pPr>
            <w:r w:rsidRPr="00F96311">
              <w:rPr>
                <w:rFonts w:asciiTheme="minorHAnsi" w:hAnsiTheme="minorHAnsi" w:cstheme="minorHAnsi"/>
                <w:b/>
                <w:sz w:val="28"/>
              </w:rPr>
              <w:t>ICT - Models</w:t>
            </w:r>
          </w:p>
          <w:p w14:paraId="68166757" w14:textId="77777777" w:rsidR="00E91975" w:rsidRPr="00F96311" w:rsidRDefault="00E91975" w:rsidP="00F96311">
            <w:pPr>
              <w:rPr>
                <w:rFonts w:asciiTheme="minorHAnsi" w:hAnsiTheme="minorHAnsi" w:cstheme="minorHAnsi"/>
                <w:b/>
              </w:rPr>
            </w:pPr>
          </w:p>
          <w:p w14:paraId="3E877050" w14:textId="77777777" w:rsidR="0047482D" w:rsidRPr="00F96311" w:rsidRDefault="0047482D" w:rsidP="0047482D">
            <w:pPr>
              <w:suppressAutoHyphens/>
              <w:ind w:right="709"/>
              <w:jc w:val="center"/>
              <w:rPr>
                <w:rFonts w:asciiTheme="minorHAnsi" w:hAnsiTheme="minorHAnsi" w:cstheme="minorHAnsi"/>
                <w:b/>
                <w:sz w:val="36"/>
                <w:szCs w:val="36"/>
              </w:rPr>
            </w:pPr>
            <w:r w:rsidRPr="00F96311">
              <w:rPr>
                <w:rFonts w:asciiTheme="minorHAnsi" w:hAnsiTheme="minorHAnsi" w:cstheme="minorHAnsi"/>
                <w:b/>
                <w:sz w:val="36"/>
                <w:szCs w:val="36"/>
              </w:rPr>
              <w:t>Policy for use of Identifiers</w:t>
            </w:r>
          </w:p>
          <w:p w14:paraId="6CEC82A1" w14:textId="77777777" w:rsidR="00E91975" w:rsidRPr="00F96311" w:rsidRDefault="00E91975" w:rsidP="00F96311"/>
          <w:p w14:paraId="485C44F6" w14:textId="77777777" w:rsidR="00E91975" w:rsidRPr="00F96311" w:rsidRDefault="00E91975" w:rsidP="00F96311"/>
          <w:p w14:paraId="16CE6F8E" w14:textId="77777777" w:rsidR="00E91975" w:rsidRPr="00F96311" w:rsidRDefault="00E91975" w:rsidP="00F96311"/>
          <w:p w14:paraId="089A5A6E" w14:textId="77777777" w:rsidR="00E91975" w:rsidRPr="00F96311" w:rsidRDefault="00E91975" w:rsidP="00F96311">
            <w:pPr>
              <w:rPr>
                <w:rFonts w:asciiTheme="minorHAnsi" w:hAnsiTheme="minorHAnsi" w:cstheme="minorHAnsi"/>
                <w:b/>
              </w:rPr>
            </w:pPr>
            <w:r w:rsidRPr="00F96311">
              <w:rPr>
                <w:rFonts w:asciiTheme="minorHAnsi" w:hAnsiTheme="minorHAnsi" w:cstheme="minorHAnsi"/>
                <w:b/>
              </w:rPr>
              <w:t>Version</w:t>
            </w:r>
            <w:r w:rsidR="0047482D" w:rsidRPr="00F96311">
              <w:rPr>
                <w:rFonts w:asciiTheme="minorHAnsi" w:hAnsiTheme="minorHAnsi" w:cstheme="minorHAnsi"/>
                <w:b/>
              </w:rPr>
              <w:t xml:space="preserve">: </w:t>
            </w:r>
            <w:r w:rsidR="009F4391" w:rsidRPr="00F96311">
              <w:rPr>
                <w:rFonts w:asciiTheme="minorHAnsi" w:hAnsiTheme="minorHAnsi" w:cstheme="minorHAnsi"/>
                <w:b/>
              </w:rPr>
              <w:t>4.</w:t>
            </w:r>
            <w:r w:rsidR="00333C78">
              <w:rPr>
                <w:rFonts w:asciiTheme="minorHAnsi" w:hAnsiTheme="minorHAnsi" w:cstheme="minorHAnsi"/>
                <w:b/>
              </w:rPr>
              <w:t>2</w:t>
            </w:r>
            <w:r w:rsidR="00B56755" w:rsidRPr="00F96311">
              <w:rPr>
                <w:rFonts w:asciiTheme="minorHAnsi" w:hAnsiTheme="minorHAnsi" w:cstheme="minorHAnsi"/>
                <w:b/>
              </w:rPr>
              <w:t>.</w:t>
            </w:r>
            <w:r w:rsidR="00456B8F" w:rsidRPr="00F96311">
              <w:rPr>
                <w:rFonts w:asciiTheme="minorHAnsi" w:hAnsiTheme="minorHAnsi" w:cstheme="minorHAnsi"/>
                <w:b/>
              </w:rPr>
              <w:t>0</w:t>
            </w:r>
          </w:p>
          <w:p w14:paraId="248BD826" w14:textId="12BB06AF" w:rsidR="00E91975" w:rsidRPr="00F96311" w:rsidRDefault="00E91975" w:rsidP="00F96311">
            <w:pPr>
              <w:rPr>
                <w:rFonts w:asciiTheme="minorHAnsi" w:hAnsiTheme="minorHAnsi" w:cstheme="minorHAnsi"/>
                <w:b/>
              </w:rPr>
            </w:pPr>
            <w:r w:rsidRPr="00F96311">
              <w:rPr>
                <w:rFonts w:asciiTheme="minorHAnsi" w:hAnsiTheme="minorHAnsi" w:cstheme="minorHAnsi"/>
                <w:b/>
              </w:rPr>
              <w:t xml:space="preserve">Status: </w:t>
            </w:r>
            <w:r w:rsidR="00575459">
              <w:rPr>
                <w:rFonts w:asciiTheme="minorHAnsi" w:hAnsiTheme="minorHAnsi" w:cstheme="minorHAnsi"/>
                <w:b/>
              </w:rPr>
              <w:t>P</w:t>
            </w:r>
            <w:r w:rsidR="009C28A6">
              <w:rPr>
                <w:rFonts w:asciiTheme="minorHAnsi" w:hAnsiTheme="minorHAnsi" w:cstheme="minorHAnsi"/>
                <w:b/>
              </w:rPr>
              <w:t>ublic review</w:t>
            </w:r>
            <w:r w:rsidR="00575459">
              <w:rPr>
                <w:rFonts w:asciiTheme="minorHAnsi" w:hAnsiTheme="minorHAnsi" w:cstheme="minorHAnsi"/>
                <w:b/>
              </w:rPr>
              <w:t xml:space="preserve"> draft</w:t>
            </w:r>
          </w:p>
          <w:p w14:paraId="23EFE766" w14:textId="77777777" w:rsidR="00E91975" w:rsidRPr="00F96311" w:rsidRDefault="00E91975" w:rsidP="0047482D">
            <w:pPr>
              <w:pBdr>
                <w:bottom w:val="single" w:sz="4" w:space="1" w:color="auto"/>
              </w:pBdr>
              <w:ind w:right="709"/>
              <w:rPr>
                <w:rFonts w:asciiTheme="minorHAnsi" w:hAnsiTheme="minorHAnsi" w:cstheme="minorHAnsi"/>
                <w:b/>
                <w:lang w:val="sv-SE"/>
              </w:rPr>
            </w:pPr>
          </w:p>
          <w:p w14:paraId="458CF35E" w14:textId="77777777" w:rsidR="00E91975" w:rsidRPr="00F96311" w:rsidRDefault="00E91975" w:rsidP="00F96311">
            <w:pPr>
              <w:rPr>
                <w:rFonts w:asciiTheme="minorHAnsi" w:hAnsiTheme="minorHAnsi" w:cstheme="minorHAnsi"/>
                <w:b/>
              </w:rPr>
            </w:pPr>
          </w:p>
          <w:p w14:paraId="4B6149A5" w14:textId="77777777" w:rsidR="00E91975" w:rsidRPr="00F96311" w:rsidRDefault="00E91975" w:rsidP="00F96311">
            <w:pPr>
              <w:rPr>
                <w:rFonts w:asciiTheme="minorHAnsi" w:hAnsiTheme="minorHAnsi" w:cstheme="minorHAnsi"/>
                <w:b/>
              </w:rPr>
            </w:pPr>
            <w:r w:rsidRPr="00F96311">
              <w:rPr>
                <w:rFonts w:asciiTheme="minorHAnsi" w:hAnsiTheme="minorHAnsi" w:cstheme="minorHAnsi"/>
                <w:b/>
              </w:rPr>
              <w:t>Editors:</w:t>
            </w:r>
          </w:p>
          <w:p w14:paraId="6E531961" w14:textId="77777777" w:rsidR="00E91975" w:rsidRPr="00F96311" w:rsidRDefault="00B748CA" w:rsidP="009B4F8A">
            <w:pPr>
              <w:rPr>
                <w:rFonts w:asciiTheme="minorHAnsi" w:hAnsiTheme="minorHAnsi" w:cstheme="minorHAnsi"/>
                <w:b/>
              </w:rPr>
            </w:pPr>
            <w:r w:rsidRPr="00F96311">
              <w:rPr>
                <w:rFonts w:asciiTheme="minorHAnsi" w:hAnsiTheme="minorHAnsi" w:cstheme="minorHAnsi"/>
                <w:b/>
              </w:rPr>
              <w:tab/>
              <w:t>Philip Helger</w:t>
            </w:r>
            <w:r w:rsidR="00DE2625" w:rsidRPr="00F96311">
              <w:rPr>
                <w:rFonts w:asciiTheme="minorHAnsi" w:hAnsiTheme="minorHAnsi" w:cstheme="minorHAnsi"/>
                <w:b/>
              </w:rPr>
              <w:t xml:space="preserve">, </w:t>
            </w:r>
            <w:r w:rsidR="00B56755" w:rsidRPr="00F96311">
              <w:rPr>
                <w:rFonts w:asciiTheme="minorHAnsi" w:hAnsiTheme="minorHAnsi" w:cstheme="minorHAnsi"/>
                <w:b/>
              </w:rPr>
              <w:t>OpenPEPPOL Operating Office</w:t>
            </w:r>
            <w:r w:rsidR="00CE0D75" w:rsidRPr="00F96311">
              <w:rPr>
                <w:rFonts w:asciiTheme="minorHAnsi" w:hAnsiTheme="minorHAnsi" w:cstheme="minorHAnsi"/>
                <w:b/>
              </w:rPr>
              <w:br/>
            </w:r>
            <w:r w:rsidR="00CE0D75" w:rsidRPr="00F96311">
              <w:rPr>
                <w:rFonts w:asciiTheme="minorHAnsi" w:hAnsiTheme="minorHAnsi" w:cstheme="minorHAnsi"/>
                <w:b/>
              </w:rPr>
              <w:tab/>
            </w:r>
            <w:r w:rsidRPr="00F96311">
              <w:rPr>
                <w:rFonts w:asciiTheme="minorHAnsi" w:hAnsiTheme="minorHAnsi" w:cstheme="minorHAnsi"/>
                <w:b/>
              </w:rPr>
              <w:t>Erik Gustavsen, Difi/Edisys Consulting</w:t>
            </w:r>
            <w:r w:rsidRPr="00F96311">
              <w:rPr>
                <w:rFonts w:asciiTheme="minorHAnsi" w:hAnsiTheme="minorHAnsi" w:cstheme="minorHAnsi"/>
                <w:b/>
              </w:rPr>
              <w:br/>
            </w:r>
            <w:r w:rsidRPr="00F96311">
              <w:rPr>
                <w:rFonts w:asciiTheme="minorHAnsi" w:hAnsiTheme="minorHAnsi" w:cstheme="minorHAnsi"/>
                <w:b/>
              </w:rPr>
              <w:tab/>
              <w:t>Martin Forsberg, ESV</w:t>
            </w:r>
            <w:r w:rsidRPr="00F96311">
              <w:rPr>
                <w:rFonts w:asciiTheme="minorHAnsi" w:hAnsiTheme="minorHAnsi" w:cstheme="minorHAnsi"/>
                <w:b/>
              </w:rPr>
              <w:br/>
            </w:r>
            <w:r w:rsidRPr="00F96311">
              <w:rPr>
                <w:rFonts w:asciiTheme="minorHAnsi" w:hAnsiTheme="minorHAnsi" w:cstheme="minorHAnsi"/>
                <w:b/>
              </w:rPr>
              <w:tab/>
              <w:t>Sven Rasmussen, NITA</w:t>
            </w:r>
          </w:p>
        </w:tc>
      </w:tr>
    </w:tbl>
    <w:p w14:paraId="25C9F92F" w14:textId="77777777" w:rsidR="00E91975" w:rsidRPr="00B56755" w:rsidRDefault="00E91975" w:rsidP="006132BB"/>
    <w:p w14:paraId="506938DF" w14:textId="77777777"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MittlereSchattierung1-Akzent11"/>
        <w:tblW w:w="5000" w:type="pct"/>
        <w:tblLook w:val="0620" w:firstRow="1" w:lastRow="0" w:firstColumn="0" w:lastColumn="0" w:noHBand="1" w:noVBand="1"/>
      </w:tblPr>
      <w:tblGrid>
        <w:gridCol w:w="1213"/>
        <w:gridCol w:w="1571"/>
        <w:gridCol w:w="6266"/>
      </w:tblGrid>
      <w:tr w:rsidR="00FA3522" w:rsidRPr="002F08C0" w14:paraId="60B0DB15" w14:textId="77777777" w:rsidTr="006E5CAE">
        <w:trPr>
          <w:cnfStyle w:val="100000000000" w:firstRow="1" w:lastRow="0" w:firstColumn="0" w:lastColumn="0" w:oddVBand="0" w:evenVBand="0" w:oddHBand="0" w:evenHBand="0" w:firstRowFirstColumn="0" w:firstRowLastColumn="0" w:lastRowFirstColumn="0" w:lastRowLastColumn="0"/>
        </w:trPr>
        <w:tc>
          <w:tcPr>
            <w:tcW w:w="670" w:type="pct"/>
          </w:tcPr>
          <w:p w14:paraId="6FB790B6" w14:textId="77777777" w:rsidR="00FA3522" w:rsidRPr="006F4251" w:rsidRDefault="00FA3522" w:rsidP="005D24ED">
            <w:pPr>
              <w:jc w:val="both"/>
            </w:pPr>
            <w:r w:rsidRPr="006F4251">
              <w:t>Version</w:t>
            </w:r>
          </w:p>
        </w:tc>
        <w:tc>
          <w:tcPr>
            <w:tcW w:w="868" w:type="pct"/>
          </w:tcPr>
          <w:p w14:paraId="70377DD1" w14:textId="77777777" w:rsidR="00FA3522" w:rsidRPr="006F4251" w:rsidRDefault="00FA3522" w:rsidP="005D24ED">
            <w:pPr>
              <w:jc w:val="both"/>
            </w:pPr>
            <w:r w:rsidRPr="006F4251">
              <w:t>Date</w:t>
            </w:r>
          </w:p>
        </w:tc>
        <w:tc>
          <w:tcPr>
            <w:tcW w:w="3462" w:type="pct"/>
          </w:tcPr>
          <w:p w14:paraId="1BE2A3C1" w14:textId="77777777" w:rsidR="00FA3522" w:rsidRPr="006F4251" w:rsidRDefault="00FA3522" w:rsidP="005D24ED">
            <w:pPr>
              <w:jc w:val="both"/>
            </w:pPr>
            <w:r w:rsidRPr="006F4251">
              <w:t>Description of changes</w:t>
            </w:r>
          </w:p>
        </w:tc>
      </w:tr>
      <w:tr w:rsidR="00FA3522" w:rsidRPr="002F08C0" w14:paraId="24E676D3" w14:textId="77777777" w:rsidTr="006E5CAE">
        <w:tc>
          <w:tcPr>
            <w:tcW w:w="670" w:type="pct"/>
          </w:tcPr>
          <w:p w14:paraId="7BD1A8C4" w14:textId="77777777" w:rsidR="00FA3522" w:rsidRDefault="00FA3522" w:rsidP="00E52C91">
            <w:r>
              <w:t>3.0</w:t>
            </w:r>
          </w:p>
        </w:tc>
        <w:tc>
          <w:tcPr>
            <w:tcW w:w="868" w:type="pct"/>
          </w:tcPr>
          <w:p w14:paraId="354455E0" w14:textId="77777777" w:rsidR="00FA3522" w:rsidRDefault="00FA3522" w:rsidP="00E52C91">
            <w:r>
              <w:t>2014-02-03</w:t>
            </w:r>
          </w:p>
        </w:tc>
        <w:tc>
          <w:tcPr>
            <w:tcW w:w="3462" w:type="pct"/>
          </w:tcPr>
          <w:p w14:paraId="199F30CB" w14:textId="77777777" w:rsidR="00FA3522" w:rsidRDefault="00FA3522" w:rsidP="00767FF7">
            <w:r>
              <w:t>Updated 1.3, References</w:t>
            </w:r>
          </w:p>
          <w:p w14:paraId="0B1F9AFD" w14:textId="77777777" w:rsidR="00FA3522" w:rsidRDefault="00FA3522" w:rsidP="00767FF7">
            <w:r>
              <w:t>Updated POLICY 11, Peppol Customization identifiers</w:t>
            </w:r>
          </w:p>
          <w:p w14:paraId="56899B13" w14:textId="77777777" w:rsidR="00FA3522" w:rsidRDefault="00FA3522" w:rsidP="00767FF7">
            <w:r>
              <w:t>Updated POLICY 12, Specifying Customization identifiers in UBL documents</w:t>
            </w:r>
          </w:p>
          <w:p w14:paraId="780F0675" w14:textId="77777777" w:rsidR="00FA3522" w:rsidRDefault="00FA3522" w:rsidP="00767FF7">
            <w:r>
              <w:t>Updated POLICY 16, Peppol process identifiers</w:t>
            </w:r>
          </w:p>
          <w:p w14:paraId="7377BF8C" w14:textId="77777777" w:rsidR="00FA3522" w:rsidRDefault="00FA3522" w:rsidP="00767FF7">
            <w:r>
              <w:t>Updated 4.2, Document Type Identifier Values</w:t>
            </w:r>
          </w:p>
          <w:p w14:paraId="53FC403D" w14:textId="77777777" w:rsidR="00FA3522" w:rsidRDefault="00FA3522" w:rsidP="00840301">
            <w:r>
              <w:t>Updated 5.2, Process ID values</w:t>
            </w:r>
          </w:p>
          <w:p w14:paraId="0F395109" w14:textId="77777777" w:rsidR="00FA3522" w:rsidRDefault="00FA3522" w:rsidP="00840301">
            <w:r>
              <w:t>Updated 3.2, Identifier values including ZZZ</w:t>
            </w:r>
          </w:p>
        </w:tc>
      </w:tr>
      <w:tr w:rsidR="00FA3522" w:rsidRPr="002F08C0" w14:paraId="0789A306" w14:textId="77777777" w:rsidTr="006E5CAE">
        <w:tc>
          <w:tcPr>
            <w:tcW w:w="670" w:type="pct"/>
          </w:tcPr>
          <w:p w14:paraId="38694B1A" w14:textId="77777777" w:rsidR="00FA3522" w:rsidRDefault="00FA3522" w:rsidP="00E52C91">
            <w:r>
              <w:t>3.1</w:t>
            </w:r>
          </w:p>
        </w:tc>
        <w:tc>
          <w:tcPr>
            <w:tcW w:w="868" w:type="pct"/>
          </w:tcPr>
          <w:p w14:paraId="3A73051A" w14:textId="77777777" w:rsidR="00FA3522" w:rsidRDefault="00FA3522" w:rsidP="00E52C91">
            <w:r>
              <w:t>2018-04-27</w:t>
            </w:r>
          </w:p>
        </w:tc>
        <w:tc>
          <w:tcPr>
            <w:tcW w:w="3462" w:type="pct"/>
          </w:tcPr>
          <w:p w14:paraId="69979C6C" w14:textId="77777777" w:rsidR="00FA3522" w:rsidRDefault="00FA3522" w:rsidP="00840E57">
            <w:r>
              <w:t>Extracted the code lists out of this document.</w:t>
            </w:r>
          </w:p>
          <w:p w14:paraId="7858BD3D" w14:textId="77777777" w:rsidR="00FA3522" w:rsidRDefault="00FA3522" w:rsidP="00840E57">
            <w:r>
              <w:t>References to the code lists were updated.</w:t>
            </w:r>
          </w:p>
          <w:p w14:paraId="7F60BD79" w14:textId="77777777" w:rsidR="00FA3522" w:rsidRDefault="00FA3522" w:rsidP="00840E57">
            <w:r>
              <w:t>Line numbers start with chapter 1.</w:t>
            </w:r>
          </w:p>
          <w:p w14:paraId="3D51D5F3" w14:textId="77777777" w:rsidR="00FA3522" w:rsidRDefault="00FA3522" w:rsidP="00767FF7">
            <w:r>
              <w:t>No content changes.</w:t>
            </w:r>
          </w:p>
        </w:tc>
      </w:tr>
      <w:tr w:rsidR="00FA3522" w:rsidRPr="002F08C0" w14:paraId="0ABE9DE3" w14:textId="77777777" w:rsidTr="006E5CAE">
        <w:tc>
          <w:tcPr>
            <w:tcW w:w="670" w:type="pct"/>
          </w:tcPr>
          <w:p w14:paraId="463FC531" w14:textId="77777777" w:rsidR="00FA3522" w:rsidRDefault="00FA3522" w:rsidP="009F4391">
            <w:r>
              <w:t>4.0</w:t>
            </w:r>
          </w:p>
        </w:tc>
        <w:tc>
          <w:tcPr>
            <w:tcW w:w="868" w:type="pct"/>
          </w:tcPr>
          <w:p w14:paraId="177CC27E" w14:textId="77777777" w:rsidR="00FA3522" w:rsidRDefault="00FA3522" w:rsidP="009F4391">
            <w:r>
              <w:t>2019-01-28</w:t>
            </w:r>
          </w:p>
        </w:tc>
        <w:tc>
          <w:tcPr>
            <w:tcW w:w="3462" w:type="pct"/>
          </w:tcPr>
          <w:p w14:paraId="283E1F83" w14:textId="77777777" w:rsidR="00FA3522" w:rsidRDefault="00FA3522" w:rsidP="00DB439B">
            <w:r>
              <w:t>Updated legacy references and wordings</w:t>
            </w:r>
          </w:p>
          <w:p w14:paraId="724B9FDB" w14:textId="77777777" w:rsidR="00FA3522" w:rsidRDefault="00FA3522" w:rsidP="00C06C8F">
            <w:r>
              <w:t>Separated Participant and Party identification</w:t>
            </w:r>
          </w:p>
          <w:p w14:paraId="5A408865" w14:textId="77777777" w:rsidR="00FA3522" w:rsidRDefault="00FA3522" w:rsidP="00C06C8F">
            <w:r>
              <w:t>Introduced the term “</w:t>
            </w:r>
            <w:r w:rsidRPr="00C06C8F">
              <w:t xml:space="preserve">Participant Identifier Meta </w:t>
            </w:r>
            <w:r>
              <w:t>S</w:t>
            </w:r>
            <w:r w:rsidRPr="00C06C8F">
              <w:t>cheme</w:t>
            </w:r>
            <w:r>
              <w:t>”</w:t>
            </w:r>
          </w:p>
          <w:p w14:paraId="78BD83FF" w14:textId="77777777" w:rsidR="00FA3522" w:rsidRDefault="00FA3522" w:rsidP="006B63D3">
            <w:r>
              <w:t>Added relation to Peppol BIS versions 1 and 2</w:t>
            </w:r>
          </w:p>
          <w:p w14:paraId="197DD0C4" w14:textId="77777777" w:rsidR="00FA3522" w:rsidRDefault="00FA3522" w:rsidP="006B63D3">
            <w:r>
              <w:t>Added a table with all used XML Namespace URIs</w:t>
            </w:r>
          </w:p>
        </w:tc>
      </w:tr>
      <w:tr w:rsidR="00FA3522" w:rsidRPr="002F08C0" w14:paraId="6DF54922" w14:textId="77777777" w:rsidTr="006E5CAE">
        <w:tc>
          <w:tcPr>
            <w:tcW w:w="670" w:type="pct"/>
          </w:tcPr>
          <w:p w14:paraId="4DBBC729" w14:textId="77777777" w:rsidR="00FA3522" w:rsidRDefault="00FA3522" w:rsidP="009F4391">
            <w:r>
              <w:t>4.0.1</w:t>
            </w:r>
          </w:p>
        </w:tc>
        <w:tc>
          <w:tcPr>
            <w:tcW w:w="868" w:type="pct"/>
          </w:tcPr>
          <w:p w14:paraId="37D4447D" w14:textId="77777777" w:rsidR="00FA3522" w:rsidRDefault="00A8522C" w:rsidP="00EE49CE">
            <w:r>
              <w:t>unreleased</w:t>
            </w:r>
          </w:p>
        </w:tc>
        <w:tc>
          <w:tcPr>
            <w:tcW w:w="3462" w:type="pct"/>
          </w:tcPr>
          <w:p w14:paraId="65544C05" w14:textId="77777777" w:rsidR="00FA3522" w:rsidRDefault="00FA3522" w:rsidP="00DB439B">
            <w:r>
              <w:t>Extended the allowed characters for Participant Identifier values in POLICY 1</w:t>
            </w:r>
          </w:p>
        </w:tc>
      </w:tr>
      <w:tr w:rsidR="00FA3522" w:rsidRPr="002F08C0" w14:paraId="7646F85D" w14:textId="77777777" w:rsidTr="006E5CAE">
        <w:tc>
          <w:tcPr>
            <w:tcW w:w="670" w:type="pct"/>
          </w:tcPr>
          <w:p w14:paraId="76039E13" w14:textId="77777777" w:rsidR="00FA3522" w:rsidRDefault="00FA3522" w:rsidP="00456B8F">
            <w:r>
              <w:t>4.1.0</w:t>
            </w:r>
          </w:p>
        </w:tc>
        <w:tc>
          <w:tcPr>
            <w:tcW w:w="868" w:type="pct"/>
          </w:tcPr>
          <w:p w14:paraId="03D44182" w14:textId="77777777" w:rsidR="00FA3522" w:rsidRDefault="00A8522C" w:rsidP="00FA3522">
            <w:r>
              <w:t>unreleased</w:t>
            </w:r>
          </w:p>
        </w:tc>
        <w:tc>
          <w:tcPr>
            <w:tcW w:w="3462" w:type="pct"/>
          </w:tcPr>
          <w:p w14:paraId="00E1BC6C" w14:textId="77777777" w:rsidR="00FA3522" w:rsidRDefault="00FA3522" w:rsidP="00DB439B">
            <w:r>
              <w:t>Extended the allowed characters for Participant Identifier values in POLICY 1</w:t>
            </w:r>
          </w:p>
          <w:p w14:paraId="6F062471" w14:textId="77777777" w:rsidR="00FA3522" w:rsidRDefault="00FA3522" w:rsidP="00DB439B">
            <w:r>
              <w:t>Adopted to new branding</w:t>
            </w:r>
          </w:p>
          <w:p w14:paraId="59B0FF82" w14:textId="77777777" w:rsidR="00FA3522" w:rsidRDefault="00FA3522" w:rsidP="00DB439B">
            <w:r>
              <w:t>Updated the reference</w:t>
            </w:r>
            <w:r w:rsidR="00D14203">
              <w:t xml:space="preserve"> to the Code lists</w:t>
            </w:r>
          </w:p>
        </w:tc>
      </w:tr>
      <w:tr w:rsidR="00E4606E" w:rsidRPr="002F08C0" w14:paraId="57C3DCD5" w14:textId="77777777" w:rsidTr="006E5CAE">
        <w:tc>
          <w:tcPr>
            <w:tcW w:w="670" w:type="pct"/>
          </w:tcPr>
          <w:p w14:paraId="1BB2F555" w14:textId="77777777" w:rsidR="00E4606E" w:rsidRDefault="00E4606E" w:rsidP="00456B8F">
            <w:r>
              <w:t>4.2.0</w:t>
            </w:r>
          </w:p>
        </w:tc>
        <w:tc>
          <w:tcPr>
            <w:tcW w:w="868" w:type="pct"/>
          </w:tcPr>
          <w:p w14:paraId="3B7A86EF" w14:textId="1BE14DEB" w:rsidR="00E4606E" w:rsidRDefault="004300D3" w:rsidP="00FA3522">
            <w:r>
              <w:t>2020-10</w:t>
            </w:r>
            <w:r w:rsidR="00E4606E">
              <w:t>-</w:t>
            </w:r>
            <w:r w:rsidR="004822DB">
              <w:t>30</w:t>
            </w:r>
          </w:p>
        </w:tc>
        <w:tc>
          <w:tcPr>
            <w:tcW w:w="3462" w:type="pct"/>
          </w:tcPr>
          <w:p w14:paraId="21C7F0CE" w14:textId="77777777" w:rsidR="00E4606E" w:rsidRDefault="00E4606E" w:rsidP="00E4606E">
            <w:r>
              <w:t xml:space="preserve">Added the new Document Type </w:t>
            </w:r>
            <w:r w:rsidR="00BC2C94">
              <w:t>Identifier</w:t>
            </w:r>
            <w:r>
              <w:t xml:space="preserve"> Scheme “peppol-doctype-wildcard”</w:t>
            </w:r>
          </w:p>
          <w:p w14:paraId="66975C7C" w14:textId="4846CAC4" w:rsidR="00575459" w:rsidRDefault="00575459" w:rsidP="00E4606E">
            <w:r>
              <w:t>Disallowing the usage of “*” in “busdox-docid-qns” Document Type Identifier Values</w:t>
            </w:r>
          </w:p>
        </w:tc>
      </w:tr>
    </w:tbl>
    <w:p w14:paraId="0FFBC4C7" w14:textId="77777777"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14:paraId="48B8C143"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72DAFF4E"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5681369D" w14:textId="77777777" w:rsidR="00840E57" w:rsidRDefault="00840E57" w:rsidP="00840E57">
      <w:pPr>
        <w:rPr>
          <w:rFonts w:cs="Arial"/>
        </w:rPr>
      </w:pPr>
    </w:p>
    <w:p w14:paraId="361918CD"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14:paraId="7BD93C4C"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14:anchorId="6F68B5D2" wp14:editId="1F141FA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57EB28EB"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14:paraId="738D9C3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14:paraId="1AAE791E"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14:paraId="3269420D"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14:paraId="0B17B183"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14:paraId="2701985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14:paraId="033D88AA" w14:textId="77777777" w:rsidR="00E91975" w:rsidRPr="00E5101A" w:rsidRDefault="00E91975" w:rsidP="00E15FB4">
      <w:pPr>
        <w:pStyle w:val="berschrift1"/>
        <w:numPr>
          <w:ilvl w:val="0"/>
          <w:numId w:val="0"/>
        </w:numPr>
        <w:rPr>
          <w:lang w:val="da-DK"/>
        </w:rPr>
      </w:pPr>
      <w:bookmarkStart w:id="5" w:name="_Toc54985976"/>
      <w:r w:rsidRPr="00E5101A">
        <w:rPr>
          <w:lang w:val="da-DK"/>
        </w:rPr>
        <w:lastRenderedPageBreak/>
        <w:t>Contributors</w:t>
      </w:r>
      <w:bookmarkEnd w:id="0"/>
      <w:bookmarkEnd w:id="5"/>
    </w:p>
    <w:p w14:paraId="6AB0936F" w14:textId="77777777" w:rsidR="00E91975" w:rsidRPr="00E5101A" w:rsidRDefault="00E91975" w:rsidP="006804C3">
      <w:pPr>
        <w:rPr>
          <w:rFonts w:cs="Arial"/>
          <w:b/>
          <w:lang w:val="da-DK"/>
        </w:rPr>
      </w:pPr>
      <w:r w:rsidRPr="00E5101A">
        <w:rPr>
          <w:rFonts w:cs="Arial"/>
          <w:b/>
          <w:lang w:val="da-DK"/>
        </w:rPr>
        <w:t>Organisations</w:t>
      </w:r>
    </w:p>
    <w:p w14:paraId="1314F394" w14:textId="6DEADD44"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1" w:history="1">
        <w:r w:rsidRPr="00A02EAD">
          <w:rPr>
            <w:lang w:val="da-DK"/>
          </w:rPr>
          <w:t>www.difi.no</w:t>
        </w:r>
      </w:hyperlink>
    </w:p>
    <w:p w14:paraId="25D12E9D" w14:textId="77777777"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14:paraId="64F5F933" w14:textId="77777777"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14:paraId="4B661442" w14:textId="77777777"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14:paraId="2624160C" w14:textId="77777777" w:rsidR="004B1AA0" w:rsidRPr="00E91709" w:rsidRDefault="009C5DE0" w:rsidP="00E91709">
      <w:r w:rsidRPr="00E91709">
        <w:t>OpenPEPPOL</w:t>
      </w:r>
    </w:p>
    <w:p w14:paraId="516E9DAE" w14:textId="77777777" w:rsidR="00E91975" w:rsidRPr="006804C3" w:rsidRDefault="00E91975" w:rsidP="006804C3">
      <w:pPr>
        <w:rPr>
          <w:rFonts w:cs="Arial"/>
          <w:b/>
          <w:lang w:val="da-DK"/>
        </w:rPr>
      </w:pPr>
      <w:r w:rsidRPr="006804C3">
        <w:rPr>
          <w:rFonts w:cs="Arial"/>
          <w:b/>
          <w:lang w:val="da-DK"/>
        </w:rPr>
        <w:t>Persons</w:t>
      </w:r>
    </w:p>
    <w:p w14:paraId="1BA3F574" w14:textId="77777777" w:rsidR="00E91975" w:rsidRPr="00543A39" w:rsidRDefault="0095138B" w:rsidP="00514984">
      <w:pPr>
        <w:rPr>
          <w:lang w:val="da-DK"/>
        </w:rPr>
      </w:pPr>
      <w:r w:rsidRPr="00543A39">
        <w:rPr>
          <w:lang w:val="da-DK"/>
        </w:rPr>
        <w:t xml:space="preserve">Philip Helger, </w:t>
      </w:r>
      <w:r w:rsidR="00B56755">
        <w:rPr>
          <w:lang w:val="da-DK"/>
        </w:rPr>
        <w:t>OpenPEPPOL Operating Office</w:t>
      </w:r>
    </w:p>
    <w:p w14:paraId="7C0C236D" w14:textId="77777777" w:rsidR="0095138B" w:rsidRPr="00DE05CE" w:rsidRDefault="0095138B" w:rsidP="0095138B">
      <w:pPr>
        <w:rPr>
          <w:lang w:val="sv-SE"/>
        </w:rPr>
      </w:pPr>
      <w:r w:rsidRPr="00DE05CE">
        <w:rPr>
          <w:lang w:val="sv-SE"/>
        </w:rPr>
        <w:t>Jens Jakob Andersen, NITA</w:t>
      </w:r>
    </w:p>
    <w:p w14:paraId="78B806F4" w14:textId="77777777" w:rsidR="0095138B" w:rsidRDefault="0095138B" w:rsidP="0095138B">
      <w:r>
        <w:t>Tim McGrath, DIFI/Document Engineering Services</w:t>
      </w:r>
    </w:p>
    <w:p w14:paraId="46EFB04F" w14:textId="77777777" w:rsidR="0095138B" w:rsidRPr="00DE05CE" w:rsidRDefault="00F03CDF" w:rsidP="0095138B">
      <w:pPr>
        <w:rPr>
          <w:lang w:val="sv-SE"/>
        </w:rPr>
      </w:pPr>
      <w:r w:rsidRPr="00DE05CE">
        <w:rPr>
          <w:lang w:val="sv-SE"/>
        </w:rPr>
        <w:t>Bergthor Skulason, NITA</w:t>
      </w:r>
    </w:p>
    <w:p w14:paraId="744B8F4D" w14:textId="77777777"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14:paraId="11C57D8E" w14:textId="77777777" w:rsidR="00D66FFA" w:rsidRDefault="00D66FFA" w:rsidP="0095138B">
      <w:pPr>
        <w:rPr>
          <w:lang w:val="en-US"/>
        </w:rPr>
      </w:pPr>
      <w:r>
        <w:rPr>
          <w:lang w:val="en-US"/>
        </w:rPr>
        <w:t>Martin Forsberg</w:t>
      </w:r>
      <w:r w:rsidR="00CE0D75">
        <w:rPr>
          <w:lang w:val="en-US"/>
        </w:rPr>
        <w:t>,</w:t>
      </w:r>
      <w:r>
        <w:rPr>
          <w:lang w:val="en-US"/>
        </w:rPr>
        <w:t xml:space="preserve"> ESV/Ecru Consulting</w:t>
      </w:r>
    </w:p>
    <w:p w14:paraId="606E585F" w14:textId="77777777" w:rsidR="00DE05CE" w:rsidRDefault="00E17B9D" w:rsidP="00514984">
      <w:pPr>
        <w:rPr>
          <w:lang w:val="en-US"/>
        </w:rPr>
      </w:pPr>
      <w:r>
        <w:rPr>
          <w:lang w:val="en-US"/>
        </w:rPr>
        <w:t>B</w:t>
      </w:r>
      <w:r w:rsidR="009C5DE0">
        <w:rPr>
          <w:lang w:val="en-US"/>
        </w:rPr>
        <w:t>å</w:t>
      </w:r>
      <w:r>
        <w:rPr>
          <w:lang w:val="en-US"/>
        </w:rPr>
        <w:t>rd Langöy</w:t>
      </w:r>
      <w:r w:rsidR="00592153">
        <w:rPr>
          <w:lang w:val="en-US"/>
        </w:rPr>
        <w:t xml:space="preserve">, </w:t>
      </w:r>
      <w:r>
        <w:rPr>
          <w:lang w:val="en-US"/>
        </w:rPr>
        <w:t>Pagero</w:t>
      </w:r>
    </w:p>
    <w:p w14:paraId="04411FAA" w14:textId="77777777" w:rsidR="004B1AA0" w:rsidRDefault="00DE05CE" w:rsidP="00514984">
      <w:pPr>
        <w:rPr>
          <w:lang w:val="en-US"/>
        </w:rPr>
      </w:pPr>
      <w:r>
        <w:rPr>
          <w:lang w:val="en-US"/>
        </w:rPr>
        <w:t>Siw Midtgård Meckelborg, Edisys Consulting</w:t>
      </w:r>
    </w:p>
    <w:p w14:paraId="5168667E" w14:textId="77777777" w:rsidR="00705AAF" w:rsidRDefault="004B1AA0" w:rsidP="00514984">
      <w:pPr>
        <w:rPr>
          <w:rFonts w:cs="Arial"/>
        </w:rPr>
      </w:pPr>
      <w:r>
        <w:rPr>
          <w:rFonts w:cs="Arial"/>
        </w:rPr>
        <w:t>Jerry Dimitriou, OpenPEPPOL O</w:t>
      </w:r>
      <w:r w:rsidR="009C5DE0">
        <w:rPr>
          <w:rFonts w:cs="Arial"/>
        </w:rPr>
        <w:t>perating Office</w:t>
      </w:r>
    </w:p>
    <w:p w14:paraId="2D30D048" w14:textId="77777777" w:rsidR="00705AAF" w:rsidRDefault="00705AAF" w:rsidP="00514984">
      <w:pPr>
        <w:rPr>
          <w:rFonts w:cs="Arial"/>
        </w:rPr>
      </w:pPr>
      <w:r>
        <w:rPr>
          <w:rFonts w:cs="Arial"/>
        </w:rPr>
        <w:t>Hans Berg, Tickstar</w:t>
      </w:r>
    </w:p>
    <w:p w14:paraId="44B33232" w14:textId="77777777" w:rsidR="00E91975" w:rsidRPr="007A7B4E" w:rsidRDefault="00705AAF" w:rsidP="00514984">
      <w:pPr>
        <w:rPr>
          <w:rFonts w:cs="Arial"/>
        </w:rPr>
      </w:pPr>
      <w:r>
        <w:rPr>
          <w:rFonts w:cs="Arial"/>
        </w:rPr>
        <w:t>Risto Collanus, Visma</w:t>
      </w:r>
      <w:r w:rsidR="00E91975" w:rsidRPr="00FF7AFF">
        <w:rPr>
          <w:rFonts w:cs="Arial"/>
        </w:rPr>
        <w:br w:type="page"/>
      </w:r>
      <w:bookmarkStart w:id="6" w:name="_Toc205026843"/>
      <w:bookmarkStart w:id="7" w:name="_Toc205089457"/>
      <w:bookmarkStart w:id="8" w:name="_Toc224898987"/>
    </w:p>
    <w:p w14:paraId="2999926A" w14:textId="77777777" w:rsidR="00A56BD2" w:rsidRPr="006804C3" w:rsidRDefault="00914720" w:rsidP="00E15FB4">
      <w:pPr>
        <w:pStyle w:val="berschrift1"/>
        <w:numPr>
          <w:ilvl w:val="0"/>
          <w:numId w:val="0"/>
        </w:numPr>
        <w:rPr>
          <w:rStyle w:val="Fett"/>
          <w:b/>
        </w:rPr>
      </w:pPr>
      <w:bookmarkStart w:id="9" w:name="_Toc54985977"/>
      <w:bookmarkEnd w:id="6"/>
      <w:bookmarkEnd w:id="7"/>
      <w:bookmarkEnd w:id="8"/>
      <w:r w:rsidRPr="006804C3">
        <w:rPr>
          <w:rStyle w:val="Fett"/>
          <w:b/>
        </w:rPr>
        <w:lastRenderedPageBreak/>
        <w:t>Table of contents</w:t>
      </w:r>
      <w:bookmarkEnd w:id="9"/>
    </w:p>
    <w:p w14:paraId="039F6A15" w14:textId="64B5991C" w:rsidR="00715FE0" w:rsidRDefault="00554D27">
      <w:pPr>
        <w:pStyle w:val="Verzeichnis1"/>
        <w:rPr>
          <w:rFonts w:asciiTheme="minorHAnsi" w:eastAsiaTheme="minorEastAsia" w:hAnsiTheme="minorHAnsi" w:cstheme="minorBidi"/>
          <w:kern w:val="0"/>
          <w:sz w:val="22"/>
          <w:lang w:eastAsia="en-GB"/>
        </w:rPr>
      </w:pPr>
      <w:r w:rsidRPr="001F4312">
        <w:fldChar w:fldCharType="begin"/>
      </w:r>
      <w:r w:rsidR="002142B2" w:rsidRPr="001F4312">
        <w:instrText xml:space="preserve"> TOC \o "1-4" \h \z \u </w:instrText>
      </w:r>
      <w:r w:rsidRPr="001F4312">
        <w:fldChar w:fldCharType="separate"/>
      </w:r>
      <w:hyperlink w:anchor="_Toc54985976" w:history="1">
        <w:r w:rsidR="00715FE0" w:rsidRPr="00831F32">
          <w:rPr>
            <w:rStyle w:val="Hyperlink"/>
            <w:lang w:val="da-DK"/>
          </w:rPr>
          <w:t>Contributors</w:t>
        </w:r>
        <w:r w:rsidR="00715FE0">
          <w:rPr>
            <w:webHidden/>
          </w:rPr>
          <w:tab/>
        </w:r>
        <w:r w:rsidR="00715FE0">
          <w:rPr>
            <w:webHidden/>
          </w:rPr>
          <w:fldChar w:fldCharType="begin"/>
        </w:r>
        <w:r w:rsidR="00715FE0">
          <w:rPr>
            <w:webHidden/>
          </w:rPr>
          <w:instrText xml:space="preserve"> PAGEREF _Toc54985976 \h </w:instrText>
        </w:r>
        <w:r w:rsidR="00715FE0">
          <w:rPr>
            <w:webHidden/>
          </w:rPr>
        </w:r>
        <w:r w:rsidR="00715FE0">
          <w:rPr>
            <w:webHidden/>
          </w:rPr>
          <w:fldChar w:fldCharType="separate"/>
        </w:r>
        <w:r w:rsidR="00EA0922">
          <w:rPr>
            <w:webHidden/>
          </w:rPr>
          <w:t>4</w:t>
        </w:r>
        <w:r w:rsidR="00715FE0">
          <w:rPr>
            <w:webHidden/>
          </w:rPr>
          <w:fldChar w:fldCharType="end"/>
        </w:r>
      </w:hyperlink>
    </w:p>
    <w:p w14:paraId="15B55976" w14:textId="43E9DDC1" w:rsidR="00715FE0" w:rsidRDefault="00E21E96">
      <w:pPr>
        <w:pStyle w:val="Verzeichnis1"/>
        <w:rPr>
          <w:rFonts w:asciiTheme="minorHAnsi" w:eastAsiaTheme="minorEastAsia" w:hAnsiTheme="minorHAnsi" w:cstheme="minorBidi"/>
          <w:kern w:val="0"/>
          <w:sz w:val="22"/>
          <w:lang w:eastAsia="en-GB"/>
        </w:rPr>
      </w:pPr>
      <w:hyperlink w:anchor="_Toc54985977" w:history="1">
        <w:r w:rsidR="00715FE0" w:rsidRPr="00831F32">
          <w:rPr>
            <w:rStyle w:val="Hyperlink"/>
          </w:rPr>
          <w:t>Table of contents</w:t>
        </w:r>
        <w:r w:rsidR="00715FE0">
          <w:rPr>
            <w:webHidden/>
          </w:rPr>
          <w:tab/>
        </w:r>
        <w:r w:rsidR="00715FE0">
          <w:rPr>
            <w:webHidden/>
          </w:rPr>
          <w:fldChar w:fldCharType="begin"/>
        </w:r>
        <w:r w:rsidR="00715FE0">
          <w:rPr>
            <w:webHidden/>
          </w:rPr>
          <w:instrText xml:space="preserve"> PAGEREF _Toc54985977 \h </w:instrText>
        </w:r>
        <w:r w:rsidR="00715FE0">
          <w:rPr>
            <w:webHidden/>
          </w:rPr>
        </w:r>
        <w:r w:rsidR="00715FE0">
          <w:rPr>
            <w:webHidden/>
          </w:rPr>
          <w:fldChar w:fldCharType="separate"/>
        </w:r>
        <w:r w:rsidR="00EA0922">
          <w:rPr>
            <w:webHidden/>
          </w:rPr>
          <w:t>5</w:t>
        </w:r>
        <w:r w:rsidR="00715FE0">
          <w:rPr>
            <w:webHidden/>
          </w:rPr>
          <w:fldChar w:fldCharType="end"/>
        </w:r>
      </w:hyperlink>
    </w:p>
    <w:p w14:paraId="6935AF53" w14:textId="086C6EF3" w:rsidR="00715FE0" w:rsidRDefault="00E21E96">
      <w:pPr>
        <w:pStyle w:val="Verzeichnis1"/>
        <w:rPr>
          <w:rFonts w:asciiTheme="minorHAnsi" w:eastAsiaTheme="minorEastAsia" w:hAnsiTheme="minorHAnsi" w:cstheme="minorBidi"/>
          <w:kern w:val="0"/>
          <w:sz w:val="22"/>
          <w:lang w:eastAsia="en-GB"/>
        </w:rPr>
      </w:pPr>
      <w:hyperlink w:anchor="_Toc54985978" w:history="1">
        <w:r w:rsidR="00715FE0" w:rsidRPr="00831F32">
          <w:rPr>
            <w:rStyle w:val="Hyperlink"/>
          </w:rPr>
          <w:t>1</w:t>
        </w:r>
        <w:r w:rsidR="00715FE0">
          <w:rPr>
            <w:rFonts w:asciiTheme="minorHAnsi" w:eastAsiaTheme="minorEastAsia" w:hAnsiTheme="minorHAnsi" w:cstheme="minorBidi"/>
            <w:kern w:val="0"/>
            <w:sz w:val="22"/>
            <w:lang w:eastAsia="en-GB"/>
          </w:rPr>
          <w:tab/>
        </w:r>
        <w:r w:rsidR="00715FE0" w:rsidRPr="00831F32">
          <w:rPr>
            <w:rStyle w:val="Hyperlink"/>
          </w:rPr>
          <w:t>Introduction</w:t>
        </w:r>
        <w:r w:rsidR="00715FE0">
          <w:rPr>
            <w:webHidden/>
          </w:rPr>
          <w:tab/>
        </w:r>
        <w:r w:rsidR="00715FE0">
          <w:rPr>
            <w:webHidden/>
          </w:rPr>
          <w:fldChar w:fldCharType="begin"/>
        </w:r>
        <w:r w:rsidR="00715FE0">
          <w:rPr>
            <w:webHidden/>
          </w:rPr>
          <w:instrText xml:space="preserve"> PAGEREF _Toc54985978 \h </w:instrText>
        </w:r>
        <w:r w:rsidR="00715FE0">
          <w:rPr>
            <w:webHidden/>
          </w:rPr>
        </w:r>
        <w:r w:rsidR="00715FE0">
          <w:rPr>
            <w:webHidden/>
          </w:rPr>
          <w:fldChar w:fldCharType="separate"/>
        </w:r>
        <w:r w:rsidR="00EA0922">
          <w:rPr>
            <w:webHidden/>
          </w:rPr>
          <w:t>7</w:t>
        </w:r>
        <w:r w:rsidR="00715FE0">
          <w:rPr>
            <w:webHidden/>
          </w:rPr>
          <w:fldChar w:fldCharType="end"/>
        </w:r>
      </w:hyperlink>
    </w:p>
    <w:p w14:paraId="4B93EA7A" w14:textId="017132C2" w:rsidR="00715FE0" w:rsidRDefault="00E21E96">
      <w:pPr>
        <w:pStyle w:val="Verzeichnis2"/>
        <w:rPr>
          <w:rFonts w:asciiTheme="minorHAnsi" w:eastAsiaTheme="minorEastAsia" w:hAnsiTheme="minorHAnsi" w:cstheme="minorBidi"/>
          <w:lang w:eastAsia="en-GB"/>
        </w:rPr>
      </w:pPr>
      <w:hyperlink w:anchor="_Toc54985979" w:history="1">
        <w:r w:rsidR="00715FE0" w:rsidRPr="00831F32">
          <w:rPr>
            <w:rStyle w:val="Hyperlink"/>
          </w:rPr>
          <w:t>1.1</w:t>
        </w:r>
        <w:r w:rsidR="00715FE0">
          <w:rPr>
            <w:rFonts w:asciiTheme="minorHAnsi" w:eastAsiaTheme="minorEastAsia" w:hAnsiTheme="minorHAnsi" w:cstheme="minorBidi"/>
            <w:lang w:eastAsia="en-GB"/>
          </w:rPr>
          <w:tab/>
        </w:r>
        <w:r w:rsidR="00715FE0" w:rsidRPr="00831F32">
          <w:rPr>
            <w:rStyle w:val="Hyperlink"/>
          </w:rPr>
          <w:t>Audience</w:t>
        </w:r>
        <w:r w:rsidR="00715FE0">
          <w:rPr>
            <w:webHidden/>
          </w:rPr>
          <w:tab/>
        </w:r>
        <w:r w:rsidR="00715FE0">
          <w:rPr>
            <w:webHidden/>
          </w:rPr>
          <w:fldChar w:fldCharType="begin"/>
        </w:r>
        <w:r w:rsidR="00715FE0">
          <w:rPr>
            <w:webHidden/>
          </w:rPr>
          <w:instrText xml:space="preserve"> PAGEREF _Toc54985979 \h </w:instrText>
        </w:r>
        <w:r w:rsidR="00715FE0">
          <w:rPr>
            <w:webHidden/>
          </w:rPr>
        </w:r>
        <w:r w:rsidR="00715FE0">
          <w:rPr>
            <w:webHidden/>
          </w:rPr>
          <w:fldChar w:fldCharType="separate"/>
        </w:r>
        <w:r w:rsidR="00EA0922">
          <w:rPr>
            <w:webHidden/>
          </w:rPr>
          <w:t>7</w:t>
        </w:r>
        <w:r w:rsidR="00715FE0">
          <w:rPr>
            <w:webHidden/>
          </w:rPr>
          <w:fldChar w:fldCharType="end"/>
        </w:r>
      </w:hyperlink>
    </w:p>
    <w:p w14:paraId="049736AC" w14:textId="2C0A9079" w:rsidR="00715FE0" w:rsidRDefault="00E21E96">
      <w:pPr>
        <w:pStyle w:val="Verzeichnis2"/>
        <w:rPr>
          <w:rFonts w:asciiTheme="minorHAnsi" w:eastAsiaTheme="minorEastAsia" w:hAnsiTheme="minorHAnsi" w:cstheme="minorBidi"/>
          <w:lang w:eastAsia="en-GB"/>
        </w:rPr>
      </w:pPr>
      <w:hyperlink w:anchor="_Toc54985980" w:history="1">
        <w:r w:rsidR="00715FE0" w:rsidRPr="00831F32">
          <w:rPr>
            <w:rStyle w:val="Hyperlink"/>
          </w:rPr>
          <w:t>1.2</w:t>
        </w:r>
        <w:r w:rsidR="00715FE0">
          <w:rPr>
            <w:rFonts w:asciiTheme="minorHAnsi" w:eastAsiaTheme="minorEastAsia" w:hAnsiTheme="minorHAnsi" w:cstheme="minorBidi"/>
            <w:lang w:eastAsia="en-GB"/>
          </w:rPr>
          <w:tab/>
        </w:r>
        <w:r w:rsidR="00715FE0" w:rsidRPr="00831F32">
          <w:rPr>
            <w:rStyle w:val="Hyperlink"/>
          </w:rPr>
          <w:t>References</w:t>
        </w:r>
        <w:r w:rsidR="00715FE0">
          <w:rPr>
            <w:webHidden/>
          </w:rPr>
          <w:tab/>
        </w:r>
        <w:r w:rsidR="00715FE0">
          <w:rPr>
            <w:webHidden/>
          </w:rPr>
          <w:fldChar w:fldCharType="begin"/>
        </w:r>
        <w:r w:rsidR="00715FE0">
          <w:rPr>
            <w:webHidden/>
          </w:rPr>
          <w:instrText xml:space="preserve"> PAGEREF _Toc54985980 \h </w:instrText>
        </w:r>
        <w:r w:rsidR="00715FE0">
          <w:rPr>
            <w:webHidden/>
          </w:rPr>
        </w:r>
        <w:r w:rsidR="00715FE0">
          <w:rPr>
            <w:webHidden/>
          </w:rPr>
          <w:fldChar w:fldCharType="separate"/>
        </w:r>
        <w:r w:rsidR="00EA0922">
          <w:rPr>
            <w:webHidden/>
          </w:rPr>
          <w:t>7</w:t>
        </w:r>
        <w:r w:rsidR="00715FE0">
          <w:rPr>
            <w:webHidden/>
          </w:rPr>
          <w:fldChar w:fldCharType="end"/>
        </w:r>
      </w:hyperlink>
    </w:p>
    <w:p w14:paraId="38190AA0" w14:textId="5E696CDE" w:rsidR="00715FE0" w:rsidRDefault="00E21E96">
      <w:pPr>
        <w:pStyle w:val="Verzeichnis2"/>
        <w:rPr>
          <w:rFonts w:asciiTheme="minorHAnsi" w:eastAsiaTheme="minorEastAsia" w:hAnsiTheme="minorHAnsi" w:cstheme="minorBidi"/>
          <w:lang w:eastAsia="en-GB"/>
        </w:rPr>
      </w:pPr>
      <w:hyperlink w:anchor="_Toc54985981" w:history="1">
        <w:r w:rsidR="00715FE0" w:rsidRPr="00831F32">
          <w:rPr>
            <w:rStyle w:val="Hyperlink"/>
          </w:rPr>
          <w:t>1.3</w:t>
        </w:r>
        <w:r w:rsidR="00715FE0">
          <w:rPr>
            <w:rFonts w:asciiTheme="minorHAnsi" w:eastAsiaTheme="minorEastAsia" w:hAnsiTheme="minorHAnsi" w:cstheme="minorBidi"/>
            <w:lang w:eastAsia="en-GB"/>
          </w:rPr>
          <w:tab/>
        </w:r>
        <w:r w:rsidR="00715FE0" w:rsidRPr="00831F32">
          <w:rPr>
            <w:rStyle w:val="Hyperlink"/>
          </w:rPr>
          <w:t>XML Namespaces URIs used</w:t>
        </w:r>
        <w:r w:rsidR="00715FE0">
          <w:rPr>
            <w:webHidden/>
          </w:rPr>
          <w:tab/>
        </w:r>
        <w:r w:rsidR="00715FE0">
          <w:rPr>
            <w:webHidden/>
          </w:rPr>
          <w:fldChar w:fldCharType="begin"/>
        </w:r>
        <w:r w:rsidR="00715FE0">
          <w:rPr>
            <w:webHidden/>
          </w:rPr>
          <w:instrText xml:space="preserve"> PAGEREF _Toc54985981 \h </w:instrText>
        </w:r>
        <w:r w:rsidR="00715FE0">
          <w:rPr>
            <w:webHidden/>
          </w:rPr>
        </w:r>
        <w:r w:rsidR="00715FE0">
          <w:rPr>
            <w:webHidden/>
          </w:rPr>
          <w:fldChar w:fldCharType="separate"/>
        </w:r>
        <w:r w:rsidR="00EA0922">
          <w:rPr>
            <w:webHidden/>
          </w:rPr>
          <w:t>8</w:t>
        </w:r>
        <w:r w:rsidR="00715FE0">
          <w:rPr>
            <w:webHidden/>
          </w:rPr>
          <w:fldChar w:fldCharType="end"/>
        </w:r>
      </w:hyperlink>
    </w:p>
    <w:p w14:paraId="33B9610F" w14:textId="5EF2A6C4" w:rsidR="00715FE0" w:rsidRDefault="00E21E96">
      <w:pPr>
        <w:pStyle w:val="Verzeichnis1"/>
        <w:rPr>
          <w:rFonts w:asciiTheme="minorHAnsi" w:eastAsiaTheme="minorEastAsia" w:hAnsiTheme="minorHAnsi" w:cstheme="minorBidi"/>
          <w:kern w:val="0"/>
          <w:sz w:val="22"/>
          <w:lang w:eastAsia="en-GB"/>
        </w:rPr>
      </w:pPr>
      <w:hyperlink w:anchor="_Toc54985982" w:history="1">
        <w:r w:rsidR="00715FE0" w:rsidRPr="00831F32">
          <w:rPr>
            <w:rStyle w:val="Hyperlink"/>
          </w:rPr>
          <w:t>2</w:t>
        </w:r>
        <w:r w:rsidR="00715FE0">
          <w:rPr>
            <w:rFonts w:asciiTheme="minorHAnsi" w:eastAsiaTheme="minorEastAsia" w:hAnsiTheme="minorHAnsi" w:cstheme="minorBidi"/>
            <w:kern w:val="0"/>
            <w:sz w:val="22"/>
            <w:lang w:eastAsia="en-GB"/>
          </w:rPr>
          <w:tab/>
        </w:r>
        <w:r w:rsidR="00715FE0" w:rsidRPr="00831F32">
          <w:rPr>
            <w:rStyle w:val="Hyperlink"/>
          </w:rPr>
          <w:t>Introduction to identifiers</w:t>
        </w:r>
        <w:r w:rsidR="00715FE0">
          <w:rPr>
            <w:webHidden/>
          </w:rPr>
          <w:tab/>
        </w:r>
        <w:r w:rsidR="00715FE0">
          <w:rPr>
            <w:webHidden/>
          </w:rPr>
          <w:fldChar w:fldCharType="begin"/>
        </w:r>
        <w:r w:rsidR="00715FE0">
          <w:rPr>
            <w:webHidden/>
          </w:rPr>
          <w:instrText xml:space="preserve"> PAGEREF _Toc54985982 \h </w:instrText>
        </w:r>
        <w:r w:rsidR="00715FE0">
          <w:rPr>
            <w:webHidden/>
          </w:rPr>
        </w:r>
        <w:r w:rsidR="00715FE0">
          <w:rPr>
            <w:webHidden/>
          </w:rPr>
          <w:fldChar w:fldCharType="separate"/>
        </w:r>
        <w:r w:rsidR="00EA0922">
          <w:rPr>
            <w:webHidden/>
          </w:rPr>
          <w:t>9</w:t>
        </w:r>
        <w:r w:rsidR="00715FE0">
          <w:rPr>
            <w:webHidden/>
          </w:rPr>
          <w:fldChar w:fldCharType="end"/>
        </w:r>
      </w:hyperlink>
    </w:p>
    <w:p w14:paraId="69CD5A7B" w14:textId="4D7C8E29" w:rsidR="00715FE0" w:rsidRDefault="00E21E96">
      <w:pPr>
        <w:pStyle w:val="Verzeichnis2"/>
        <w:rPr>
          <w:rFonts w:asciiTheme="minorHAnsi" w:eastAsiaTheme="minorEastAsia" w:hAnsiTheme="minorHAnsi" w:cstheme="minorBidi"/>
          <w:lang w:eastAsia="en-GB"/>
        </w:rPr>
      </w:pPr>
      <w:hyperlink w:anchor="_Toc54985983" w:history="1">
        <w:r w:rsidR="00715FE0" w:rsidRPr="00831F32">
          <w:rPr>
            <w:rStyle w:val="Hyperlink"/>
          </w:rPr>
          <w:t>2.1</w:t>
        </w:r>
        <w:r w:rsidR="00715FE0">
          <w:rPr>
            <w:rFonts w:asciiTheme="minorHAnsi" w:eastAsiaTheme="minorEastAsia" w:hAnsiTheme="minorHAnsi" w:cstheme="minorBidi"/>
            <w:lang w:eastAsia="en-GB"/>
          </w:rPr>
          <w:tab/>
        </w:r>
        <w:r w:rsidR="00715FE0" w:rsidRPr="00831F32">
          <w:rPr>
            <w:rStyle w:val="Hyperlink"/>
          </w:rPr>
          <w:t>Scope</w:t>
        </w:r>
        <w:r w:rsidR="00715FE0">
          <w:rPr>
            <w:webHidden/>
          </w:rPr>
          <w:tab/>
        </w:r>
        <w:r w:rsidR="00715FE0">
          <w:rPr>
            <w:webHidden/>
          </w:rPr>
          <w:fldChar w:fldCharType="begin"/>
        </w:r>
        <w:r w:rsidR="00715FE0">
          <w:rPr>
            <w:webHidden/>
          </w:rPr>
          <w:instrText xml:space="preserve"> PAGEREF _Toc54985983 \h </w:instrText>
        </w:r>
        <w:r w:rsidR="00715FE0">
          <w:rPr>
            <w:webHidden/>
          </w:rPr>
        </w:r>
        <w:r w:rsidR="00715FE0">
          <w:rPr>
            <w:webHidden/>
          </w:rPr>
          <w:fldChar w:fldCharType="separate"/>
        </w:r>
        <w:r w:rsidR="00EA0922">
          <w:rPr>
            <w:webHidden/>
          </w:rPr>
          <w:t>9</w:t>
        </w:r>
        <w:r w:rsidR="00715FE0">
          <w:rPr>
            <w:webHidden/>
          </w:rPr>
          <w:fldChar w:fldCharType="end"/>
        </w:r>
      </w:hyperlink>
    </w:p>
    <w:p w14:paraId="06151F51" w14:textId="028CA924" w:rsidR="00715FE0" w:rsidRDefault="00E21E96">
      <w:pPr>
        <w:pStyle w:val="Verzeichnis3"/>
        <w:rPr>
          <w:rFonts w:asciiTheme="minorHAnsi" w:eastAsiaTheme="minorEastAsia" w:hAnsiTheme="minorHAnsi" w:cstheme="minorBidi"/>
          <w:lang w:eastAsia="en-GB"/>
        </w:rPr>
      </w:pPr>
      <w:hyperlink w:anchor="_Toc54985984" w:history="1">
        <w:r w:rsidR="00715FE0" w:rsidRPr="00831F32">
          <w:rPr>
            <w:rStyle w:val="Hyperlink"/>
          </w:rPr>
          <w:t>2.1.1</w:t>
        </w:r>
        <w:r w:rsidR="00715FE0">
          <w:rPr>
            <w:rFonts w:asciiTheme="minorHAnsi" w:eastAsiaTheme="minorEastAsia" w:hAnsiTheme="minorHAnsi" w:cstheme="minorBidi"/>
            <w:lang w:eastAsia="en-GB"/>
          </w:rPr>
          <w:tab/>
        </w:r>
        <w:r w:rsidR="00715FE0" w:rsidRPr="00831F32">
          <w:rPr>
            <w:rStyle w:val="Hyperlink"/>
          </w:rPr>
          <w:t>The policy of a federated scheme for identifying Parties</w:t>
        </w:r>
        <w:r w:rsidR="00715FE0">
          <w:rPr>
            <w:webHidden/>
          </w:rPr>
          <w:tab/>
        </w:r>
        <w:r w:rsidR="00715FE0">
          <w:rPr>
            <w:webHidden/>
          </w:rPr>
          <w:fldChar w:fldCharType="begin"/>
        </w:r>
        <w:r w:rsidR="00715FE0">
          <w:rPr>
            <w:webHidden/>
          </w:rPr>
          <w:instrText xml:space="preserve"> PAGEREF _Toc54985984 \h </w:instrText>
        </w:r>
        <w:r w:rsidR="00715FE0">
          <w:rPr>
            <w:webHidden/>
          </w:rPr>
        </w:r>
        <w:r w:rsidR="00715FE0">
          <w:rPr>
            <w:webHidden/>
          </w:rPr>
          <w:fldChar w:fldCharType="separate"/>
        </w:r>
        <w:r w:rsidR="00EA0922">
          <w:rPr>
            <w:webHidden/>
          </w:rPr>
          <w:t>9</w:t>
        </w:r>
        <w:r w:rsidR="00715FE0">
          <w:rPr>
            <w:webHidden/>
          </w:rPr>
          <w:fldChar w:fldCharType="end"/>
        </w:r>
      </w:hyperlink>
    </w:p>
    <w:p w14:paraId="735F18DA" w14:textId="12912A35" w:rsidR="00715FE0" w:rsidRDefault="00E21E96">
      <w:pPr>
        <w:pStyle w:val="Verzeichnis3"/>
        <w:rPr>
          <w:rFonts w:asciiTheme="minorHAnsi" w:eastAsiaTheme="minorEastAsia" w:hAnsiTheme="minorHAnsi" w:cstheme="minorBidi"/>
          <w:lang w:eastAsia="en-GB"/>
        </w:rPr>
      </w:pPr>
      <w:hyperlink w:anchor="_Toc54985985" w:history="1">
        <w:r w:rsidR="00715FE0" w:rsidRPr="00831F32">
          <w:rPr>
            <w:rStyle w:val="Hyperlink"/>
          </w:rPr>
          <w:t>2.1.2</w:t>
        </w:r>
        <w:r w:rsidR="00715FE0">
          <w:rPr>
            <w:rFonts w:asciiTheme="minorHAnsi" w:eastAsiaTheme="minorEastAsia" w:hAnsiTheme="minorHAnsi" w:cstheme="minorBidi"/>
            <w:lang w:eastAsia="en-GB"/>
          </w:rPr>
          <w:tab/>
        </w:r>
        <w:r w:rsidR="00715FE0" w:rsidRPr="00831F32">
          <w:rPr>
            <w:rStyle w:val="Hyperlink"/>
          </w:rPr>
          <w:t>The policy for identifying Documents and Services used in Peppol implementation of the Peppol eDelivery Network</w:t>
        </w:r>
        <w:r w:rsidR="00715FE0">
          <w:rPr>
            <w:webHidden/>
          </w:rPr>
          <w:tab/>
        </w:r>
        <w:r w:rsidR="00715FE0">
          <w:rPr>
            <w:webHidden/>
          </w:rPr>
          <w:fldChar w:fldCharType="begin"/>
        </w:r>
        <w:r w:rsidR="00715FE0">
          <w:rPr>
            <w:webHidden/>
          </w:rPr>
          <w:instrText xml:space="preserve"> PAGEREF _Toc54985985 \h </w:instrText>
        </w:r>
        <w:r w:rsidR="00715FE0">
          <w:rPr>
            <w:webHidden/>
          </w:rPr>
        </w:r>
        <w:r w:rsidR="00715FE0">
          <w:rPr>
            <w:webHidden/>
          </w:rPr>
          <w:fldChar w:fldCharType="separate"/>
        </w:r>
        <w:r w:rsidR="00EA0922">
          <w:rPr>
            <w:webHidden/>
          </w:rPr>
          <w:t>9</w:t>
        </w:r>
        <w:r w:rsidR="00715FE0">
          <w:rPr>
            <w:webHidden/>
          </w:rPr>
          <w:fldChar w:fldCharType="end"/>
        </w:r>
      </w:hyperlink>
    </w:p>
    <w:p w14:paraId="22494667" w14:textId="1B7A5D63" w:rsidR="00715FE0" w:rsidRDefault="00E21E96">
      <w:pPr>
        <w:pStyle w:val="Verzeichnis3"/>
        <w:rPr>
          <w:rFonts w:asciiTheme="minorHAnsi" w:eastAsiaTheme="minorEastAsia" w:hAnsiTheme="minorHAnsi" w:cstheme="minorBidi"/>
          <w:lang w:eastAsia="en-GB"/>
        </w:rPr>
      </w:pPr>
      <w:hyperlink w:anchor="_Toc54985986" w:history="1">
        <w:r w:rsidR="00715FE0" w:rsidRPr="00831F32">
          <w:rPr>
            <w:rStyle w:val="Hyperlink"/>
          </w:rPr>
          <w:t>2.1.3</w:t>
        </w:r>
        <w:r w:rsidR="00715FE0">
          <w:rPr>
            <w:rFonts w:asciiTheme="minorHAnsi" w:eastAsiaTheme="minorEastAsia" w:hAnsiTheme="minorHAnsi" w:cstheme="minorBidi"/>
            <w:lang w:eastAsia="en-GB"/>
          </w:rPr>
          <w:tab/>
        </w:r>
        <w:r w:rsidR="00715FE0" w:rsidRPr="00831F32">
          <w:rPr>
            <w:rStyle w:val="Hyperlink"/>
          </w:rPr>
          <w:t>Semantic scope</w:t>
        </w:r>
        <w:r w:rsidR="00715FE0">
          <w:rPr>
            <w:webHidden/>
          </w:rPr>
          <w:tab/>
        </w:r>
        <w:r w:rsidR="00715FE0">
          <w:rPr>
            <w:webHidden/>
          </w:rPr>
          <w:fldChar w:fldCharType="begin"/>
        </w:r>
        <w:r w:rsidR="00715FE0">
          <w:rPr>
            <w:webHidden/>
          </w:rPr>
          <w:instrText xml:space="preserve"> PAGEREF _Toc54985986 \h </w:instrText>
        </w:r>
        <w:r w:rsidR="00715FE0">
          <w:rPr>
            <w:webHidden/>
          </w:rPr>
        </w:r>
        <w:r w:rsidR="00715FE0">
          <w:rPr>
            <w:webHidden/>
          </w:rPr>
          <w:fldChar w:fldCharType="separate"/>
        </w:r>
        <w:r w:rsidR="00EA0922">
          <w:rPr>
            <w:webHidden/>
          </w:rPr>
          <w:t>10</w:t>
        </w:r>
        <w:r w:rsidR="00715FE0">
          <w:rPr>
            <w:webHidden/>
          </w:rPr>
          <w:fldChar w:fldCharType="end"/>
        </w:r>
      </w:hyperlink>
    </w:p>
    <w:p w14:paraId="701EA3C6" w14:textId="5A864450" w:rsidR="00715FE0" w:rsidRDefault="00E21E96">
      <w:pPr>
        <w:pStyle w:val="Verzeichnis3"/>
        <w:rPr>
          <w:rFonts w:asciiTheme="minorHAnsi" w:eastAsiaTheme="minorEastAsia" w:hAnsiTheme="minorHAnsi" w:cstheme="minorBidi"/>
          <w:lang w:eastAsia="en-GB"/>
        </w:rPr>
      </w:pPr>
      <w:hyperlink w:anchor="_Toc54985987" w:history="1">
        <w:r w:rsidR="00715FE0" w:rsidRPr="00831F32">
          <w:rPr>
            <w:rStyle w:val="Hyperlink"/>
          </w:rPr>
          <w:t>2.1.4</w:t>
        </w:r>
        <w:r w:rsidR="00715FE0">
          <w:rPr>
            <w:rFonts w:asciiTheme="minorHAnsi" w:eastAsiaTheme="minorEastAsia" w:hAnsiTheme="minorHAnsi" w:cstheme="minorBidi"/>
            <w:lang w:eastAsia="en-GB"/>
          </w:rPr>
          <w:tab/>
        </w:r>
        <w:r w:rsidR="00715FE0" w:rsidRPr="00831F32">
          <w:rPr>
            <w:rStyle w:val="Hyperlink"/>
          </w:rPr>
          <w:t>Relation to Peppol BIS versions 1 and 2</w:t>
        </w:r>
        <w:r w:rsidR="00715FE0">
          <w:rPr>
            <w:webHidden/>
          </w:rPr>
          <w:tab/>
        </w:r>
        <w:r w:rsidR="00715FE0">
          <w:rPr>
            <w:webHidden/>
          </w:rPr>
          <w:fldChar w:fldCharType="begin"/>
        </w:r>
        <w:r w:rsidR="00715FE0">
          <w:rPr>
            <w:webHidden/>
          </w:rPr>
          <w:instrText xml:space="preserve"> PAGEREF _Toc54985987 \h </w:instrText>
        </w:r>
        <w:r w:rsidR="00715FE0">
          <w:rPr>
            <w:webHidden/>
          </w:rPr>
        </w:r>
        <w:r w:rsidR="00715FE0">
          <w:rPr>
            <w:webHidden/>
          </w:rPr>
          <w:fldChar w:fldCharType="separate"/>
        </w:r>
        <w:r w:rsidR="00EA0922">
          <w:rPr>
            <w:webHidden/>
          </w:rPr>
          <w:t>10</w:t>
        </w:r>
        <w:r w:rsidR="00715FE0">
          <w:rPr>
            <w:webHidden/>
          </w:rPr>
          <w:fldChar w:fldCharType="end"/>
        </w:r>
      </w:hyperlink>
    </w:p>
    <w:p w14:paraId="627DD245" w14:textId="13142C08" w:rsidR="00715FE0" w:rsidRDefault="00E21E96">
      <w:pPr>
        <w:pStyle w:val="Verzeichnis2"/>
        <w:rPr>
          <w:rFonts w:asciiTheme="minorHAnsi" w:eastAsiaTheme="minorEastAsia" w:hAnsiTheme="minorHAnsi" w:cstheme="minorBidi"/>
          <w:lang w:eastAsia="en-GB"/>
        </w:rPr>
      </w:pPr>
      <w:hyperlink w:anchor="_Toc54985988" w:history="1">
        <w:r w:rsidR="00715FE0" w:rsidRPr="00831F32">
          <w:rPr>
            <w:rStyle w:val="Hyperlink"/>
          </w:rPr>
          <w:t>2.2</w:t>
        </w:r>
        <w:r w:rsidR="00715FE0">
          <w:rPr>
            <w:rFonts w:asciiTheme="minorHAnsi" w:eastAsiaTheme="minorEastAsia" w:hAnsiTheme="minorHAnsi" w:cstheme="minorBidi"/>
            <w:lang w:eastAsia="en-GB"/>
          </w:rPr>
          <w:tab/>
        </w:r>
        <w:r w:rsidR="00715FE0" w:rsidRPr="00831F32">
          <w:rPr>
            <w:rStyle w:val="Hyperlink"/>
          </w:rPr>
          <w:t>Participant vs. Party Identification</w:t>
        </w:r>
        <w:r w:rsidR="00715FE0">
          <w:rPr>
            <w:webHidden/>
          </w:rPr>
          <w:tab/>
        </w:r>
        <w:r w:rsidR="00715FE0">
          <w:rPr>
            <w:webHidden/>
          </w:rPr>
          <w:fldChar w:fldCharType="begin"/>
        </w:r>
        <w:r w:rsidR="00715FE0">
          <w:rPr>
            <w:webHidden/>
          </w:rPr>
          <w:instrText xml:space="preserve"> PAGEREF _Toc54985988 \h </w:instrText>
        </w:r>
        <w:r w:rsidR="00715FE0">
          <w:rPr>
            <w:webHidden/>
          </w:rPr>
        </w:r>
        <w:r w:rsidR="00715FE0">
          <w:rPr>
            <w:webHidden/>
          </w:rPr>
          <w:fldChar w:fldCharType="separate"/>
        </w:r>
        <w:r w:rsidR="00EA0922">
          <w:rPr>
            <w:webHidden/>
          </w:rPr>
          <w:t>10</w:t>
        </w:r>
        <w:r w:rsidR="00715FE0">
          <w:rPr>
            <w:webHidden/>
          </w:rPr>
          <w:fldChar w:fldCharType="end"/>
        </w:r>
      </w:hyperlink>
    </w:p>
    <w:p w14:paraId="0FF89E46" w14:textId="34C0C2B4" w:rsidR="00715FE0" w:rsidRDefault="00E21E96">
      <w:pPr>
        <w:pStyle w:val="Verzeichnis2"/>
        <w:rPr>
          <w:rFonts w:asciiTheme="minorHAnsi" w:eastAsiaTheme="minorEastAsia" w:hAnsiTheme="minorHAnsi" w:cstheme="minorBidi"/>
          <w:lang w:eastAsia="en-GB"/>
        </w:rPr>
      </w:pPr>
      <w:hyperlink w:anchor="_Toc54985989" w:history="1">
        <w:r w:rsidR="00715FE0" w:rsidRPr="00831F32">
          <w:rPr>
            <w:rStyle w:val="Hyperlink"/>
          </w:rPr>
          <w:t>2.3</w:t>
        </w:r>
        <w:r w:rsidR="00715FE0">
          <w:rPr>
            <w:rFonts w:asciiTheme="minorHAnsi" w:eastAsiaTheme="minorEastAsia" w:hAnsiTheme="minorHAnsi" w:cstheme="minorBidi"/>
            <w:lang w:eastAsia="en-GB"/>
          </w:rPr>
          <w:tab/>
        </w:r>
        <w:r w:rsidR="00715FE0" w:rsidRPr="00831F32">
          <w:rPr>
            <w:rStyle w:val="Hyperlink"/>
          </w:rPr>
          <w:t>Common Policies</w:t>
        </w:r>
        <w:r w:rsidR="00715FE0">
          <w:rPr>
            <w:webHidden/>
          </w:rPr>
          <w:tab/>
        </w:r>
        <w:r w:rsidR="00715FE0">
          <w:rPr>
            <w:webHidden/>
          </w:rPr>
          <w:fldChar w:fldCharType="begin"/>
        </w:r>
        <w:r w:rsidR="00715FE0">
          <w:rPr>
            <w:webHidden/>
          </w:rPr>
          <w:instrText xml:space="preserve"> PAGEREF _Toc54985989 \h </w:instrText>
        </w:r>
        <w:r w:rsidR="00715FE0">
          <w:rPr>
            <w:webHidden/>
          </w:rPr>
        </w:r>
        <w:r w:rsidR="00715FE0">
          <w:rPr>
            <w:webHidden/>
          </w:rPr>
          <w:fldChar w:fldCharType="separate"/>
        </w:r>
        <w:r w:rsidR="00EA0922">
          <w:rPr>
            <w:webHidden/>
          </w:rPr>
          <w:t>11</w:t>
        </w:r>
        <w:r w:rsidR="00715FE0">
          <w:rPr>
            <w:webHidden/>
          </w:rPr>
          <w:fldChar w:fldCharType="end"/>
        </w:r>
      </w:hyperlink>
    </w:p>
    <w:p w14:paraId="4FDCAAE9" w14:textId="5804BE0A" w:rsidR="00715FE0" w:rsidRDefault="00E21E96">
      <w:pPr>
        <w:pStyle w:val="Verzeichnis3"/>
        <w:rPr>
          <w:rFonts w:asciiTheme="minorHAnsi" w:eastAsiaTheme="minorEastAsia" w:hAnsiTheme="minorHAnsi" w:cstheme="minorBidi"/>
          <w:lang w:eastAsia="en-GB"/>
        </w:rPr>
      </w:pPr>
      <w:hyperlink w:anchor="_Toc54985990" w:history="1">
        <w:r w:rsidR="00715FE0" w:rsidRPr="00831F32">
          <w:rPr>
            <w:rStyle w:val="Hyperlink"/>
          </w:rPr>
          <w:t>POLICY 1</w:t>
        </w:r>
        <w:r w:rsidR="00715FE0">
          <w:rPr>
            <w:rFonts w:asciiTheme="minorHAnsi" w:eastAsiaTheme="minorEastAsia" w:hAnsiTheme="minorHAnsi" w:cstheme="minorBidi"/>
            <w:lang w:eastAsia="en-GB"/>
          </w:rPr>
          <w:tab/>
        </w:r>
        <w:r w:rsidR="00715FE0" w:rsidRPr="00831F32">
          <w:rPr>
            <w:rStyle w:val="Hyperlink"/>
          </w:rPr>
          <w:t>Usage of ISO15459</w:t>
        </w:r>
        <w:r w:rsidR="00715FE0">
          <w:rPr>
            <w:webHidden/>
          </w:rPr>
          <w:tab/>
        </w:r>
        <w:r w:rsidR="00715FE0">
          <w:rPr>
            <w:webHidden/>
          </w:rPr>
          <w:fldChar w:fldCharType="begin"/>
        </w:r>
        <w:r w:rsidR="00715FE0">
          <w:rPr>
            <w:webHidden/>
          </w:rPr>
          <w:instrText xml:space="preserve"> PAGEREF _Toc54985990 \h </w:instrText>
        </w:r>
        <w:r w:rsidR="00715FE0">
          <w:rPr>
            <w:webHidden/>
          </w:rPr>
        </w:r>
        <w:r w:rsidR="00715FE0">
          <w:rPr>
            <w:webHidden/>
          </w:rPr>
          <w:fldChar w:fldCharType="separate"/>
        </w:r>
        <w:r w:rsidR="00EA0922">
          <w:rPr>
            <w:webHidden/>
          </w:rPr>
          <w:t>11</w:t>
        </w:r>
        <w:r w:rsidR="00715FE0">
          <w:rPr>
            <w:webHidden/>
          </w:rPr>
          <w:fldChar w:fldCharType="end"/>
        </w:r>
      </w:hyperlink>
    </w:p>
    <w:p w14:paraId="5F95916C" w14:textId="6FA429F4" w:rsidR="00715FE0" w:rsidRDefault="00E21E96">
      <w:pPr>
        <w:pStyle w:val="Verzeichnis3"/>
        <w:rPr>
          <w:rFonts w:asciiTheme="minorHAnsi" w:eastAsiaTheme="minorEastAsia" w:hAnsiTheme="minorHAnsi" w:cstheme="minorBidi"/>
          <w:lang w:eastAsia="en-GB"/>
        </w:rPr>
      </w:pPr>
      <w:hyperlink w:anchor="_Toc54985991" w:history="1">
        <w:r w:rsidR="00715FE0" w:rsidRPr="00831F32">
          <w:rPr>
            <w:rStyle w:val="Hyperlink"/>
          </w:rPr>
          <w:t>POLICY 2</w:t>
        </w:r>
        <w:r w:rsidR="00715FE0">
          <w:rPr>
            <w:rFonts w:asciiTheme="minorHAnsi" w:eastAsiaTheme="minorEastAsia" w:hAnsiTheme="minorHAnsi" w:cstheme="minorBidi"/>
            <w:lang w:eastAsia="en-GB"/>
          </w:rPr>
          <w:tab/>
        </w:r>
        <w:r w:rsidR="00715FE0" w:rsidRPr="00831F32">
          <w:rPr>
            <w:rStyle w:val="Hyperlink"/>
          </w:rPr>
          <w:t>Identifier Value casing</w:t>
        </w:r>
        <w:r w:rsidR="00715FE0">
          <w:rPr>
            <w:webHidden/>
          </w:rPr>
          <w:tab/>
        </w:r>
        <w:r w:rsidR="00715FE0">
          <w:rPr>
            <w:webHidden/>
          </w:rPr>
          <w:fldChar w:fldCharType="begin"/>
        </w:r>
        <w:r w:rsidR="00715FE0">
          <w:rPr>
            <w:webHidden/>
          </w:rPr>
          <w:instrText xml:space="preserve"> PAGEREF _Toc54985991 \h </w:instrText>
        </w:r>
        <w:r w:rsidR="00715FE0">
          <w:rPr>
            <w:webHidden/>
          </w:rPr>
        </w:r>
        <w:r w:rsidR="00715FE0">
          <w:rPr>
            <w:webHidden/>
          </w:rPr>
          <w:fldChar w:fldCharType="separate"/>
        </w:r>
        <w:r w:rsidR="00EA0922">
          <w:rPr>
            <w:webHidden/>
          </w:rPr>
          <w:t>12</w:t>
        </w:r>
        <w:r w:rsidR="00715FE0">
          <w:rPr>
            <w:webHidden/>
          </w:rPr>
          <w:fldChar w:fldCharType="end"/>
        </w:r>
      </w:hyperlink>
    </w:p>
    <w:p w14:paraId="07F8C1D7" w14:textId="459E54E9" w:rsidR="00715FE0" w:rsidRDefault="00E21E96">
      <w:pPr>
        <w:pStyle w:val="Verzeichnis1"/>
        <w:rPr>
          <w:rFonts w:asciiTheme="minorHAnsi" w:eastAsiaTheme="minorEastAsia" w:hAnsiTheme="minorHAnsi" w:cstheme="minorBidi"/>
          <w:kern w:val="0"/>
          <w:sz w:val="22"/>
          <w:lang w:eastAsia="en-GB"/>
        </w:rPr>
      </w:pPr>
      <w:hyperlink w:anchor="_Toc54985992" w:history="1">
        <w:r w:rsidR="00715FE0" w:rsidRPr="00831F32">
          <w:rPr>
            <w:rStyle w:val="Hyperlink"/>
          </w:rPr>
          <w:t>3</w:t>
        </w:r>
        <w:r w:rsidR="00715FE0">
          <w:rPr>
            <w:rFonts w:asciiTheme="minorHAnsi" w:eastAsiaTheme="minorEastAsia" w:hAnsiTheme="minorHAnsi" w:cstheme="minorBidi"/>
            <w:kern w:val="0"/>
            <w:sz w:val="22"/>
            <w:lang w:eastAsia="en-GB"/>
          </w:rPr>
          <w:tab/>
        </w:r>
        <w:r w:rsidR="00715FE0" w:rsidRPr="00831F32">
          <w:rPr>
            <w:rStyle w:val="Hyperlink"/>
          </w:rPr>
          <w:t>Policy for Peppol Participant Identification</w:t>
        </w:r>
        <w:r w:rsidR="00715FE0">
          <w:rPr>
            <w:webHidden/>
          </w:rPr>
          <w:tab/>
        </w:r>
        <w:r w:rsidR="00715FE0">
          <w:rPr>
            <w:webHidden/>
          </w:rPr>
          <w:fldChar w:fldCharType="begin"/>
        </w:r>
        <w:r w:rsidR="00715FE0">
          <w:rPr>
            <w:webHidden/>
          </w:rPr>
          <w:instrText xml:space="preserve"> PAGEREF _Toc54985992 \h </w:instrText>
        </w:r>
        <w:r w:rsidR="00715FE0">
          <w:rPr>
            <w:webHidden/>
          </w:rPr>
        </w:r>
        <w:r w:rsidR="00715FE0">
          <w:rPr>
            <w:webHidden/>
          </w:rPr>
          <w:fldChar w:fldCharType="separate"/>
        </w:r>
        <w:r w:rsidR="00EA0922">
          <w:rPr>
            <w:webHidden/>
          </w:rPr>
          <w:t>14</w:t>
        </w:r>
        <w:r w:rsidR="00715FE0">
          <w:rPr>
            <w:webHidden/>
          </w:rPr>
          <w:fldChar w:fldCharType="end"/>
        </w:r>
      </w:hyperlink>
    </w:p>
    <w:p w14:paraId="6D311445" w14:textId="4ADA3ABF" w:rsidR="00715FE0" w:rsidRDefault="00E21E96">
      <w:pPr>
        <w:pStyle w:val="Verzeichnis2"/>
        <w:rPr>
          <w:rFonts w:asciiTheme="minorHAnsi" w:eastAsiaTheme="minorEastAsia" w:hAnsiTheme="minorHAnsi" w:cstheme="minorBidi"/>
          <w:lang w:eastAsia="en-GB"/>
        </w:rPr>
      </w:pPr>
      <w:hyperlink w:anchor="_Toc54985993" w:history="1">
        <w:r w:rsidR="00715FE0" w:rsidRPr="00831F32">
          <w:rPr>
            <w:rStyle w:val="Hyperlink"/>
          </w:rPr>
          <w:t>3.1</w:t>
        </w:r>
        <w:r w:rsidR="00715FE0">
          <w:rPr>
            <w:rFonts w:asciiTheme="minorHAnsi" w:eastAsiaTheme="minorEastAsia" w:hAnsiTheme="minorHAnsi" w:cstheme="minorBidi"/>
            <w:lang w:eastAsia="en-GB"/>
          </w:rPr>
          <w:tab/>
        </w:r>
        <w:r w:rsidR="00715FE0" w:rsidRPr="00831F32">
          <w:rPr>
            <w:rStyle w:val="Hyperlink"/>
          </w:rPr>
          <w:t>Format</w:t>
        </w:r>
        <w:r w:rsidR="00715FE0">
          <w:rPr>
            <w:webHidden/>
          </w:rPr>
          <w:tab/>
        </w:r>
        <w:r w:rsidR="00715FE0">
          <w:rPr>
            <w:webHidden/>
          </w:rPr>
          <w:fldChar w:fldCharType="begin"/>
        </w:r>
        <w:r w:rsidR="00715FE0">
          <w:rPr>
            <w:webHidden/>
          </w:rPr>
          <w:instrText xml:space="preserve"> PAGEREF _Toc54985993 \h </w:instrText>
        </w:r>
        <w:r w:rsidR="00715FE0">
          <w:rPr>
            <w:webHidden/>
          </w:rPr>
        </w:r>
        <w:r w:rsidR="00715FE0">
          <w:rPr>
            <w:webHidden/>
          </w:rPr>
          <w:fldChar w:fldCharType="separate"/>
        </w:r>
        <w:r w:rsidR="00EA0922">
          <w:rPr>
            <w:webHidden/>
          </w:rPr>
          <w:t>14</w:t>
        </w:r>
        <w:r w:rsidR="00715FE0">
          <w:rPr>
            <w:webHidden/>
          </w:rPr>
          <w:fldChar w:fldCharType="end"/>
        </w:r>
      </w:hyperlink>
    </w:p>
    <w:p w14:paraId="0EE379A1" w14:textId="4926632A" w:rsidR="00715FE0" w:rsidRDefault="00E21E96">
      <w:pPr>
        <w:pStyle w:val="Verzeichnis3"/>
        <w:rPr>
          <w:rFonts w:asciiTheme="minorHAnsi" w:eastAsiaTheme="minorEastAsia" w:hAnsiTheme="minorHAnsi" w:cstheme="minorBidi"/>
          <w:lang w:eastAsia="en-GB"/>
        </w:rPr>
      </w:pPr>
      <w:hyperlink w:anchor="_Toc54985994" w:history="1">
        <w:r w:rsidR="00715FE0" w:rsidRPr="00831F32">
          <w:rPr>
            <w:rStyle w:val="Hyperlink"/>
          </w:rPr>
          <w:t>POLICY 3</w:t>
        </w:r>
        <w:r w:rsidR="00715FE0">
          <w:rPr>
            <w:rFonts w:asciiTheme="minorHAnsi" w:eastAsiaTheme="minorEastAsia" w:hAnsiTheme="minorHAnsi" w:cstheme="minorBidi"/>
            <w:lang w:eastAsia="en-GB"/>
          </w:rPr>
          <w:tab/>
        </w:r>
        <w:r w:rsidR="00715FE0" w:rsidRPr="00831F32">
          <w:rPr>
            <w:rStyle w:val="Hyperlink"/>
          </w:rPr>
          <w:t>Use of ISO15459 structure</w:t>
        </w:r>
        <w:r w:rsidR="00715FE0">
          <w:rPr>
            <w:webHidden/>
          </w:rPr>
          <w:tab/>
        </w:r>
        <w:r w:rsidR="00715FE0">
          <w:rPr>
            <w:webHidden/>
          </w:rPr>
          <w:fldChar w:fldCharType="begin"/>
        </w:r>
        <w:r w:rsidR="00715FE0">
          <w:rPr>
            <w:webHidden/>
          </w:rPr>
          <w:instrText xml:space="preserve"> PAGEREF _Toc54985994 \h </w:instrText>
        </w:r>
        <w:r w:rsidR="00715FE0">
          <w:rPr>
            <w:webHidden/>
          </w:rPr>
        </w:r>
        <w:r w:rsidR="00715FE0">
          <w:rPr>
            <w:webHidden/>
          </w:rPr>
          <w:fldChar w:fldCharType="separate"/>
        </w:r>
        <w:r w:rsidR="00EA0922">
          <w:rPr>
            <w:webHidden/>
          </w:rPr>
          <w:t>14</w:t>
        </w:r>
        <w:r w:rsidR="00715FE0">
          <w:rPr>
            <w:webHidden/>
          </w:rPr>
          <w:fldChar w:fldCharType="end"/>
        </w:r>
      </w:hyperlink>
    </w:p>
    <w:p w14:paraId="47BDD1F5" w14:textId="6CB7D180" w:rsidR="00715FE0" w:rsidRDefault="00E21E96">
      <w:pPr>
        <w:pStyle w:val="Verzeichnis3"/>
        <w:rPr>
          <w:rFonts w:asciiTheme="minorHAnsi" w:eastAsiaTheme="minorEastAsia" w:hAnsiTheme="minorHAnsi" w:cstheme="minorBidi"/>
          <w:lang w:eastAsia="en-GB"/>
        </w:rPr>
      </w:pPr>
      <w:hyperlink w:anchor="_Toc54985995" w:history="1">
        <w:r w:rsidR="00715FE0" w:rsidRPr="00831F32">
          <w:rPr>
            <w:rStyle w:val="Hyperlink"/>
          </w:rPr>
          <w:t>POLICY 4</w:t>
        </w:r>
        <w:r w:rsidR="00715FE0">
          <w:rPr>
            <w:rFonts w:asciiTheme="minorHAnsi" w:eastAsiaTheme="minorEastAsia" w:hAnsiTheme="minorHAnsi" w:cstheme="minorBidi"/>
            <w:lang w:eastAsia="en-GB"/>
          </w:rPr>
          <w:tab/>
        </w:r>
        <w:r w:rsidR="00715FE0" w:rsidRPr="00831F32">
          <w:rPr>
            <w:rStyle w:val="Hyperlink"/>
          </w:rPr>
          <w:t>Coding of Identifier Schemes</w:t>
        </w:r>
        <w:r w:rsidR="00715FE0">
          <w:rPr>
            <w:webHidden/>
          </w:rPr>
          <w:tab/>
        </w:r>
        <w:r w:rsidR="00715FE0">
          <w:rPr>
            <w:webHidden/>
          </w:rPr>
          <w:fldChar w:fldCharType="begin"/>
        </w:r>
        <w:r w:rsidR="00715FE0">
          <w:rPr>
            <w:webHidden/>
          </w:rPr>
          <w:instrText xml:space="preserve"> PAGEREF _Toc54985995 \h </w:instrText>
        </w:r>
        <w:r w:rsidR="00715FE0">
          <w:rPr>
            <w:webHidden/>
          </w:rPr>
        </w:r>
        <w:r w:rsidR="00715FE0">
          <w:rPr>
            <w:webHidden/>
          </w:rPr>
          <w:fldChar w:fldCharType="separate"/>
        </w:r>
        <w:r w:rsidR="00EA0922">
          <w:rPr>
            <w:webHidden/>
          </w:rPr>
          <w:t>14</w:t>
        </w:r>
        <w:r w:rsidR="00715FE0">
          <w:rPr>
            <w:webHidden/>
          </w:rPr>
          <w:fldChar w:fldCharType="end"/>
        </w:r>
      </w:hyperlink>
    </w:p>
    <w:p w14:paraId="582C6DE2" w14:textId="3B3E91BB" w:rsidR="00715FE0" w:rsidRDefault="00E21E96">
      <w:pPr>
        <w:pStyle w:val="Verzeichnis2"/>
        <w:rPr>
          <w:rFonts w:asciiTheme="minorHAnsi" w:eastAsiaTheme="minorEastAsia" w:hAnsiTheme="minorHAnsi" w:cstheme="minorBidi"/>
          <w:lang w:eastAsia="en-GB"/>
        </w:rPr>
      </w:pPr>
      <w:hyperlink w:anchor="_Toc54985996" w:history="1">
        <w:r w:rsidR="00715FE0" w:rsidRPr="00831F32">
          <w:rPr>
            <w:rStyle w:val="Hyperlink"/>
          </w:rPr>
          <w:t>3.2</w:t>
        </w:r>
        <w:r w:rsidR="00715FE0">
          <w:rPr>
            <w:rFonts w:asciiTheme="minorHAnsi" w:eastAsiaTheme="minorEastAsia" w:hAnsiTheme="minorHAnsi" w:cstheme="minorBidi"/>
            <w:lang w:eastAsia="en-GB"/>
          </w:rPr>
          <w:tab/>
        </w:r>
        <w:r w:rsidR="00715FE0" w:rsidRPr="00831F32">
          <w:rPr>
            <w:rStyle w:val="Hyperlink"/>
          </w:rPr>
          <w:t>Identifier Scheme values</w:t>
        </w:r>
        <w:r w:rsidR="00715FE0">
          <w:rPr>
            <w:webHidden/>
          </w:rPr>
          <w:tab/>
        </w:r>
        <w:r w:rsidR="00715FE0">
          <w:rPr>
            <w:webHidden/>
          </w:rPr>
          <w:fldChar w:fldCharType="begin"/>
        </w:r>
        <w:r w:rsidR="00715FE0">
          <w:rPr>
            <w:webHidden/>
          </w:rPr>
          <w:instrText xml:space="preserve"> PAGEREF _Toc54985996 \h </w:instrText>
        </w:r>
        <w:r w:rsidR="00715FE0">
          <w:rPr>
            <w:webHidden/>
          </w:rPr>
        </w:r>
        <w:r w:rsidR="00715FE0">
          <w:rPr>
            <w:webHidden/>
          </w:rPr>
          <w:fldChar w:fldCharType="separate"/>
        </w:r>
        <w:r w:rsidR="00EA0922">
          <w:rPr>
            <w:webHidden/>
          </w:rPr>
          <w:t>14</w:t>
        </w:r>
        <w:r w:rsidR="00715FE0">
          <w:rPr>
            <w:webHidden/>
          </w:rPr>
          <w:fldChar w:fldCharType="end"/>
        </w:r>
      </w:hyperlink>
    </w:p>
    <w:p w14:paraId="3B8054B0" w14:textId="6C421102" w:rsidR="00715FE0" w:rsidRDefault="00E21E96">
      <w:pPr>
        <w:pStyle w:val="Verzeichnis3"/>
        <w:rPr>
          <w:rFonts w:asciiTheme="minorHAnsi" w:eastAsiaTheme="minorEastAsia" w:hAnsiTheme="minorHAnsi" w:cstheme="minorBidi"/>
          <w:lang w:eastAsia="en-GB"/>
        </w:rPr>
      </w:pPr>
      <w:hyperlink w:anchor="_Toc54985997" w:history="1">
        <w:r w:rsidR="00715FE0" w:rsidRPr="00831F32">
          <w:rPr>
            <w:rStyle w:val="Hyperlink"/>
          </w:rPr>
          <w:t>POLICY 5</w:t>
        </w:r>
        <w:r w:rsidR="00715FE0">
          <w:rPr>
            <w:rFonts w:asciiTheme="minorHAnsi" w:eastAsiaTheme="minorEastAsia" w:hAnsiTheme="minorHAnsi" w:cstheme="minorBidi"/>
            <w:lang w:eastAsia="en-GB"/>
          </w:rPr>
          <w:tab/>
        </w:r>
        <w:r w:rsidR="00715FE0" w:rsidRPr="00831F32">
          <w:rPr>
            <w:rStyle w:val="Hyperlink"/>
          </w:rPr>
          <w:t>Participant Identifier Meta Scheme</w:t>
        </w:r>
        <w:r w:rsidR="00715FE0">
          <w:rPr>
            <w:webHidden/>
          </w:rPr>
          <w:tab/>
        </w:r>
        <w:r w:rsidR="00715FE0">
          <w:rPr>
            <w:webHidden/>
          </w:rPr>
          <w:fldChar w:fldCharType="begin"/>
        </w:r>
        <w:r w:rsidR="00715FE0">
          <w:rPr>
            <w:webHidden/>
          </w:rPr>
          <w:instrText xml:space="preserve"> PAGEREF _Toc54985997 \h </w:instrText>
        </w:r>
        <w:r w:rsidR="00715FE0">
          <w:rPr>
            <w:webHidden/>
          </w:rPr>
        </w:r>
        <w:r w:rsidR="00715FE0">
          <w:rPr>
            <w:webHidden/>
          </w:rPr>
          <w:fldChar w:fldCharType="separate"/>
        </w:r>
        <w:r w:rsidR="00EA0922">
          <w:rPr>
            <w:webHidden/>
          </w:rPr>
          <w:t>15</w:t>
        </w:r>
        <w:r w:rsidR="00715FE0">
          <w:rPr>
            <w:webHidden/>
          </w:rPr>
          <w:fldChar w:fldCharType="end"/>
        </w:r>
      </w:hyperlink>
    </w:p>
    <w:p w14:paraId="453DB8C2" w14:textId="5A74F6C4" w:rsidR="00715FE0" w:rsidRDefault="00E21E96">
      <w:pPr>
        <w:pStyle w:val="Verzeichnis3"/>
        <w:rPr>
          <w:rFonts w:asciiTheme="minorHAnsi" w:eastAsiaTheme="minorEastAsia" w:hAnsiTheme="minorHAnsi" w:cstheme="minorBidi"/>
          <w:lang w:eastAsia="en-GB"/>
        </w:rPr>
      </w:pPr>
      <w:hyperlink w:anchor="_Toc54985998" w:history="1">
        <w:r w:rsidR="00715FE0" w:rsidRPr="00831F32">
          <w:rPr>
            <w:rStyle w:val="Hyperlink"/>
          </w:rPr>
          <w:t>POLICY 6</w:t>
        </w:r>
        <w:r w:rsidR="00715FE0">
          <w:rPr>
            <w:rFonts w:asciiTheme="minorHAnsi" w:eastAsiaTheme="minorEastAsia" w:hAnsiTheme="minorHAnsi" w:cstheme="minorBidi"/>
            <w:lang w:eastAsia="en-GB"/>
          </w:rPr>
          <w:tab/>
        </w:r>
        <w:r w:rsidR="00715FE0" w:rsidRPr="00831F32">
          <w:rPr>
            <w:rStyle w:val="Hyperlink"/>
          </w:rPr>
          <w:t>Numeric Codes for Identifier Schemes</w:t>
        </w:r>
        <w:r w:rsidR="00715FE0">
          <w:rPr>
            <w:webHidden/>
          </w:rPr>
          <w:tab/>
        </w:r>
        <w:r w:rsidR="00715FE0">
          <w:rPr>
            <w:webHidden/>
          </w:rPr>
          <w:fldChar w:fldCharType="begin"/>
        </w:r>
        <w:r w:rsidR="00715FE0">
          <w:rPr>
            <w:webHidden/>
          </w:rPr>
          <w:instrText xml:space="preserve"> PAGEREF _Toc54985998 \h </w:instrText>
        </w:r>
        <w:r w:rsidR="00715FE0">
          <w:rPr>
            <w:webHidden/>
          </w:rPr>
        </w:r>
        <w:r w:rsidR="00715FE0">
          <w:rPr>
            <w:webHidden/>
          </w:rPr>
          <w:fldChar w:fldCharType="separate"/>
        </w:r>
        <w:r w:rsidR="00EA0922">
          <w:rPr>
            <w:webHidden/>
          </w:rPr>
          <w:t>15</w:t>
        </w:r>
        <w:r w:rsidR="00715FE0">
          <w:rPr>
            <w:webHidden/>
          </w:rPr>
          <w:fldChar w:fldCharType="end"/>
        </w:r>
      </w:hyperlink>
    </w:p>
    <w:p w14:paraId="6BE5B5A1" w14:textId="28BB623F" w:rsidR="00715FE0" w:rsidRDefault="00E21E96">
      <w:pPr>
        <w:pStyle w:val="Verzeichnis3"/>
        <w:rPr>
          <w:rFonts w:asciiTheme="minorHAnsi" w:eastAsiaTheme="minorEastAsia" w:hAnsiTheme="minorHAnsi" w:cstheme="minorBidi"/>
          <w:lang w:eastAsia="en-GB"/>
        </w:rPr>
      </w:pPr>
      <w:hyperlink w:anchor="_Toc54985999" w:history="1">
        <w:r w:rsidR="00715FE0" w:rsidRPr="00831F32">
          <w:rPr>
            <w:rStyle w:val="Hyperlink"/>
          </w:rPr>
          <w:t>POLICY 7</w:t>
        </w:r>
        <w:r w:rsidR="00715FE0">
          <w:rPr>
            <w:rFonts w:asciiTheme="minorHAnsi" w:eastAsiaTheme="minorEastAsia" w:hAnsiTheme="minorHAnsi" w:cstheme="minorBidi"/>
            <w:lang w:eastAsia="en-GB"/>
          </w:rPr>
          <w:tab/>
        </w:r>
        <w:r w:rsidR="00715FE0" w:rsidRPr="00831F32">
          <w:rPr>
            <w:rStyle w:val="Hyperlink"/>
          </w:rPr>
          <w:t>Participant Identifiers for DNS</w:t>
        </w:r>
        <w:r w:rsidR="00715FE0">
          <w:rPr>
            <w:webHidden/>
          </w:rPr>
          <w:tab/>
        </w:r>
        <w:r w:rsidR="00715FE0">
          <w:rPr>
            <w:webHidden/>
          </w:rPr>
          <w:fldChar w:fldCharType="begin"/>
        </w:r>
        <w:r w:rsidR="00715FE0">
          <w:rPr>
            <w:webHidden/>
          </w:rPr>
          <w:instrText xml:space="preserve"> PAGEREF _Toc54985999 \h </w:instrText>
        </w:r>
        <w:r w:rsidR="00715FE0">
          <w:rPr>
            <w:webHidden/>
          </w:rPr>
        </w:r>
        <w:r w:rsidR="00715FE0">
          <w:rPr>
            <w:webHidden/>
          </w:rPr>
          <w:fldChar w:fldCharType="separate"/>
        </w:r>
        <w:r w:rsidR="00EA0922">
          <w:rPr>
            <w:webHidden/>
          </w:rPr>
          <w:t>15</w:t>
        </w:r>
        <w:r w:rsidR="00715FE0">
          <w:rPr>
            <w:webHidden/>
          </w:rPr>
          <w:fldChar w:fldCharType="end"/>
        </w:r>
      </w:hyperlink>
    </w:p>
    <w:p w14:paraId="6675C272" w14:textId="2DF49091" w:rsidR="00715FE0" w:rsidRDefault="00E21E96">
      <w:pPr>
        <w:pStyle w:val="Verzeichnis3"/>
        <w:rPr>
          <w:rFonts w:asciiTheme="minorHAnsi" w:eastAsiaTheme="minorEastAsia" w:hAnsiTheme="minorHAnsi" w:cstheme="minorBidi"/>
          <w:lang w:eastAsia="en-GB"/>
        </w:rPr>
      </w:pPr>
      <w:hyperlink w:anchor="_Toc54986000" w:history="1">
        <w:r w:rsidR="00715FE0" w:rsidRPr="00831F32">
          <w:rPr>
            <w:rStyle w:val="Hyperlink"/>
          </w:rPr>
          <w:t>POLICY 8</w:t>
        </w:r>
        <w:r w:rsidR="00715FE0">
          <w:rPr>
            <w:rFonts w:asciiTheme="minorHAnsi" w:eastAsiaTheme="minorEastAsia" w:hAnsiTheme="minorHAnsi" w:cstheme="minorBidi"/>
            <w:lang w:eastAsia="en-GB"/>
          </w:rPr>
          <w:tab/>
        </w:r>
        <w:r w:rsidR="00715FE0" w:rsidRPr="00831F32">
          <w:rPr>
            <w:rStyle w:val="Hyperlink"/>
          </w:rPr>
          <w:t>XML attributes for Participant Identifiers in SMP responses</w:t>
        </w:r>
        <w:r w:rsidR="00715FE0">
          <w:rPr>
            <w:webHidden/>
          </w:rPr>
          <w:tab/>
        </w:r>
        <w:r w:rsidR="00715FE0">
          <w:rPr>
            <w:webHidden/>
          </w:rPr>
          <w:fldChar w:fldCharType="begin"/>
        </w:r>
        <w:r w:rsidR="00715FE0">
          <w:rPr>
            <w:webHidden/>
          </w:rPr>
          <w:instrText xml:space="preserve"> PAGEREF _Toc54986000 \h </w:instrText>
        </w:r>
        <w:r w:rsidR="00715FE0">
          <w:rPr>
            <w:webHidden/>
          </w:rPr>
        </w:r>
        <w:r w:rsidR="00715FE0">
          <w:rPr>
            <w:webHidden/>
          </w:rPr>
          <w:fldChar w:fldCharType="separate"/>
        </w:r>
        <w:r w:rsidR="00EA0922">
          <w:rPr>
            <w:webHidden/>
          </w:rPr>
          <w:t>16</w:t>
        </w:r>
        <w:r w:rsidR="00715FE0">
          <w:rPr>
            <w:webHidden/>
          </w:rPr>
          <w:fldChar w:fldCharType="end"/>
        </w:r>
      </w:hyperlink>
    </w:p>
    <w:p w14:paraId="4EB16B0D" w14:textId="2BD80F4F" w:rsidR="00715FE0" w:rsidRDefault="00E21E96">
      <w:pPr>
        <w:pStyle w:val="Verzeichnis3"/>
        <w:rPr>
          <w:rFonts w:asciiTheme="minorHAnsi" w:eastAsiaTheme="minorEastAsia" w:hAnsiTheme="minorHAnsi" w:cstheme="minorBidi"/>
          <w:lang w:eastAsia="en-GB"/>
        </w:rPr>
      </w:pPr>
      <w:hyperlink w:anchor="_Toc54986001" w:history="1">
        <w:r w:rsidR="00715FE0" w:rsidRPr="00831F32">
          <w:rPr>
            <w:rStyle w:val="Hyperlink"/>
          </w:rPr>
          <w:t>POLICY 9</w:t>
        </w:r>
        <w:r w:rsidR="00715FE0">
          <w:rPr>
            <w:rFonts w:asciiTheme="minorHAnsi" w:eastAsiaTheme="minorEastAsia" w:hAnsiTheme="minorHAnsi" w:cstheme="minorBidi"/>
            <w:lang w:eastAsia="en-GB"/>
          </w:rPr>
          <w:tab/>
        </w:r>
        <w:r w:rsidR="00715FE0" w:rsidRPr="00831F32">
          <w:rPr>
            <w:rStyle w:val="Hyperlink"/>
          </w:rPr>
          <w:t xml:space="preserve">XML attributes for </w:t>
        </w:r>
        <w:r w:rsidR="00715FE0" w:rsidRPr="00831F32">
          <w:rPr>
            <w:rStyle w:val="Hyperlink"/>
            <w:lang w:val="en-US"/>
          </w:rPr>
          <w:t>Electronic Address IDs (</w:t>
        </w:r>
        <w:r w:rsidR="00715FE0" w:rsidRPr="00831F32">
          <w:rPr>
            <w:rStyle w:val="Hyperlink"/>
          </w:rPr>
          <w:t>EndpointID) in UBL documents</w:t>
        </w:r>
        <w:r w:rsidR="00715FE0">
          <w:rPr>
            <w:webHidden/>
          </w:rPr>
          <w:tab/>
        </w:r>
        <w:r w:rsidR="00715FE0">
          <w:rPr>
            <w:webHidden/>
          </w:rPr>
          <w:fldChar w:fldCharType="begin"/>
        </w:r>
        <w:r w:rsidR="00715FE0">
          <w:rPr>
            <w:webHidden/>
          </w:rPr>
          <w:instrText xml:space="preserve"> PAGEREF _Toc54986001 \h </w:instrText>
        </w:r>
        <w:r w:rsidR="00715FE0">
          <w:rPr>
            <w:webHidden/>
          </w:rPr>
        </w:r>
        <w:r w:rsidR="00715FE0">
          <w:rPr>
            <w:webHidden/>
          </w:rPr>
          <w:fldChar w:fldCharType="separate"/>
        </w:r>
        <w:r w:rsidR="00EA0922">
          <w:rPr>
            <w:webHidden/>
          </w:rPr>
          <w:t>17</w:t>
        </w:r>
        <w:r w:rsidR="00715FE0">
          <w:rPr>
            <w:webHidden/>
          </w:rPr>
          <w:fldChar w:fldCharType="end"/>
        </w:r>
      </w:hyperlink>
    </w:p>
    <w:p w14:paraId="0764B12F" w14:textId="3A66BF8B" w:rsidR="00715FE0" w:rsidRDefault="00E21E96">
      <w:pPr>
        <w:pStyle w:val="Verzeichnis3"/>
        <w:rPr>
          <w:rFonts w:asciiTheme="minorHAnsi" w:eastAsiaTheme="minorEastAsia" w:hAnsiTheme="minorHAnsi" w:cstheme="minorBidi"/>
          <w:lang w:eastAsia="en-GB"/>
        </w:rPr>
      </w:pPr>
      <w:hyperlink w:anchor="_Toc54986002" w:history="1">
        <w:r w:rsidR="00715FE0" w:rsidRPr="00831F32">
          <w:rPr>
            <w:rStyle w:val="Hyperlink"/>
          </w:rPr>
          <w:t>POLICY 10</w:t>
        </w:r>
        <w:r w:rsidR="00715FE0">
          <w:rPr>
            <w:rFonts w:asciiTheme="minorHAnsi" w:eastAsiaTheme="minorEastAsia" w:hAnsiTheme="minorHAnsi" w:cstheme="minorBidi"/>
            <w:lang w:eastAsia="en-GB"/>
          </w:rPr>
          <w:tab/>
        </w:r>
        <w:r w:rsidR="00715FE0" w:rsidRPr="00831F32">
          <w:rPr>
            <w:rStyle w:val="Hyperlink"/>
          </w:rPr>
          <w:t>XML attributes for Electronic address IDs in CII documents</w:t>
        </w:r>
        <w:r w:rsidR="00715FE0">
          <w:rPr>
            <w:webHidden/>
          </w:rPr>
          <w:tab/>
        </w:r>
        <w:r w:rsidR="00715FE0">
          <w:rPr>
            <w:webHidden/>
          </w:rPr>
          <w:fldChar w:fldCharType="begin"/>
        </w:r>
        <w:r w:rsidR="00715FE0">
          <w:rPr>
            <w:webHidden/>
          </w:rPr>
          <w:instrText xml:space="preserve"> PAGEREF _Toc54986002 \h </w:instrText>
        </w:r>
        <w:r w:rsidR="00715FE0">
          <w:rPr>
            <w:webHidden/>
          </w:rPr>
        </w:r>
        <w:r w:rsidR="00715FE0">
          <w:rPr>
            <w:webHidden/>
          </w:rPr>
          <w:fldChar w:fldCharType="separate"/>
        </w:r>
        <w:r w:rsidR="00EA0922">
          <w:rPr>
            <w:webHidden/>
          </w:rPr>
          <w:t>17</w:t>
        </w:r>
        <w:r w:rsidR="00715FE0">
          <w:rPr>
            <w:webHidden/>
          </w:rPr>
          <w:fldChar w:fldCharType="end"/>
        </w:r>
      </w:hyperlink>
    </w:p>
    <w:p w14:paraId="3CEE1B49" w14:textId="2BD90D6D" w:rsidR="00715FE0" w:rsidRDefault="00E21E96">
      <w:pPr>
        <w:pStyle w:val="Verzeichnis3"/>
        <w:rPr>
          <w:rFonts w:asciiTheme="minorHAnsi" w:eastAsiaTheme="minorEastAsia" w:hAnsiTheme="minorHAnsi" w:cstheme="minorBidi"/>
          <w:lang w:eastAsia="en-GB"/>
        </w:rPr>
      </w:pPr>
      <w:hyperlink w:anchor="_Toc54986003" w:history="1">
        <w:r w:rsidR="00715FE0" w:rsidRPr="00831F32">
          <w:rPr>
            <w:rStyle w:val="Hyperlink"/>
          </w:rPr>
          <w:t>POLICY 11</w:t>
        </w:r>
        <w:r w:rsidR="00715FE0">
          <w:rPr>
            <w:rFonts w:asciiTheme="minorHAnsi" w:eastAsiaTheme="minorEastAsia" w:hAnsiTheme="minorHAnsi" w:cstheme="minorBidi"/>
            <w:lang w:eastAsia="en-GB"/>
          </w:rPr>
          <w:tab/>
        </w:r>
        <w:r w:rsidR="00715FE0" w:rsidRPr="00831F32">
          <w:rPr>
            <w:rStyle w:val="Hyperlink"/>
          </w:rPr>
          <w:t>XML attributes for Participant Identifiers in the Envelope (SBDH)</w:t>
        </w:r>
        <w:r w:rsidR="00715FE0">
          <w:rPr>
            <w:webHidden/>
          </w:rPr>
          <w:tab/>
        </w:r>
        <w:r w:rsidR="00715FE0">
          <w:rPr>
            <w:webHidden/>
          </w:rPr>
          <w:fldChar w:fldCharType="begin"/>
        </w:r>
        <w:r w:rsidR="00715FE0">
          <w:rPr>
            <w:webHidden/>
          </w:rPr>
          <w:instrText xml:space="preserve"> PAGEREF _Toc54986003 \h </w:instrText>
        </w:r>
        <w:r w:rsidR="00715FE0">
          <w:rPr>
            <w:webHidden/>
          </w:rPr>
        </w:r>
        <w:r w:rsidR="00715FE0">
          <w:rPr>
            <w:webHidden/>
          </w:rPr>
          <w:fldChar w:fldCharType="separate"/>
        </w:r>
        <w:r w:rsidR="00EA0922">
          <w:rPr>
            <w:webHidden/>
          </w:rPr>
          <w:t>17</w:t>
        </w:r>
        <w:r w:rsidR="00715FE0">
          <w:rPr>
            <w:webHidden/>
          </w:rPr>
          <w:fldChar w:fldCharType="end"/>
        </w:r>
      </w:hyperlink>
    </w:p>
    <w:p w14:paraId="159996BD" w14:textId="261DE03C" w:rsidR="00715FE0" w:rsidRDefault="00E21E96">
      <w:pPr>
        <w:pStyle w:val="Verzeichnis1"/>
        <w:rPr>
          <w:rFonts w:asciiTheme="minorHAnsi" w:eastAsiaTheme="minorEastAsia" w:hAnsiTheme="minorHAnsi" w:cstheme="minorBidi"/>
          <w:kern w:val="0"/>
          <w:sz w:val="22"/>
          <w:lang w:eastAsia="en-GB"/>
        </w:rPr>
      </w:pPr>
      <w:hyperlink w:anchor="_Toc54986004" w:history="1">
        <w:r w:rsidR="00715FE0" w:rsidRPr="00831F32">
          <w:rPr>
            <w:rStyle w:val="Hyperlink"/>
          </w:rPr>
          <w:t>4</w:t>
        </w:r>
        <w:r w:rsidR="00715FE0">
          <w:rPr>
            <w:rFonts w:asciiTheme="minorHAnsi" w:eastAsiaTheme="minorEastAsia" w:hAnsiTheme="minorHAnsi" w:cstheme="minorBidi"/>
            <w:kern w:val="0"/>
            <w:sz w:val="22"/>
            <w:lang w:eastAsia="en-GB"/>
          </w:rPr>
          <w:tab/>
        </w:r>
        <w:r w:rsidR="00715FE0" w:rsidRPr="00831F32">
          <w:rPr>
            <w:rStyle w:val="Hyperlink"/>
          </w:rPr>
          <w:t>Policy for Peppol Party Identification</w:t>
        </w:r>
        <w:r w:rsidR="00715FE0">
          <w:rPr>
            <w:webHidden/>
          </w:rPr>
          <w:tab/>
        </w:r>
        <w:r w:rsidR="00715FE0">
          <w:rPr>
            <w:webHidden/>
          </w:rPr>
          <w:fldChar w:fldCharType="begin"/>
        </w:r>
        <w:r w:rsidR="00715FE0">
          <w:rPr>
            <w:webHidden/>
          </w:rPr>
          <w:instrText xml:space="preserve"> PAGEREF _Toc54986004 \h </w:instrText>
        </w:r>
        <w:r w:rsidR="00715FE0">
          <w:rPr>
            <w:webHidden/>
          </w:rPr>
        </w:r>
        <w:r w:rsidR="00715FE0">
          <w:rPr>
            <w:webHidden/>
          </w:rPr>
          <w:fldChar w:fldCharType="separate"/>
        </w:r>
        <w:r w:rsidR="00EA0922">
          <w:rPr>
            <w:webHidden/>
          </w:rPr>
          <w:t>19</w:t>
        </w:r>
        <w:r w:rsidR="00715FE0">
          <w:rPr>
            <w:webHidden/>
          </w:rPr>
          <w:fldChar w:fldCharType="end"/>
        </w:r>
      </w:hyperlink>
    </w:p>
    <w:p w14:paraId="4038949F" w14:textId="4AB0E6F3" w:rsidR="00715FE0" w:rsidRDefault="00E21E96">
      <w:pPr>
        <w:pStyle w:val="Verzeichnis2"/>
        <w:rPr>
          <w:rFonts w:asciiTheme="minorHAnsi" w:eastAsiaTheme="minorEastAsia" w:hAnsiTheme="minorHAnsi" w:cstheme="minorBidi"/>
          <w:lang w:eastAsia="en-GB"/>
        </w:rPr>
      </w:pPr>
      <w:hyperlink w:anchor="_Toc54986005" w:history="1">
        <w:r w:rsidR="00715FE0" w:rsidRPr="00831F32">
          <w:rPr>
            <w:rStyle w:val="Hyperlink"/>
          </w:rPr>
          <w:t>4.1</w:t>
        </w:r>
        <w:r w:rsidR="00715FE0">
          <w:rPr>
            <w:rFonts w:asciiTheme="minorHAnsi" w:eastAsiaTheme="minorEastAsia" w:hAnsiTheme="minorHAnsi" w:cstheme="minorBidi"/>
            <w:lang w:eastAsia="en-GB"/>
          </w:rPr>
          <w:tab/>
        </w:r>
        <w:r w:rsidR="00715FE0" w:rsidRPr="00831F32">
          <w:rPr>
            <w:rStyle w:val="Hyperlink"/>
          </w:rPr>
          <w:t>Format</w:t>
        </w:r>
        <w:r w:rsidR="00715FE0">
          <w:rPr>
            <w:webHidden/>
          </w:rPr>
          <w:tab/>
        </w:r>
        <w:r w:rsidR="00715FE0">
          <w:rPr>
            <w:webHidden/>
          </w:rPr>
          <w:fldChar w:fldCharType="begin"/>
        </w:r>
        <w:r w:rsidR="00715FE0">
          <w:rPr>
            <w:webHidden/>
          </w:rPr>
          <w:instrText xml:space="preserve"> PAGEREF _Toc54986005 \h </w:instrText>
        </w:r>
        <w:r w:rsidR="00715FE0">
          <w:rPr>
            <w:webHidden/>
          </w:rPr>
        </w:r>
        <w:r w:rsidR="00715FE0">
          <w:rPr>
            <w:webHidden/>
          </w:rPr>
          <w:fldChar w:fldCharType="separate"/>
        </w:r>
        <w:r w:rsidR="00EA0922">
          <w:rPr>
            <w:webHidden/>
          </w:rPr>
          <w:t>19</w:t>
        </w:r>
        <w:r w:rsidR="00715FE0">
          <w:rPr>
            <w:webHidden/>
          </w:rPr>
          <w:fldChar w:fldCharType="end"/>
        </w:r>
      </w:hyperlink>
    </w:p>
    <w:p w14:paraId="55AA67EF" w14:textId="23D3054E" w:rsidR="00715FE0" w:rsidRDefault="00E21E96">
      <w:pPr>
        <w:pStyle w:val="Verzeichnis3"/>
        <w:rPr>
          <w:rFonts w:asciiTheme="minorHAnsi" w:eastAsiaTheme="minorEastAsia" w:hAnsiTheme="minorHAnsi" w:cstheme="minorBidi"/>
          <w:lang w:eastAsia="en-GB"/>
        </w:rPr>
      </w:pPr>
      <w:hyperlink w:anchor="_Toc54986006" w:history="1">
        <w:r w:rsidR="00715FE0" w:rsidRPr="00831F32">
          <w:rPr>
            <w:rStyle w:val="Hyperlink"/>
          </w:rPr>
          <w:t>POLICY 12</w:t>
        </w:r>
        <w:r w:rsidR="00715FE0">
          <w:rPr>
            <w:rFonts w:asciiTheme="minorHAnsi" w:eastAsiaTheme="minorEastAsia" w:hAnsiTheme="minorHAnsi" w:cstheme="minorBidi"/>
            <w:lang w:eastAsia="en-GB"/>
          </w:rPr>
          <w:tab/>
        </w:r>
        <w:r w:rsidR="00715FE0" w:rsidRPr="00831F32">
          <w:rPr>
            <w:rStyle w:val="Hyperlink"/>
          </w:rPr>
          <w:t>Use of ISO15459 structure</w:t>
        </w:r>
        <w:r w:rsidR="00715FE0">
          <w:rPr>
            <w:webHidden/>
          </w:rPr>
          <w:tab/>
        </w:r>
        <w:r w:rsidR="00715FE0">
          <w:rPr>
            <w:webHidden/>
          </w:rPr>
          <w:fldChar w:fldCharType="begin"/>
        </w:r>
        <w:r w:rsidR="00715FE0">
          <w:rPr>
            <w:webHidden/>
          </w:rPr>
          <w:instrText xml:space="preserve"> PAGEREF _Toc54986006 \h </w:instrText>
        </w:r>
        <w:r w:rsidR="00715FE0">
          <w:rPr>
            <w:webHidden/>
          </w:rPr>
        </w:r>
        <w:r w:rsidR="00715FE0">
          <w:rPr>
            <w:webHidden/>
          </w:rPr>
          <w:fldChar w:fldCharType="separate"/>
        </w:r>
        <w:r w:rsidR="00EA0922">
          <w:rPr>
            <w:webHidden/>
          </w:rPr>
          <w:t>19</w:t>
        </w:r>
        <w:r w:rsidR="00715FE0">
          <w:rPr>
            <w:webHidden/>
          </w:rPr>
          <w:fldChar w:fldCharType="end"/>
        </w:r>
      </w:hyperlink>
    </w:p>
    <w:p w14:paraId="0562234E" w14:textId="3D4FA53A" w:rsidR="00715FE0" w:rsidRDefault="00E21E96">
      <w:pPr>
        <w:pStyle w:val="Verzeichnis3"/>
        <w:rPr>
          <w:rFonts w:asciiTheme="minorHAnsi" w:eastAsiaTheme="minorEastAsia" w:hAnsiTheme="minorHAnsi" w:cstheme="minorBidi"/>
          <w:lang w:eastAsia="en-GB"/>
        </w:rPr>
      </w:pPr>
      <w:hyperlink w:anchor="_Toc54986007" w:history="1">
        <w:r w:rsidR="00715FE0" w:rsidRPr="00831F32">
          <w:rPr>
            <w:rStyle w:val="Hyperlink"/>
          </w:rPr>
          <w:t>POLICY 13</w:t>
        </w:r>
        <w:r w:rsidR="00715FE0">
          <w:rPr>
            <w:rFonts w:asciiTheme="minorHAnsi" w:eastAsiaTheme="minorEastAsia" w:hAnsiTheme="minorHAnsi" w:cstheme="minorBidi"/>
            <w:lang w:eastAsia="en-GB"/>
          </w:rPr>
          <w:tab/>
        </w:r>
        <w:r w:rsidR="00715FE0" w:rsidRPr="00831F32">
          <w:rPr>
            <w:rStyle w:val="Hyperlink"/>
          </w:rPr>
          <w:t>Coding of Identifier Schemes</w:t>
        </w:r>
        <w:r w:rsidR="00715FE0">
          <w:rPr>
            <w:webHidden/>
          </w:rPr>
          <w:tab/>
        </w:r>
        <w:r w:rsidR="00715FE0">
          <w:rPr>
            <w:webHidden/>
          </w:rPr>
          <w:fldChar w:fldCharType="begin"/>
        </w:r>
        <w:r w:rsidR="00715FE0">
          <w:rPr>
            <w:webHidden/>
          </w:rPr>
          <w:instrText xml:space="preserve"> PAGEREF _Toc54986007 \h </w:instrText>
        </w:r>
        <w:r w:rsidR="00715FE0">
          <w:rPr>
            <w:webHidden/>
          </w:rPr>
        </w:r>
        <w:r w:rsidR="00715FE0">
          <w:rPr>
            <w:webHidden/>
          </w:rPr>
          <w:fldChar w:fldCharType="separate"/>
        </w:r>
        <w:r w:rsidR="00EA0922">
          <w:rPr>
            <w:webHidden/>
          </w:rPr>
          <w:t>19</w:t>
        </w:r>
        <w:r w:rsidR="00715FE0">
          <w:rPr>
            <w:webHidden/>
          </w:rPr>
          <w:fldChar w:fldCharType="end"/>
        </w:r>
      </w:hyperlink>
    </w:p>
    <w:p w14:paraId="20F114E5" w14:textId="30B2E17D" w:rsidR="00715FE0" w:rsidRDefault="00E21E96">
      <w:pPr>
        <w:pStyle w:val="Verzeichnis3"/>
        <w:rPr>
          <w:rFonts w:asciiTheme="minorHAnsi" w:eastAsiaTheme="minorEastAsia" w:hAnsiTheme="minorHAnsi" w:cstheme="minorBidi"/>
          <w:lang w:eastAsia="en-GB"/>
        </w:rPr>
      </w:pPr>
      <w:hyperlink w:anchor="_Toc54986008" w:history="1">
        <w:r w:rsidR="00715FE0" w:rsidRPr="00831F32">
          <w:rPr>
            <w:rStyle w:val="Hyperlink"/>
          </w:rPr>
          <w:t>POLICY 14</w:t>
        </w:r>
        <w:r w:rsidR="00715FE0">
          <w:rPr>
            <w:rFonts w:asciiTheme="minorHAnsi" w:eastAsiaTheme="minorEastAsia" w:hAnsiTheme="minorHAnsi" w:cstheme="minorBidi"/>
            <w:lang w:eastAsia="en-GB"/>
          </w:rPr>
          <w:tab/>
        </w:r>
        <w:r w:rsidR="00715FE0" w:rsidRPr="00831F32">
          <w:rPr>
            <w:rStyle w:val="Hyperlink"/>
          </w:rPr>
          <w:t>XML attributes for Party Identifiers in UBL documents</w:t>
        </w:r>
        <w:r w:rsidR="00715FE0">
          <w:rPr>
            <w:webHidden/>
          </w:rPr>
          <w:tab/>
        </w:r>
        <w:r w:rsidR="00715FE0">
          <w:rPr>
            <w:webHidden/>
          </w:rPr>
          <w:fldChar w:fldCharType="begin"/>
        </w:r>
        <w:r w:rsidR="00715FE0">
          <w:rPr>
            <w:webHidden/>
          </w:rPr>
          <w:instrText xml:space="preserve"> PAGEREF _Toc54986008 \h </w:instrText>
        </w:r>
        <w:r w:rsidR="00715FE0">
          <w:rPr>
            <w:webHidden/>
          </w:rPr>
        </w:r>
        <w:r w:rsidR="00715FE0">
          <w:rPr>
            <w:webHidden/>
          </w:rPr>
          <w:fldChar w:fldCharType="separate"/>
        </w:r>
        <w:r w:rsidR="00EA0922">
          <w:rPr>
            <w:webHidden/>
          </w:rPr>
          <w:t>19</w:t>
        </w:r>
        <w:r w:rsidR="00715FE0">
          <w:rPr>
            <w:webHidden/>
          </w:rPr>
          <w:fldChar w:fldCharType="end"/>
        </w:r>
      </w:hyperlink>
    </w:p>
    <w:p w14:paraId="5BBB5973" w14:textId="503A7E8F" w:rsidR="00715FE0" w:rsidRDefault="00E21E96">
      <w:pPr>
        <w:pStyle w:val="Verzeichnis3"/>
        <w:rPr>
          <w:rFonts w:asciiTheme="minorHAnsi" w:eastAsiaTheme="minorEastAsia" w:hAnsiTheme="minorHAnsi" w:cstheme="minorBidi"/>
          <w:lang w:eastAsia="en-GB"/>
        </w:rPr>
      </w:pPr>
      <w:hyperlink w:anchor="_Toc54986009" w:history="1">
        <w:r w:rsidR="00715FE0" w:rsidRPr="00831F32">
          <w:rPr>
            <w:rStyle w:val="Hyperlink"/>
          </w:rPr>
          <w:t>POLICY 15</w:t>
        </w:r>
        <w:r w:rsidR="00715FE0">
          <w:rPr>
            <w:rFonts w:asciiTheme="minorHAnsi" w:eastAsiaTheme="minorEastAsia" w:hAnsiTheme="minorHAnsi" w:cstheme="minorBidi"/>
            <w:lang w:eastAsia="en-GB"/>
          </w:rPr>
          <w:tab/>
        </w:r>
        <w:r w:rsidR="00715FE0" w:rsidRPr="00831F32">
          <w:rPr>
            <w:rStyle w:val="Hyperlink"/>
          </w:rPr>
          <w:t>XML attributes for Party Identifiers in CII documents</w:t>
        </w:r>
        <w:r w:rsidR="00715FE0">
          <w:rPr>
            <w:webHidden/>
          </w:rPr>
          <w:tab/>
        </w:r>
        <w:r w:rsidR="00715FE0">
          <w:rPr>
            <w:webHidden/>
          </w:rPr>
          <w:fldChar w:fldCharType="begin"/>
        </w:r>
        <w:r w:rsidR="00715FE0">
          <w:rPr>
            <w:webHidden/>
          </w:rPr>
          <w:instrText xml:space="preserve"> PAGEREF _Toc54986009 \h </w:instrText>
        </w:r>
        <w:r w:rsidR="00715FE0">
          <w:rPr>
            <w:webHidden/>
          </w:rPr>
        </w:r>
        <w:r w:rsidR="00715FE0">
          <w:rPr>
            <w:webHidden/>
          </w:rPr>
          <w:fldChar w:fldCharType="separate"/>
        </w:r>
        <w:r w:rsidR="00EA0922">
          <w:rPr>
            <w:webHidden/>
          </w:rPr>
          <w:t>20</w:t>
        </w:r>
        <w:r w:rsidR="00715FE0">
          <w:rPr>
            <w:webHidden/>
          </w:rPr>
          <w:fldChar w:fldCharType="end"/>
        </w:r>
      </w:hyperlink>
    </w:p>
    <w:p w14:paraId="3D637CD3" w14:textId="3FE1A49A" w:rsidR="00715FE0" w:rsidRDefault="00E21E96">
      <w:pPr>
        <w:pStyle w:val="Verzeichnis1"/>
        <w:rPr>
          <w:rFonts w:asciiTheme="minorHAnsi" w:eastAsiaTheme="minorEastAsia" w:hAnsiTheme="minorHAnsi" w:cstheme="minorBidi"/>
          <w:kern w:val="0"/>
          <w:sz w:val="22"/>
          <w:lang w:eastAsia="en-GB"/>
        </w:rPr>
      </w:pPr>
      <w:hyperlink w:anchor="_Toc54986010" w:history="1">
        <w:r w:rsidR="00715FE0" w:rsidRPr="00831F32">
          <w:rPr>
            <w:rStyle w:val="Hyperlink"/>
          </w:rPr>
          <w:t>5</w:t>
        </w:r>
        <w:r w:rsidR="00715FE0">
          <w:rPr>
            <w:rFonts w:asciiTheme="minorHAnsi" w:eastAsiaTheme="minorEastAsia" w:hAnsiTheme="minorHAnsi" w:cstheme="minorBidi"/>
            <w:kern w:val="0"/>
            <w:sz w:val="22"/>
            <w:lang w:eastAsia="en-GB"/>
          </w:rPr>
          <w:tab/>
        </w:r>
        <w:r w:rsidR="00715FE0" w:rsidRPr="00831F32">
          <w:rPr>
            <w:rStyle w:val="Hyperlink"/>
          </w:rPr>
          <w:t>Policies on Identifying Document Types supported by Peppol</w:t>
        </w:r>
        <w:r w:rsidR="00715FE0">
          <w:rPr>
            <w:webHidden/>
          </w:rPr>
          <w:tab/>
        </w:r>
        <w:r w:rsidR="00715FE0">
          <w:rPr>
            <w:webHidden/>
          </w:rPr>
          <w:fldChar w:fldCharType="begin"/>
        </w:r>
        <w:r w:rsidR="00715FE0">
          <w:rPr>
            <w:webHidden/>
          </w:rPr>
          <w:instrText xml:space="preserve"> PAGEREF _Toc54986010 \h </w:instrText>
        </w:r>
        <w:r w:rsidR="00715FE0">
          <w:rPr>
            <w:webHidden/>
          </w:rPr>
        </w:r>
        <w:r w:rsidR="00715FE0">
          <w:rPr>
            <w:webHidden/>
          </w:rPr>
          <w:fldChar w:fldCharType="separate"/>
        </w:r>
        <w:r w:rsidR="00EA0922">
          <w:rPr>
            <w:webHidden/>
          </w:rPr>
          <w:t>21</w:t>
        </w:r>
        <w:r w:rsidR="00715FE0">
          <w:rPr>
            <w:webHidden/>
          </w:rPr>
          <w:fldChar w:fldCharType="end"/>
        </w:r>
      </w:hyperlink>
    </w:p>
    <w:p w14:paraId="2CB881A5" w14:textId="660E546A" w:rsidR="00715FE0" w:rsidRDefault="00E21E96">
      <w:pPr>
        <w:pStyle w:val="Verzeichnis2"/>
        <w:rPr>
          <w:rFonts w:asciiTheme="minorHAnsi" w:eastAsiaTheme="minorEastAsia" w:hAnsiTheme="minorHAnsi" w:cstheme="minorBidi"/>
          <w:lang w:eastAsia="en-GB"/>
        </w:rPr>
      </w:pPr>
      <w:hyperlink w:anchor="_Toc54986011" w:history="1">
        <w:r w:rsidR="00715FE0" w:rsidRPr="00831F32">
          <w:rPr>
            <w:rStyle w:val="Hyperlink"/>
          </w:rPr>
          <w:t>5.1</w:t>
        </w:r>
        <w:r w:rsidR="00715FE0">
          <w:rPr>
            <w:rFonts w:asciiTheme="minorHAnsi" w:eastAsiaTheme="minorEastAsia" w:hAnsiTheme="minorHAnsi" w:cstheme="minorBidi"/>
            <w:lang w:eastAsia="en-GB"/>
          </w:rPr>
          <w:tab/>
        </w:r>
        <w:r w:rsidR="00715FE0" w:rsidRPr="00831F32">
          <w:rPr>
            <w:rStyle w:val="Hyperlink"/>
          </w:rPr>
          <w:t>Document Type Identifier Schemes</w:t>
        </w:r>
        <w:r w:rsidR="00715FE0">
          <w:rPr>
            <w:webHidden/>
          </w:rPr>
          <w:tab/>
        </w:r>
        <w:r w:rsidR="00715FE0">
          <w:rPr>
            <w:webHidden/>
          </w:rPr>
          <w:fldChar w:fldCharType="begin"/>
        </w:r>
        <w:r w:rsidR="00715FE0">
          <w:rPr>
            <w:webHidden/>
          </w:rPr>
          <w:instrText xml:space="preserve"> PAGEREF _Toc54986011 \h </w:instrText>
        </w:r>
        <w:r w:rsidR="00715FE0">
          <w:rPr>
            <w:webHidden/>
          </w:rPr>
        </w:r>
        <w:r w:rsidR="00715FE0">
          <w:rPr>
            <w:webHidden/>
          </w:rPr>
          <w:fldChar w:fldCharType="separate"/>
        </w:r>
        <w:r w:rsidR="00EA0922">
          <w:rPr>
            <w:webHidden/>
          </w:rPr>
          <w:t>21</w:t>
        </w:r>
        <w:r w:rsidR="00715FE0">
          <w:rPr>
            <w:webHidden/>
          </w:rPr>
          <w:fldChar w:fldCharType="end"/>
        </w:r>
      </w:hyperlink>
    </w:p>
    <w:p w14:paraId="3D526C5C" w14:textId="1D0381FC" w:rsidR="00715FE0" w:rsidRDefault="00E21E96">
      <w:pPr>
        <w:pStyle w:val="Verzeichnis3"/>
        <w:rPr>
          <w:rFonts w:asciiTheme="minorHAnsi" w:eastAsiaTheme="minorEastAsia" w:hAnsiTheme="minorHAnsi" w:cstheme="minorBidi"/>
          <w:lang w:eastAsia="en-GB"/>
        </w:rPr>
      </w:pPr>
      <w:hyperlink w:anchor="_Toc54986012" w:history="1">
        <w:r w:rsidR="00715FE0" w:rsidRPr="00831F32">
          <w:rPr>
            <w:rStyle w:val="Hyperlink"/>
          </w:rPr>
          <w:t>5.1.1</w:t>
        </w:r>
        <w:r w:rsidR="00715FE0">
          <w:rPr>
            <w:rFonts w:asciiTheme="minorHAnsi" w:eastAsiaTheme="minorEastAsia" w:hAnsiTheme="minorHAnsi" w:cstheme="minorBidi"/>
            <w:lang w:eastAsia="en-GB"/>
          </w:rPr>
          <w:tab/>
        </w:r>
        <w:r w:rsidR="00715FE0" w:rsidRPr="00831F32">
          <w:rPr>
            <w:rStyle w:val="Hyperlink"/>
          </w:rPr>
          <w:t>busdox-docid-qns</w:t>
        </w:r>
        <w:r w:rsidR="00715FE0">
          <w:rPr>
            <w:webHidden/>
          </w:rPr>
          <w:tab/>
        </w:r>
        <w:r w:rsidR="00715FE0">
          <w:rPr>
            <w:webHidden/>
          </w:rPr>
          <w:fldChar w:fldCharType="begin"/>
        </w:r>
        <w:r w:rsidR="00715FE0">
          <w:rPr>
            <w:webHidden/>
          </w:rPr>
          <w:instrText xml:space="preserve"> PAGEREF _Toc54986012 \h </w:instrText>
        </w:r>
        <w:r w:rsidR="00715FE0">
          <w:rPr>
            <w:webHidden/>
          </w:rPr>
        </w:r>
        <w:r w:rsidR="00715FE0">
          <w:rPr>
            <w:webHidden/>
          </w:rPr>
          <w:fldChar w:fldCharType="separate"/>
        </w:r>
        <w:r w:rsidR="00EA0922">
          <w:rPr>
            <w:webHidden/>
          </w:rPr>
          <w:t>21</w:t>
        </w:r>
        <w:r w:rsidR="00715FE0">
          <w:rPr>
            <w:webHidden/>
          </w:rPr>
          <w:fldChar w:fldCharType="end"/>
        </w:r>
      </w:hyperlink>
    </w:p>
    <w:p w14:paraId="1E13E1F6" w14:textId="196020F4" w:rsidR="00715FE0" w:rsidRDefault="00E21E96">
      <w:pPr>
        <w:pStyle w:val="Verzeichnis3"/>
        <w:rPr>
          <w:rFonts w:asciiTheme="minorHAnsi" w:eastAsiaTheme="minorEastAsia" w:hAnsiTheme="minorHAnsi" w:cstheme="minorBidi"/>
          <w:lang w:eastAsia="en-GB"/>
        </w:rPr>
      </w:pPr>
      <w:hyperlink w:anchor="_Toc54986013" w:history="1">
        <w:r w:rsidR="00715FE0" w:rsidRPr="00831F32">
          <w:rPr>
            <w:rStyle w:val="Hyperlink"/>
          </w:rPr>
          <w:t>5.1.2</w:t>
        </w:r>
        <w:r w:rsidR="00715FE0">
          <w:rPr>
            <w:rFonts w:asciiTheme="minorHAnsi" w:eastAsiaTheme="minorEastAsia" w:hAnsiTheme="minorHAnsi" w:cstheme="minorBidi"/>
            <w:lang w:eastAsia="en-GB"/>
          </w:rPr>
          <w:tab/>
        </w:r>
        <w:r w:rsidR="00715FE0" w:rsidRPr="00831F32">
          <w:rPr>
            <w:rStyle w:val="Hyperlink"/>
          </w:rPr>
          <w:t>peppol-doctype-wildcard</w:t>
        </w:r>
        <w:r w:rsidR="00715FE0">
          <w:rPr>
            <w:webHidden/>
          </w:rPr>
          <w:tab/>
        </w:r>
        <w:r w:rsidR="00715FE0">
          <w:rPr>
            <w:webHidden/>
          </w:rPr>
          <w:fldChar w:fldCharType="begin"/>
        </w:r>
        <w:r w:rsidR="00715FE0">
          <w:rPr>
            <w:webHidden/>
          </w:rPr>
          <w:instrText xml:space="preserve"> PAGEREF _Toc54986013 \h </w:instrText>
        </w:r>
        <w:r w:rsidR="00715FE0">
          <w:rPr>
            <w:webHidden/>
          </w:rPr>
        </w:r>
        <w:r w:rsidR="00715FE0">
          <w:rPr>
            <w:webHidden/>
          </w:rPr>
          <w:fldChar w:fldCharType="separate"/>
        </w:r>
        <w:r w:rsidR="00EA0922">
          <w:rPr>
            <w:webHidden/>
          </w:rPr>
          <w:t>21</w:t>
        </w:r>
        <w:r w:rsidR="00715FE0">
          <w:rPr>
            <w:webHidden/>
          </w:rPr>
          <w:fldChar w:fldCharType="end"/>
        </w:r>
      </w:hyperlink>
    </w:p>
    <w:p w14:paraId="7BD05A5A" w14:textId="13DCB9E5" w:rsidR="00715FE0" w:rsidRDefault="00E21E96">
      <w:pPr>
        <w:pStyle w:val="Verzeichnis3"/>
        <w:rPr>
          <w:rFonts w:asciiTheme="minorHAnsi" w:eastAsiaTheme="minorEastAsia" w:hAnsiTheme="minorHAnsi" w:cstheme="minorBidi"/>
          <w:lang w:eastAsia="en-GB"/>
        </w:rPr>
      </w:pPr>
      <w:hyperlink w:anchor="_Toc54986014" w:history="1">
        <w:r w:rsidR="00715FE0" w:rsidRPr="00831F32">
          <w:rPr>
            <w:rStyle w:val="Hyperlink"/>
          </w:rPr>
          <w:t>5.1.3</w:t>
        </w:r>
        <w:r w:rsidR="00715FE0">
          <w:rPr>
            <w:rFonts w:asciiTheme="minorHAnsi" w:eastAsiaTheme="minorEastAsia" w:hAnsiTheme="minorHAnsi" w:cstheme="minorBidi"/>
            <w:lang w:eastAsia="en-GB"/>
          </w:rPr>
          <w:tab/>
        </w:r>
        <w:r w:rsidR="00715FE0" w:rsidRPr="00831F32">
          <w:rPr>
            <w:rStyle w:val="Hyperlink"/>
          </w:rPr>
          <w:t>Comparison – “busdox-docid-qns” and “peppol-doctype-wildcard”</w:t>
        </w:r>
        <w:r w:rsidR="00715FE0">
          <w:rPr>
            <w:webHidden/>
          </w:rPr>
          <w:tab/>
        </w:r>
        <w:r w:rsidR="00715FE0">
          <w:rPr>
            <w:webHidden/>
          </w:rPr>
          <w:fldChar w:fldCharType="begin"/>
        </w:r>
        <w:r w:rsidR="00715FE0">
          <w:rPr>
            <w:webHidden/>
          </w:rPr>
          <w:instrText xml:space="preserve"> PAGEREF _Toc54986014 \h </w:instrText>
        </w:r>
        <w:r w:rsidR="00715FE0">
          <w:rPr>
            <w:webHidden/>
          </w:rPr>
        </w:r>
        <w:r w:rsidR="00715FE0">
          <w:rPr>
            <w:webHidden/>
          </w:rPr>
          <w:fldChar w:fldCharType="separate"/>
        </w:r>
        <w:r w:rsidR="00EA0922">
          <w:rPr>
            <w:webHidden/>
          </w:rPr>
          <w:t>23</w:t>
        </w:r>
        <w:r w:rsidR="00715FE0">
          <w:rPr>
            <w:webHidden/>
          </w:rPr>
          <w:fldChar w:fldCharType="end"/>
        </w:r>
      </w:hyperlink>
    </w:p>
    <w:p w14:paraId="0327338C" w14:textId="0CCE831A" w:rsidR="00715FE0" w:rsidRDefault="00E21E96">
      <w:pPr>
        <w:pStyle w:val="Verzeichnis3"/>
        <w:rPr>
          <w:rFonts w:asciiTheme="minorHAnsi" w:eastAsiaTheme="minorEastAsia" w:hAnsiTheme="minorHAnsi" w:cstheme="minorBidi"/>
          <w:lang w:eastAsia="en-GB"/>
        </w:rPr>
      </w:pPr>
      <w:hyperlink w:anchor="_Toc54986015" w:history="1">
        <w:r w:rsidR="00715FE0" w:rsidRPr="00831F32">
          <w:rPr>
            <w:rStyle w:val="Hyperlink"/>
          </w:rPr>
          <w:t>POLICY 16</w:t>
        </w:r>
        <w:r w:rsidR="00715FE0">
          <w:rPr>
            <w:rFonts w:asciiTheme="minorHAnsi" w:eastAsiaTheme="minorEastAsia" w:hAnsiTheme="minorHAnsi" w:cstheme="minorBidi"/>
            <w:lang w:eastAsia="en-GB"/>
          </w:rPr>
          <w:tab/>
        </w:r>
        <w:r w:rsidR="00715FE0" w:rsidRPr="00831F32">
          <w:rPr>
            <w:rStyle w:val="Hyperlink"/>
          </w:rPr>
          <w:t>Document Type Identifier Scheme</w:t>
        </w:r>
        <w:r w:rsidR="00715FE0">
          <w:rPr>
            <w:webHidden/>
          </w:rPr>
          <w:tab/>
        </w:r>
        <w:r w:rsidR="00715FE0">
          <w:rPr>
            <w:webHidden/>
          </w:rPr>
          <w:fldChar w:fldCharType="begin"/>
        </w:r>
        <w:r w:rsidR="00715FE0">
          <w:rPr>
            <w:webHidden/>
          </w:rPr>
          <w:instrText xml:space="preserve"> PAGEREF _Toc54986015 \h </w:instrText>
        </w:r>
        <w:r w:rsidR="00715FE0">
          <w:rPr>
            <w:webHidden/>
          </w:rPr>
        </w:r>
        <w:r w:rsidR="00715FE0">
          <w:rPr>
            <w:webHidden/>
          </w:rPr>
          <w:fldChar w:fldCharType="separate"/>
        </w:r>
        <w:r w:rsidR="00EA0922">
          <w:rPr>
            <w:webHidden/>
          </w:rPr>
          <w:t>23</w:t>
        </w:r>
        <w:r w:rsidR="00715FE0">
          <w:rPr>
            <w:webHidden/>
          </w:rPr>
          <w:fldChar w:fldCharType="end"/>
        </w:r>
      </w:hyperlink>
    </w:p>
    <w:p w14:paraId="11F13749" w14:textId="2A976BE8" w:rsidR="00715FE0" w:rsidRDefault="00E21E96">
      <w:pPr>
        <w:pStyle w:val="Verzeichnis2"/>
        <w:rPr>
          <w:rFonts w:asciiTheme="minorHAnsi" w:eastAsiaTheme="minorEastAsia" w:hAnsiTheme="minorHAnsi" w:cstheme="minorBidi"/>
          <w:lang w:eastAsia="en-GB"/>
        </w:rPr>
      </w:pPr>
      <w:hyperlink w:anchor="_Toc54986016" w:history="1">
        <w:r w:rsidR="00715FE0" w:rsidRPr="00831F32">
          <w:rPr>
            <w:rStyle w:val="Hyperlink"/>
          </w:rPr>
          <w:t>5.2</w:t>
        </w:r>
        <w:r w:rsidR="00715FE0">
          <w:rPr>
            <w:rFonts w:asciiTheme="minorHAnsi" w:eastAsiaTheme="minorEastAsia" w:hAnsiTheme="minorHAnsi" w:cstheme="minorBidi"/>
            <w:lang w:eastAsia="en-GB"/>
          </w:rPr>
          <w:tab/>
        </w:r>
        <w:r w:rsidR="00715FE0" w:rsidRPr="00831F32">
          <w:rPr>
            <w:rStyle w:val="Hyperlink"/>
          </w:rPr>
          <w:t>Document Type Identifier Values</w:t>
        </w:r>
        <w:r w:rsidR="00715FE0">
          <w:rPr>
            <w:webHidden/>
          </w:rPr>
          <w:tab/>
        </w:r>
        <w:r w:rsidR="00715FE0">
          <w:rPr>
            <w:webHidden/>
          </w:rPr>
          <w:fldChar w:fldCharType="begin"/>
        </w:r>
        <w:r w:rsidR="00715FE0">
          <w:rPr>
            <w:webHidden/>
          </w:rPr>
          <w:instrText xml:space="preserve"> PAGEREF _Toc54986016 \h </w:instrText>
        </w:r>
        <w:r w:rsidR="00715FE0">
          <w:rPr>
            <w:webHidden/>
          </w:rPr>
        </w:r>
        <w:r w:rsidR="00715FE0">
          <w:rPr>
            <w:webHidden/>
          </w:rPr>
          <w:fldChar w:fldCharType="separate"/>
        </w:r>
        <w:r w:rsidR="00EA0922">
          <w:rPr>
            <w:webHidden/>
          </w:rPr>
          <w:t>24</w:t>
        </w:r>
        <w:r w:rsidR="00715FE0">
          <w:rPr>
            <w:webHidden/>
          </w:rPr>
          <w:fldChar w:fldCharType="end"/>
        </w:r>
      </w:hyperlink>
    </w:p>
    <w:p w14:paraId="6DE2B28D" w14:textId="18A90E7E" w:rsidR="00715FE0" w:rsidRDefault="00E21E96">
      <w:pPr>
        <w:pStyle w:val="Verzeichnis3"/>
        <w:rPr>
          <w:rFonts w:asciiTheme="minorHAnsi" w:eastAsiaTheme="minorEastAsia" w:hAnsiTheme="minorHAnsi" w:cstheme="minorBidi"/>
          <w:lang w:eastAsia="en-GB"/>
        </w:rPr>
      </w:pPr>
      <w:hyperlink w:anchor="_Toc54986017" w:history="1">
        <w:r w:rsidR="00715FE0" w:rsidRPr="00831F32">
          <w:rPr>
            <w:rStyle w:val="Hyperlink"/>
          </w:rPr>
          <w:t>POLICY 17</w:t>
        </w:r>
        <w:r w:rsidR="00715FE0">
          <w:rPr>
            <w:rFonts w:asciiTheme="minorHAnsi" w:eastAsiaTheme="minorEastAsia" w:hAnsiTheme="minorHAnsi" w:cstheme="minorBidi"/>
            <w:lang w:eastAsia="en-GB"/>
          </w:rPr>
          <w:tab/>
        </w:r>
        <w:r w:rsidR="00715FE0" w:rsidRPr="00831F32">
          <w:rPr>
            <w:rStyle w:val="Hyperlink"/>
          </w:rPr>
          <w:t>Customization Identifiers</w:t>
        </w:r>
        <w:r w:rsidR="00715FE0">
          <w:rPr>
            <w:webHidden/>
          </w:rPr>
          <w:tab/>
        </w:r>
        <w:r w:rsidR="00715FE0">
          <w:rPr>
            <w:webHidden/>
          </w:rPr>
          <w:fldChar w:fldCharType="begin"/>
        </w:r>
        <w:r w:rsidR="00715FE0">
          <w:rPr>
            <w:webHidden/>
          </w:rPr>
          <w:instrText xml:space="preserve"> PAGEREF _Toc54986017 \h </w:instrText>
        </w:r>
        <w:r w:rsidR="00715FE0">
          <w:rPr>
            <w:webHidden/>
          </w:rPr>
        </w:r>
        <w:r w:rsidR="00715FE0">
          <w:rPr>
            <w:webHidden/>
          </w:rPr>
          <w:fldChar w:fldCharType="separate"/>
        </w:r>
        <w:r w:rsidR="00EA0922">
          <w:rPr>
            <w:webHidden/>
          </w:rPr>
          <w:t>24</w:t>
        </w:r>
        <w:r w:rsidR="00715FE0">
          <w:rPr>
            <w:webHidden/>
          </w:rPr>
          <w:fldChar w:fldCharType="end"/>
        </w:r>
      </w:hyperlink>
    </w:p>
    <w:p w14:paraId="2CE8C38F" w14:textId="478B1C36" w:rsidR="00715FE0" w:rsidRDefault="00E21E96">
      <w:pPr>
        <w:pStyle w:val="Verzeichnis3"/>
        <w:rPr>
          <w:rFonts w:asciiTheme="minorHAnsi" w:eastAsiaTheme="minorEastAsia" w:hAnsiTheme="minorHAnsi" w:cstheme="minorBidi"/>
          <w:lang w:eastAsia="en-GB"/>
        </w:rPr>
      </w:pPr>
      <w:hyperlink w:anchor="_Toc54986018" w:history="1">
        <w:r w:rsidR="00715FE0" w:rsidRPr="00831F32">
          <w:rPr>
            <w:rStyle w:val="Hyperlink"/>
          </w:rPr>
          <w:t>POLICY 18</w:t>
        </w:r>
        <w:r w:rsidR="00715FE0">
          <w:rPr>
            <w:rFonts w:asciiTheme="minorHAnsi" w:eastAsiaTheme="minorEastAsia" w:hAnsiTheme="minorHAnsi" w:cstheme="minorBidi"/>
            <w:lang w:eastAsia="en-GB"/>
          </w:rPr>
          <w:tab/>
        </w:r>
        <w:r w:rsidR="00715FE0" w:rsidRPr="00831F32">
          <w:rPr>
            <w:rStyle w:val="Hyperlink"/>
          </w:rPr>
          <w:t>Specifying Customization Identifiers in UBL documents</w:t>
        </w:r>
        <w:r w:rsidR="00715FE0">
          <w:rPr>
            <w:webHidden/>
          </w:rPr>
          <w:tab/>
        </w:r>
        <w:r w:rsidR="00715FE0">
          <w:rPr>
            <w:webHidden/>
          </w:rPr>
          <w:fldChar w:fldCharType="begin"/>
        </w:r>
        <w:r w:rsidR="00715FE0">
          <w:rPr>
            <w:webHidden/>
          </w:rPr>
          <w:instrText xml:space="preserve"> PAGEREF _Toc54986018 \h </w:instrText>
        </w:r>
        <w:r w:rsidR="00715FE0">
          <w:rPr>
            <w:webHidden/>
          </w:rPr>
        </w:r>
        <w:r w:rsidR="00715FE0">
          <w:rPr>
            <w:webHidden/>
          </w:rPr>
          <w:fldChar w:fldCharType="separate"/>
        </w:r>
        <w:r w:rsidR="00EA0922">
          <w:rPr>
            <w:webHidden/>
          </w:rPr>
          <w:t>25</w:t>
        </w:r>
        <w:r w:rsidR="00715FE0">
          <w:rPr>
            <w:webHidden/>
          </w:rPr>
          <w:fldChar w:fldCharType="end"/>
        </w:r>
      </w:hyperlink>
    </w:p>
    <w:p w14:paraId="78A313FF" w14:textId="4F8D7862" w:rsidR="00715FE0" w:rsidRDefault="00E21E96">
      <w:pPr>
        <w:pStyle w:val="Verzeichnis3"/>
        <w:rPr>
          <w:rFonts w:asciiTheme="minorHAnsi" w:eastAsiaTheme="minorEastAsia" w:hAnsiTheme="minorHAnsi" w:cstheme="minorBidi"/>
          <w:lang w:eastAsia="en-GB"/>
        </w:rPr>
      </w:pPr>
      <w:hyperlink w:anchor="_Toc54986019" w:history="1">
        <w:r w:rsidR="00715FE0" w:rsidRPr="00831F32">
          <w:rPr>
            <w:rStyle w:val="Hyperlink"/>
          </w:rPr>
          <w:t>POLICY 19</w:t>
        </w:r>
        <w:r w:rsidR="00715FE0">
          <w:rPr>
            <w:rFonts w:asciiTheme="minorHAnsi" w:eastAsiaTheme="minorEastAsia" w:hAnsiTheme="minorHAnsi" w:cstheme="minorBidi"/>
            <w:lang w:eastAsia="en-GB"/>
          </w:rPr>
          <w:tab/>
        </w:r>
        <w:r w:rsidR="00715FE0" w:rsidRPr="00831F32">
          <w:rPr>
            <w:rStyle w:val="Hyperlink"/>
          </w:rPr>
          <w:t>Specifying Customization Identifiers in CII Documents</w:t>
        </w:r>
        <w:r w:rsidR="00715FE0">
          <w:rPr>
            <w:webHidden/>
          </w:rPr>
          <w:tab/>
        </w:r>
        <w:r w:rsidR="00715FE0">
          <w:rPr>
            <w:webHidden/>
          </w:rPr>
          <w:fldChar w:fldCharType="begin"/>
        </w:r>
        <w:r w:rsidR="00715FE0">
          <w:rPr>
            <w:webHidden/>
          </w:rPr>
          <w:instrText xml:space="preserve"> PAGEREF _Toc54986019 \h </w:instrText>
        </w:r>
        <w:r w:rsidR="00715FE0">
          <w:rPr>
            <w:webHidden/>
          </w:rPr>
        </w:r>
        <w:r w:rsidR="00715FE0">
          <w:rPr>
            <w:webHidden/>
          </w:rPr>
          <w:fldChar w:fldCharType="separate"/>
        </w:r>
        <w:r w:rsidR="00EA0922">
          <w:rPr>
            <w:webHidden/>
          </w:rPr>
          <w:t>25</w:t>
        </w:r>
        <w:r w:rsidR="00715FE0">
          <w:rPr>
            <w:webHidden/>
          </w:rPr>
          <w:fldChar w:fldCharType="end"/>
        </w:r>
      </w:hyperlink>
    </w:p>
    <w:p w14:paraId="23430FAE" w14:textId="7D9AD5A1" w:rsidR="00715FE0" w:rsidRDefault="00E21E96">
      <w:pPr>
        <w:pStyle w:val="Verzeichnis3"/>
        <w:rPr>
          <w:rFonts w:asciiTheme="minorHAnsi" w:eastAsiaTheme="minorEastAsia" w:hAnsiTheme="minorHAnsi" w:cstheme="minorBidi"/>
          <w:lang w:eastAsia="en-GB"/>
        </w:rPr>
      </w:pPr>
      <w:hyperlink w:anchor="_Toc54986020" w:history="1">
        <w:r w:rsidR="00715FE0" w:rsidRPr="00831F32">
          <w:rPr>
            <w:rStyle w:val="Hyperlink"/>
          </w:rPr>
          <w:t>POLICY 20</w:t>
        </w:r>
        <w:r w:rsidR="00715FE0">
          <w:rPr>
            <w:rFonts w:asciiTheme="minorHAnsi" w:eastAsiaTheme="minorEastAsia" w:hAnsiTheme="minorHAnsi" w:cstheme="minorBidi"/>
            <w:lang w:eastAsia="en-GB"/>
          </w:rPr>
          <w:tab/>
        </w:r>
        <w:r w:rsidR="00715FE0" w:rsidRPr="00831F32">
          <w:rPr>
            <w:rStyle w:val="Hyperlink"/>
          </w:rPr>
          <w:t>Document Type Identifier Value pattern</w:t>
        </w:r>
        <w:r w:rsidR="00715FE0">
          <w:rPr>
            <w:webHidden/>
          </w:rPr>
          <w:tab/>
        </w:r>
        <w:r w:rsidR="00715FE0">
          <w:rPr>
            <w:webHidden/>
          </w:rPr>
          <w:fldChar w:fldCharType="begin"/>
        </w:r>
        <w:r w:rsidR="00715FE0">
          <w:rPr>
            <w:webHidden/>
          </w:rPr>
          <w:instrText xml:space="preserve"> PAGEREF _Toc54986020 \h </w:instrText>
        </w:r>
        <w:r w:rsidR="00715FE0">
          <w:rPr>
            <w:webHidden/>
          </w:rPr>
        </w:r>
        <w:r w:rsidR="00715FE0">
          <w:rPr>
            <w:webHidden/>
          </w:rPr>
          <w:fldChar w:fldCharType="separate"/>
        </w:r>
        <w:r w:rsidR="00EA0922">
          <w:rPr>
            <w:webHidden/>
          </w:rPr>
          <w:t>25</w:t>
        </w:r>
        <w:r w:rsidR="00715FE0">
          <w:rPr>
            <w:webHidden/>
          </w:rPr>
          <w:fldChar w:fldCharType="end"/>
        </w:r>
      </w:hyperlink>
    </w:p>
    <w:p w14:paraId="5EBD4B5E" w14:textId="516A5547" w:rsidR="00715FE0" w:rsidRDefault="00E21E96">
      <w:pPr>
        <w:pStyle w:val="Verzeichnis3"/>
        <w:rPr>
          <w:rFonts w:asciiTheme="minorHAnsi" w:eastAsiaTheme="minorEastAsia" w:hAnsiTheme="minorHAnsi" w:cstheme="minorBidi"/>
          <w:lang w:eastAsia="en-GB"/>
        </w:rPr>
      </w:pPr>
      <w:hyperlink w:anchor="_Toc54986021" w:history="1">
        <w:r w:rsidR="00715FE0" w:rsidRPr="00831F32">
          <w:rPr>
            <w:rStyle w:val="Hyperlink"/>
          </w:rPr>
          <w:t>POLICY 21</w:t>
        </w:r>
        <w:r w:rsidR="00715FE0">
          <w:rPr>
            <w:rFonts w:asciiTheme="minorHAnsi" w:eastAsiaTheme="minorEastAsia" w:hAnsiTheme="minorHAnsi" w:cstheme="minorBidi"/>
            <w:lang w:eastAsia="en-GB"/>
          </w:rPr>
          <w:tab/>
        </w:r>
        <w:r w:rsidR="00715FE0" w:rsidRPr="00831F32">
          <w:rPr>
            <w:rStyle w:val="Hyperlink"/>
          </w:rPr>
          <w:t>Specifying Document Type Identifiers in SMP documents</w:t>
        </w:r>
        <w:r w:rsidR="00715FE0">
          <w:rPr>
            <w:webHidden/>
          </w:rPr>
          <w:tab/>
        </w:r>
        <w:r w:rsidR="00715FE0">
          <w:rPr>
            <w:webHidden/>
          </w:rPr>
          <w:fldChar w:fldCharType="begin"/>
        </w:r>
        <w:r w:rsidR="00715FE0">
          <w:rPr>
            <w:webHidden/>
          </w:rPr>
          <w:instrText xml:space="preserve"> PAGEREF _Toc54986021 \h </w:instrText>
        </w:r>
        <w:r w:rsidR="00715FE0">
          <w:rPr>
            <w:webHidden/>
          </w:rPr>
        </w:r>
        <w:r w:rsidR="00715FE0">
          <w:rPr>
            <w:webHidden/>
          </w:rPr>
          <w:fldChar w:fldCharType="separate"/>
        </w:r>
        <w:r w:rsidR="00EA0922">
          <w:rPr>
            <w:webHidden/>
          </w:rPr>
          <w:t>26</w:t>
        </w:r>
        <w:r w:rsidR="00715FE0">
          <w:rPr>
            <w:webHidden/>
          </w:rPr>
          <w:fldChar w:fldCharType="end"/>
        </w:r>
      </w:hyperlink>
    </w:p>
    <w:p w14:paraId="1F014817" w14:textId="495F08AB" w:rsidR="00715FE0" w:rsidRDefault="00E21E96">
      <w:pPr>
        <w:pStyle w:val="Verzeichnis3"/>
        <w:rPr>
          <w:rFonts w:asciiTheme="minorHAnsi" w:eastAsiaTheme="minorEastAsia" w:hAnsiTheme="minorHAnsi" w:cstheme="minorBidi"/>
          <w:lang w:eastAsia="en-GB"/>
        </w:rPr>
      </w:pPr>
      <w:hyperlink w:anchor="_Toc54986022" w:history="1">
        <w:r w:rsidR="00715FE0" w:rsidRPr="00831F32">
          <w:rPr>
            <w:rStyle w:val="Hyperlink"/>
          </w:rPr>
          <w:t>POLICY 22</w:t>
        </w:r>
        <w:r w:rsidR="00715FE0">
          <w:rPr>
            <w:rFonts w:asciiTheme="minorHAnsi" w:eastAsiaTheme="minorEastAsia" w:hAnsiTheme="minorHAnsi" w:cstheme="minorBidi"/>
            <w:lang w:eastAsia="en-GB"/>
          </w:rPr>
          <w:tab/>
        </w:r>
        <w:r w:rsidR="00715FE0" w:rsidRPr="00831F32">
          <w:rPr>
            <w:rStyle w:val="Hyperlink"/>
          </w:rPr>
          <w:t>Specifying Document Type Identifiers in the Envelope (SBDH)</w:t>
        </w:r>
        <w:r w:rsidR="00715FE0">
          <w:rPr>
            <w:webHidden/>
          </w:rPr>
          <w:tab/>
        </w:r>
        <w:r w:rsidR="00715FE0">
          <w:rPr>
            <w:webHidden/>
          </w:rPr>
          <w:fldChar w:fldCharType="begin"/>
        </w:r>
        <w:r w:rsidR="00715FE0">
          <w:rPr>
            <w:webHidden/>
          </w:rPr>
          <w:instrText xml:space="preserve"> PAGEREF _Toc54986022 \h </w:instrText>
        </w:r>
        <w:r w:rsidR="00715FE0">
          <w:rPr>
            <w:webHidden/>
          </w:rPr>
        </w:r>
        <w:r w:rsidR="00715FE0">
          <w:rPr>
            <w:webHidden/>
          </w:rPr>
          <w:fldChar w:fldCharType="separate"/>
        </w:r>
        <w:r w:rsidR="00EA0922">
          <w:rPr>
            <w:webHidden/>
          </w:rPr>
          <w:t>27</w:t>
        </w:r>
        <w:r w:rsidR="00715FE0">
          <w:rPr>
            <w:webHidden/>
          </w:rPr>
          <w:fldChar w:fldCharType="end"/>
        </w:r>
      </w:hyperlink>
    </w:p>
    <w:p w14:paraId="0F376643" w14:textId="69B576E6" w:rsidR="00715FE0" w:rsidRDefault="00E21E96">
      <w:pPr>
        <w:pStyle w:val="Verzeichnis3"/>
        <w:rPr>
          <w:rFonts w:asciiTheme="minorHAnsi" w:eastAsiaTheme="minorEastAsia" w:hAnsiTheme="minorHAnsi" w:cstheme="minorBidi"/>
          <w:lang w:eastAsia="en-GB"/>
        </w:rPr>
      </w:pPr>
      <w:hyperlink w:anchor="_Toc54986023" w:history="1">
        <w:r w:rsidR="00715FE0" w:rsidRPr="00831F32">
          <w:rPr>
            <w:rStyle w:val="Hyperlink"/>
          </w:rPr>
          <w:t>POLICY 23</w:t>
        </w:r>
        <w:r w:rsidR="00715FE0">
          <w:rPr>
            <w:rFonts w:asciiTheme="minorHAnsi" w:eastAsiaTheme="minorEastAsia" w:hAnsiTheme="minorHAnsi" w:cstheme="minorBidi"/>
            <w:lang w:eastAsia="en-GB"/>
          </w:rPr>
          <w:tab/>
        </w:r>
        <w:r w:rsidR="00715FE0" w:rsidRPr="00831F32">
          <w:rPr>
            <w:rStyle w:val="Hyperlink"/>
          </w:rPr>
          <w:t>Document Type Identifier Values</w:t>
        </w:r>
        <w:r w:rsidR="00715FE0">
          <w:rPr>
            <w:webHidden/>
          </w:rPr>
          <w:tab/>
        </w:r>
        <w:r w:rsidR="00715FE0">
          <w:rPr>
            <w:webHidden/>
          </w:rPr>
          <w:fldChar w:fldCharType="begin"/>
        </w:r>
        <w:r w:rsidR="00715FE0">
          <w:rPr>
            <w:webHidden/>
          </w:rPr>
          <w:instrText xml:space="preserve"> PAGEREF _Toc54986023 \h </w:instrText>
        </w:r>
        <w:r w:rsidR="00715FE0">
          <w:rPr>
            <w:webHidden/>
          </w:rPr>
        </w:r>
        <w:r w:rsidR="00715FE0">
          <w:rPr>
            <w:webHidden/>
          </w:rPr>
          <w:fldChar w:fldCharType="separate"/>
        </w:r>
        <w:r w:rsidR="00EA0922">
          <w:rPr>
            <w:webHidden/>
          </w:rPr>
          <w:t>27</w:t>
        </w:r>
        <w:r w:rsidR="00715FE0">
          <w:rPr>
            <w:webHidden/>
          </w:rPr>
          <w:fldChar w:fldCharType="end"/>
        </w:r>
      </w:hyperlink>
    </w:p>
    <w:p w14:paraId="5B5ACBE4" w14:textId="08BB0460" w:rsidR="00715FE0" w:rsidRDefault="00E21E96">
      <w:pPr>
        <w:pStyle w:val="Verzeichnis1"/>
        <w:rPr>
          <w:rFonts w:asciiTheme="minorHAnsi" w:eastAsiaTheme="minorEastAsia" w:hAnsiTheme="minorHAnsi" w:cstheme="minorBidi"/>
          <w:kern w:val="0"/>
          <w:sz w:val="22"/>
          <w:lang w:eastAsia="en-GB"/>
        </w:rPr>
      </w:pPr>
      <w:hyperlink w:anchor="_Toc54986024" w:history="1">
        <w:r w:rsidR="00715FE0" w:rsidRPr="00831F32">
          <w:rPr>
            <w:rStyle w:val="Hyperlink"/>
          </w:rPr>
          <w:t>6</w:t>
        </w:r>
        <w:r w:rsidR="00715FE0">
          <w:rPr>
            <w:rFonts w:asciiTheme="minorHAnsi" w:eastAsiaTheme="minorEastAsia" w:hAnsiTheme="minorHAnsi" w:cstheme="minorBidi"/>
            <w:kern w:val="0"/>
            <w:sz w:val="22"/>
            <w:lang w:eastAsia="en-GB"/>
          </w:rPr>
          <w:tab/>
        </w:r>
        <w:r w:rsidR="00715FE0" w:rsidRPr="00831F32">
          <w:rPr>
            <w:rStyle w:val="Hyperlink"/>
          </w:rPr>
          <w:t>Policy for Peppol Process Identifiers</w:t>
        </w:r>
        <w:r w:rsidR="00715FE0">
          <w:rPr>
            <w:webHidden/>
          </w:rPr>
          <w:tab/>
        </w:r>
        <w:r w:rsidR="00715FE0">
          <w:rPr>
            <w:webHidden/>
          </w:rPr>
          <w:fldChar w:fldCharType="begin"/>
        </w:r>
        <w:r w:rsidR="00715FE0">
          <w:rPr>
            <w:webHidden/>
          </w:rPr>
          <w:instrText xml:space="preserve"> PAGEREF _Toc54986024 \h </w:instrText>
        </w:r>
        <w:r w:rsidR="00715FE0">
          <w:rPr>
            <w:webHidden/>
          </w:rPr>
        </w:r>
        <w:r w:rsidR="00715FE0">
          <w:rPr>
            <w:webHidden/>
          </w:rPr>
          <w:fldChar w:fldCharType="separate"/>
        </w:r>
        <w:r w:rsidR="00EA0922">
          <w:rPr>
            <w:webHidden/>
          </w:rPr>
          <w:t>29</w:t>
        </w:r>
        <w:r w:rsidR="00715FE0">
          <w:rPr>
            <w:webHidden/>
          </w:rPr>
          <w:fldChar w:fldCharType="end"/>
        </w:r>
      </w:hyperlink>
    </w:p>
    <w:p w14:paraId="454CC278" w14:textId="63F9599B" w:rsidR="00715FE0" w:rsidRDefault="00E21E96">
      <w:pPr>
        <w:pStyle w:val="Verzeichnis3"/>
        <w:rPr>
          <w:rFonts w:asciiTheme="minorHAnsi" w:eastAsiaTheme="minorEastAsia" w:hAnsiTheme="minorHAnsi" w:cstheme="minorBidi"/>
          <w:lang w:eastAsia="en-GB"/>
        </w:rPr>
      </w:pPr>
      <w:hyperlink w:anchor="_Toc54986025" w:history="1">
        <w:r w:rsidR="00715FE0" w:rsidRPr="00831F32">
          <w:rPr>
            <w:rStyle w:val="Hyperlink"/>
          </w:rPr>
          <w:t>POLICY 24</w:t>
        </w:r>
        <w:r w:rsidR="00715FE0">
          <w:rPr>
            <w:rFonts w:asciiTheme="minorHAnsi" w:eastAsiaTheme="minorEastAsia" w:hAnsiTheme="minorHAnsi" w:cstheme="minorBidi"/>
            <w:lang w:eastAsia="en-GB"/>
          </w:rPr>
          <w:tab/>
        </w:r>
        <w:r w:rsidR="00715FE0" w:rsidRPr="00831F32">
          <w:rPr>
            <w:rStyle w:val="Hyperlink"/>
          </w:rPr>
          <w:t>Process Identifier Scheme</w:t>
        </w:r>
        <w:r w:rsidR="00715FE0">
          <w:rPr>
            <w:webHidden/>
          </w:rPr>
          <w:tab/>
        </w:r>
        <w:r w:rsidR="00715FE0">
          <w:rPr>
            <w:webHidden/>
          </w:rPr>
          <w:fldChar w:fldCharType="begin"/>
        </w:r>
        <w:r w:rsidR="00715FE0">
          <w:rPr>
            <w:webHidden/>
          </w:rPr>
          <w:instrText xml:space="preserve"> PAGEREF _Toc54986025 \h </w:instrText>
        </w:r>
        <w:r w:rsidR="00715FE0">
          <w:rPr>
            <w:webHidden/>
          </w:rPr>
        </w:r>
        <w:r w:rsidR="00715FE0">
          <w:rPr>
            <w:webHidden/>
          </w:rPr>
          <w:fldChar w:fldCharType="separate"/>
        </w:r>
        <w:r w:rsidR="00EA0922">
          <w:rPr>
            <w:webHidden/>
          </w:rPr>
          <w:t>29</w:t>
        </w:r>
        <w:r w:rsidR="00715FE0">
          <w:rPr>
            <w:webHidden/>
          </w:rPr>
          <w:fldChar w:fldCharType="end"/>
        </w:r>
      </w:hyperlink>
    </w:p>
    <w:p w14:paraId="2CCD4ADD" w14:textId="4F1A630B" w:rsidR="00715FE0" w:rsidRDefault="00E21E96">
      <w:pPr>
        <w:pStyle w:val="Verzeichnis3"/>
        <w:rPr>
          <w:rFonts w:asciiTheme="minorHAnsi" w:eastAsiaTheme="minorEastAsia" w:hAnsiTheme="minorHAnsi" w:cstheme="minorBidi"/>
          <w:lang w:eastAsia="en-GB"/>
        </w:rPr>
      </w:pPr>
      <w:hyperlink w:anchor="_Toc54986026" w:history="1">
        <w:r w:rsidR="00715FE0" w:rsidRPr="00831F32">
          <w:rPr>
            <w:rStyle w:val="Hyperlink"/>
          </w:rPr>
          <w:t>POLICY 25</w:t>
        </w:r>
        <w:r w:rsidR="00715FE0">
          <w:rPr>
            <w:rFonts w:asciiTheme="minorHAnsi" w:eastAsiaTheme="minorEastAsia" w:hAnsiTheme="minorHAnsi" w:cstheme="minorBidi"/>
            <w:lang w:eastAsia="en-GB"/>
          </w:rPr>
          <w:tab/>
        </w:r>
        <w:r w:rsidR="00715FE0" w:rsidRPr="00831F32">
          <w:rPr>
            <w:rStyle w:val="Hyperlink"/>
          </w:rPr>
          <w:t>Process Identifier Value</w:t>
        </w:r>
        <w:r w:rsidR="00715FE0">
          <w:rPr>
            <w:webHidden/>
          </w:rPr>
          <w:tab/>
        </w:r>
        <w:r w:rsidR="00715FE0">
          <w:rPr>
            <w:webHidden/>
          </w:rPr>
          <w:fldChar w:fldCharType="begin"/>
        </w:r>
        <w:r w:rsidR="00715FE0">
          <w:rPr>
            <w:webHidden/>
          </w:rPr>
          <w:instrText xml:space="preserve"> PAGEREF _Toc54986026 \h </w:instrText>
        </w:r>
        <w:r w:rsidR="00715FE0">
          <w:rPr>
            <w:webHidden/>
          </w:rPr>
        </w:r>
        <w:r w:rsidR="00715FE0">
          <w:rPr>
            <w:webHidden/>
          </w:rPr>
          <w:fldChar w:fldCharType="separate"/>
        </w:r>
        <w:r w:rsidR="00EA0922">
          <w:rPr>
            <w:webHidden/>
          </w:rPr>
          <w:t>29</w:t>
        </w:r>
        <w:r w:rsidR="00715FE0">
          <w:rPr>
            <w:webHidden/>
          </w:rPr>
          <w:fldChar w:fldCharType="end"/>
        </w:r>
      </w:hyperlink>
    </w:p>
    <w:p w14:paraId="5ABDCEE2" w14:textId="0CD721DD" w:rsidR="00715FE0" w:rsidRDefault="00E21E96">
      <w:pPr>
        <w:pStyle w:val="Verzeichnis3"/>
        <w:rPr>
          <w:rFonts w:asciiTheme="minorHAnsi" w:eastAsiaTheme="minorEastAsia" w:hAnsiTheme="minorHAnsi" w:cstheme="minorBidi"/>
          <w:lang w:eastAsia="en-GB"/>
        </w:rPr>
      </w:pPr>
      <w:hyperlink w:anchor="_Toc54986027" w:history="1">
        <w:r w:rsidR="00715FE0" w:rsidRPr="00831F32">
          <w:rPr>
            <w:rStyle w:val="Hyperlink"/>
          </w:rPr>
          <w:t>POLICY 26</w:t>
        </w:r>
        <w:r w:rsidR="00715FE0">
          <w:rPr>
            <w:rFonts w:asciiTheme="minorHAnsi" w:eastAsiaTheme="minorEastAsia" w:hAnsiTheme="minorHAnsi" w:cstheme="minorBidi"/>
            <w:lang w:eastAsia="en-GB"/>
          </w:rPr>
          <w:tab/>
        </w:r>
        <w:r w:rsidR="00715FE0" w:rsidRPr="00831F32">
          <w:rPr>
            <w:rStyle w:val="Hyperlink"/>
          </w:rPr>
          <w:t>Specifying Process Identifiers in the Envelope (SBDH)</w:t>
        </w:r>
        <w:r w:rsidR="00715FE0">
          <w:rPr>
            <w:webHidden/>
          </w:rPr>
          <w:tab/>
        </w:r>
        <w:r w:rsidR="00715FE0">
          <w:rPr>
            <w:webHidden/>
          </w:rPr>
          <w:fldChar w:fldCharType="begin"/>
        </w:r>
        <w:r w:rsidR="00715FE0">
          <w:rPr>
            <w:webHidden/>
          </w:rPr>
          <w:instrText xml:space="preserve"> PAGEREF _Toc54986027 \h </w:instrText>
        </w:r>
        <w:r w:rsidR="00715FE0">
          <w:rPr>
            <w:webHidden/>
          </w:rPr>
        </w:r>
        <w:r w:rsidR="00715FE0">
          <w:rPr>
            <w:webHidden/>
          </w:rPr>
          <w:fldChar w:fldCharType="separate"/>
        </w:r>
        <w:r w:rsidR="00EA0922">
          <w:rPr>
            <w:webHidden/>
          </w:rPr>
          <w:t>29</w:t>
        </w:r>
        <w:r w:rsidR="00715FE0">
          <w:rPr>
            <w:webHidden/>
          </w:rPr>
          <w:fldChar w:fldCharType="end"/>
        </w:r>
      </w:hyperlink>
    </w:p>
    <w:p w14:paraId="3EB6A2B2" w14:textId="4DD32F41" w:rsidR="00715FE0" w:rsidRDefault="00E21E96">
      <w:pPr>
        <w:pStyle w:val="Verzeichnis3"/>
        <w:rPr>
          <w:rFonts w:asciiTheme="minorHAnsi" w:eastAsiaTheme="minorEastAsia" w:hAnsiTheme="minorHAnsi" w:cstheme="minorBidi"/>
          <w:lang w:eastAsia="en-GB"/>
        </w:rPr>
      </w:pPr>
      <w:hyperlink w:anchor="_Toc54986028" w:history="1">
        <w:r w:rsidR="00715FE0" w:rsidRPr="00831F32">
          <w:rPr>
            <w:rStyle w:val="Hyperlink"/>
          </w:rPr>
          <w:t>POLICY 27</w:t>
        </w:r>
        <w:r w:rsidR="00715FE0">
          <w:rPr>
            <w:rFonts w:asciiTheme="minorHAnsi" w:eastAsiaTheme="minorEastAsia" w:hAnsiTheme="minorHAnsi" w:cstheme="minorBidi"/>
            <w:lang w:eastAsia="en-GB"/>
          </w:rPr>
          <w:tab/>
        </w:r>
        <w:r w:rsidR="00715FE0" w:rsidRPr="00831F32">
          <w:rPr>
            <w:rStyle w:val="Hyperlink"/>
          </w:rPr>
          <w:t>Specifying Process Identifiers in SMP documents</w:t>
        </w:r>
        <w:r w:rsidR="00715FE0">
          <w:rPr>
            <w:webHidden/>
          </w:rPr>
          <w:tab/>
        </w:r>
        <w:r w:rsidR="00715FE0">
          <w:rPr>
            <w:webHidden/>
          </w:rPr>
          <w:fldChar w:fldCharType="begin"/>
        </w:r>
        <w:r w:rsidR="00715FE0">
          <w:rPr>
            <w:webHidden/>
          </w:rPr>
          <w:instrText xml:space="preserve"> PAGEREF _Toc54986028 \h </w:instrText>
        </w:r>
        <w:r w:rsidR="00715FE0">
          <w:rPr>
            <w:webHidden/>
          </w:rPr>
        </w:r>
        <w:r w:rsidR="00715FE0">
          <w:rPr>
            <w:webHidden/>
          </w:rPr>
          <w:fldChar w:fldCharType="separate"/>
        </w:r>
        <w:r w:rsidR="00EA0922">
          <w:rPr>
            <w:webHidden/>
          </w:rPr>
          <w:t>29</w:t>
        </w:r>
        <w:r w:rsidR="00715FE0">
          <w:rPr>
            <w:webHidden/>
          </w:rPr>
          <w:fldChar w:fldCharType="end"/>
        </w:r>
      </w:hyperlink>
    </w:p>
    <w:p w14:paraId="7F8C6465" w14:textId="6398E64B" w:rsidR="00715FE0" w:rsidRDefault="00E21E96">
      <w:pPr>
        <w:pStyle w:val="Verzeichnis1"/>
        <w:rPr>
          <w:rFonts w:asciiTheme="minorHAnsi" w:eastAsiaTheme="minorEastAsia" w:hAnsiTheme="minorHAnsi" w:cstheme="minorBidi"/>
          <w:kern w:val="0"/>
          <w:sz w:val="22"/>
          <w:lang w:eastAsia="en-GB"/>
        </w:rPr>
      </w:pPr>
      <w:hyperlink w:anchor="_Toc54986029" w:history="1">
        <w:r w:rsidR="00715FE0" w:rsidRPr="00831F32">
          <w:rPr>
            <w:rStyle w:val="Hyperlink"/>
          </w:rPr>
          <w:t>7</w:t>
        </w:r>
        <w:r w:rsidR="00715FE0">
          <w:rPr>
            <w:rFonts w:asciiTheme="minorHAnsi" w:eastAsiaTheme="minorEastAsia" w:hAnsiTheme="minorHAnsi" w:cstheme="minorBidi"/>
            <w:kern w:val="0"/>
            <w:sz w:val="22"/>
            <w:lang w:eastAsia="en-GB"/>
          </w:rPr>
          <w:tab/>
        </w:r>
        <w:r w:rsidR="00715FE0" w:rsidRPr="00831F32">
          <w:rPr>
            <w:rStyle w:val="Hyperlink"/>
          </w:rPr>
          <w:t>Policy on Identifying Transport Profiles in Peppol</w:t>
        </w:r>
        <w:r w:rsidR="00715FE0">
          <w:rPr>
            <w:webHidden/>
          </w:rPr>
          <w:tab/>
        </w:r>
        <w:r w:rsidR="00715FE0">
          <w:rPr>
            <w:webHidden/>
          </w:rPr>
          <w:fldChar w:fldCharType="begin"/>
        </w:r>
        <w:r w:rsidR="00715FE0">
          <w:rPr>
            <w:webHidden/>
          </w:rPr>
          <w:instrText xml:space="preserve"> PAGEREF _Toc54986029 \h </w:instrText>
        </w:r>
        <w:r w:rsidR="00715FE0">
          <w:rPr>
            <w:webHidden/>
          </w:rPr>
        </w:r>
        <w:r w:rsidR="00715FE0">
          <w:rPr>
            <w:webHidden/>
          </w:rPr>
          <w:fldChar w:fldCharType="separate"/>
        </w:r>
        <w:r w:rsidR="00EA0922">
          <w:rPr>
            <w:webHidden/>
          </w:rPr>
          <w:t>31</w:t>
        </w:r>
        <w:r w:rsidR="00715FE0">
          <w:rPr>
            <w:webHidden/>
          </w:rPr>
          <w:fldChar w:fldCharType="end"/>
        </w:r>
      </w:hyperlink>
    </w:p>
    <w:p w14:paraId="47F47FCF" w14:textId="35A4C833" w:rsidR="00715FE0" w:rsidRDefault="00E21E96">
      <w:pPr>
        <w:pStyle w:val="Verzeichnis2"/>
        <w:rPr>
          <w:rFonts w:asciiTheme="minorHAnsi" w:eastAsiaTheme="minorEastAsia" w:hAnsiTheme="minorHAnsi" w:cstheme="minorBidi"/>
          <w:lang w:eastAsia="en-GB"/>
        </w:rPr>
      </w:pPr>
      <w:hyperlink w:anchor="_Toc54986030" w:history="1">
        <w:r w:rsidR="00715FE0" w:rsidRPr="00831F32">
          <w:rPr>
            <w:rStyle w:val="Hyperlink"/>
          </w:rPr>
          <w:t>7.1</w:t>
        </w:r>
        <w:r w:rsidR="00715FE0">
          <w:rPr>
            <w:rFonts w:asciiTheme="minorHAnsi" w:eastAsiaTheme="minorEastAsia" w:hAnsiTheme="minorHAnsi" w:cstheme="minorBidi"/>
            <w:lang w:eastAsia="en-GB"/>
          </w:rPr>
          <w:tab/>
        </w:r>
        <w:r w:rsidR="00715FE0" w:rsidRPr="00831F32">
          <w:rPr>
            <w:rStyle w:val="Hyperlink"/>
          </w:rPr>
          <w:t>SMP</w:t>
        </w:r>
        <w:r w:rsidR="00715FE0">
          <w:rPr>
            <w:webHidden/>
          </w:rPr>
          <w:tab/>
        </w:r>
        <w:r w:rsidR="00715FE0">
          <w:rPr>
            <w:webHidden/>
          </w:rPr>
          <w:fldChar w:fldCharType="begin"/>
        </w:r>
        <w:r w:rsidR="00715FE0">
          <w:rPr>
            <w:webHidden/>
          </w:rPr>
          <w:instrText xml:space="preserve"> PAGEREF _Toc54986030 \h </w:instrText>
        </w:r>
        <w:r w:rsidR="00715FE0">
          <w:rPr>
            <w:webHidden/>
          </w:rPr>
        </w:r>
        <w:r w:rsidR="00715FE0">
          <w:rPr>
            <w:webHidden/>
          </w:rPr>
          <w:fldChar w:fldCharType="separate"/>
        </w:r>
        <w:r w:rsidR="00EA0922">
          <w:rPr>
            <w:webHidden/>
          </w:rPr>
          <w:t>31</w:t>
        </w:r>
        <w:r w:rsidR="00715FE0">
          <w:rPr>
            <w:webHidden/>
          </w:rPr>
          <w:fldChar w:fldCharType="end"/>
        </w:r>
      </w:hyperlink>
    </w:p>
    <w:p w14:paraId="09D811A1" w14:textId="78164F2A" w:rsidR="00715FE0" w:rsidRDefault="00E21E96">
      <w:pPr>
        <w:pStyle w:val="Verzeichnis3"/>
        <w:rPr>
          <w:rFonts w:asciiTheme="minorHAnsi" w:eastAsiaTheme="minorEastAsia" w:hAnsiTheme="minorHAnsi" w:cstheme="minorBidi"/>
          <w:lang w:eastAsia="en-GB"/>
        </w:rPr>
      </w:pPr>
      <w:hyperlink w:anchor="_Toc54986031" w:history="1">
        <w:r w:rsidR="00715FE0" w:rsidRPr="00831F32">
          <w:rPr>
            <w:rStyle w:val="Hyperlink"/>
          </w:rPr>
          <w:t>POLICY 28</w:t>
        </w:r>
        <w:r w:rsidR="00715FE0">
          <w:rPr>
            <w:rFonts w:asciiTheme="minorHAnsi" w:eastAsiaTheme="minorEastAsia" w:hAnsiTheme="minorHAnsi" w:cstheme="minorBidi"/>
            <w:lang w:eastAsia="en-GB"/>
          </w:rPr>
          <w:tab/>
        </w:r>
        <w:r w:rsidR="00715FE0" w:rsidRPr="00831F32">
          <w:rPr>
            <w:rStyle w:val="Hyperlink"/>
          </w:rPr>
          <w:t>Transport Profile Values</w:t>
        </w:r>
        <w:r w:rsidR="00715FE0">
          <w:rPr>
            <w:webHidden/>
          </w:rPr>
          <w:tab/>
        </w:r>
        <w:r w:rsidR="00715FE0">
          <w:rPr>
            <w:webHidden/>
          </w:rPr>
          <w:fldChar w:fldCharType="begin"/>
        </w:r>
        <w:r w:rsidR="00715FE0">
          <w:rPr>
            <w:webHidden/>
          </w:rPr>
          <w:instrText xml:space="preserve"> PAGEREF _Toc54986031 \h </w:instrText>
        </w:r>
        <w:r w:rsidR="00715FE0">
          <w:rPr>
            <w:webHidden/>
          </w:rPr>
        </w:r>
        <w:r w:rsidR="00715FE0">
          <w:rPr>
            <w:webHidden/>
          </w:rPr>
          <w:fldChar w:fldCharType="separate"/>
        </w:r>
        <w:r w:rsidR="00EA0922">
          <w:rPr>
            <w:webHidden/>
          </w:rPr>
          <w:t>31</w:t>
        </w:r>
        <w:r w:rsidR="00715FE0">
          <w:rPr>
            <w:webHidden/>
          </w:rPr>
          <w:fldChar w:fldCharType="end"/>
        </w:r>
      </w:hyperlink>
    </w:p>
    <w:p w14:paraId="4128F068" w14:textId="015903C6" w:rsidR="00715FE0" w:rsidRDefault="00E21E96">
      <w:pPr>
        <w:pStyle w:val="Verzeichnis3"/>
        <w:rPr>
          <w:rFonts w:asciiTheme="minorHAnsi" w:eastAsiaTheme="minorEastAsia" w:hAnsiTheme="minorHAnsi" w:cstheme="minorBidi"/>
          <w:lang w:eastAsia="en-GB"/>
        </w:rPr>
      </w:pPr>
      <w:hyperlink w:anchor="_Toc54986032" w:history="1">
        <w:r w:rsidR="00715FE0" w:rsidRPr="00831F32">
          <w:rPr>
            <w:rStyle w:val="Hyperlink"/>
          </w:rPr>
          <w:t>POLICY 29</w:t>
        </w:r>
        <w:r w:rsidR="00715FE0">
          <w:rPr>
            <w:rFonts w:asciiTheme="minorHAnsi" w:eastAsiaTheme="minorEastAsia" w:hAnsiTheme="minorHAnsi" w:cstheme="minorBidi"/>
            <w:lang w:eastAsia="en-GB"/>
          </w:rPr>
          <w:tab/>
        </w:r>
        <w:r w:rsidR="00715FE0" w:rsidRPr="00831F32">
          <w:rPr>
            <w:rStyle w:val="Hyperlink"/>
          </w:rPr>
          <w:t>Specifying Transport Profiles in SMP documents</w:t>
        </w:r>
        <w:r w:rsidR="00715FE0">
          <w:rPr>
            <w:webHidden/>
          </w:rPr>
          <w:tab/>
        </w:r>
        <w:r w:rsidR="00715FE0">
          <w:rPr>
            <w:webHidden/>
          </w:rPr>
          <w:fldChar w:fldCharType="begin"/>
        </w:r>
        <w:r w:rsidR="00715FE0">
          <w:rPr>
            <w:webHidden/>
          </w:rPr>
          <w:instrText xml:space="preserve"> PAGEREF _Toc54986032 \h </w:instrText>
        </w:r>
        <w:r w:rsidR="00715FE0">
          <w:rPr>
            <w:webHidden/>
          </w:rPr>
        </w:r>
        <w:r w:rsidR="00715FE0">
          <w:rPr>
            <w:webHidden/>
          </w:rPr>
          <w:fldChar w:fldCharType="separate"/>
        </w:r>
        <w:r w:rsidR="00EA0922">
          <w:rPr>
            <w:webHidden/>
          </w:rPr>
          <w:t>31</w:t>
        </w:r>
        <w:r w:rsidR="00715FE0">
          <w:rPr>
            <w:webHidden/>
          </w:rPr>
          <w:fldChar w:fldCharType="end"/>
        </w:r>
      </w:hyperlink>
    </w:p>
    <w:p w14:paraId="5A9B91FB" w14:textId="4598B242" w:rsidR="00715FE0" w:rsidRDefault="00E21E96">
      <w:pPr>
        <w:pStyle w:val="Verzeichnis1"/>
        <w:rPr>
          <w:rFonts w:asciiTheme="minorHAnsi" w:eastAsiaTheme="minorEastAsia" w:hAnsiTheme="minorHAnsi" w:cstheme="minorBidi"/>
          <w:kern w:val="0"/>
          <w:sz w:val="22"/>
          <w:lang w:eastAsia="en-GB"/>
        </w:rPr>
      </w:pPr>
      <w:hyperlink w:anchor="_Toc54986033" w:history="1">
        <w:r w:rsidR="00715FE0" w:rsidRPr="00831F32">
          <w:rPr>
            <w:rStyle w:val="Hyperlink"/>
          </w:rPr>
          <w:t>8</w:t>
        </w:r>
        <w:r w:rsidR="00715FE0">
          <w:rPr>
            <w:rFonts w:asciiTheme="minorHAnsi" w:eastAsiaTheme="minorEastAsia" w:hAnsiTheme="minorHAnsi" w:cstheme="minorBidi"/>
            <w:kern w:val="0"/>
            <w:sz w:val="22"/>
            <w:lang w:eastAsia="en-GB"/>
          </w:rPr>
          <w:tab/>
        </w:r>
        <w:r w:rsidR="00715FE0" w:rsidRPr="00831F32">
          <w:rPr>
            <w:rStyle w:val="Hyperlink"/>
          </w:rPr>
          <w:t>Governance of this Policy</w:t>
        </w:r>
        <w:r w:rsidR="00715FE0">
          <w:rPr>
            <w:webHidden/>
          </w:rPr>
          <w:tab/>
        </w:r>
        <w:r w:rsidR="00715FE0">
          <w:rPr>
            <w:webHidden/>
          </w:rPr>
          <w:fldChar w:fldCharType="begin"/>
        </w:r>
        <w:r w:rsidR="00715FE0">
          <w:rPr>
            <w:webHidden/>
          </w:rPr>
          <w:instrText xml:space="preserve"> PAGEREF _Toc54986033 \h </w:instrText>
        </w:r>
        <w:r w:rsidR="00715FE0">
          <w:rPr>
            <w:webHidden/>
          </w:rPr>
        </w:r>
        <w:r w:rsidR="00715FE0">
          <w:rPr>
            <w:webHidden/>
          </w:rPr>
          <w:fldChar w:fldCharType="separate"/>
        </w:r>
        <w:r w:rsidR="00EA0922">
          <w:rPr>
            <w:webHidden/>
          </w:rPr>
          <w:t>32</w:t>
        </w:r>
        <w:r w:rsidR="00715FE0">
          <w:rPr>
            <w:webHidden/>
          </w:rPr>
          <w:fldChar w:fldCharType="end"/>
        </w:r>
      </w:hyperlink>
    </w:p>
    <w:p w14:paraId="61BF35F4" w14:textId="1D3C3FF9" w:rsidR="00840E57" w:rsidRDefault="00554D27" w:rsidP="00C66CC9">
      <w:pPr>
        <w:sectPr w:rsidR="00840E57"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1F4312">
        <w:fldChar w:fldCharType="end"/>
      </w:r>
      <w:bookmarkStart w:id="10" w:name="_Toc316247562"/>
    </w:p>
    <w:p w14:paraId="7F85B345" w14:textId="77777777" w:rsidR="00455E1E" w:rsidRDefault="00483A49" w:rsidP="00E15FB4">
      <w:pPr>
        <w:pStyle w:val="berschrift1"/>
      </w:pPr>
      <w:bookmarkStart w:id="11" w:name="_Toc54985978"/>
      <w:r w:rsidRPr="00E15FB4">
        <w:lastRenderedPageBreak/>
        <w:t>Introduction</w:t>
      </w:r>
      <w:bookmarkEnd w:id="11"/>
    </w:p>
    <w:p w14:paraId="473B51E8" w14:textId="77777777" w:rsidR="006B4C99" w:rsidRPr="00E15FB4" w:rsidRDefault="00856B5F" w:rsidP="00E15FB4">
      <w:pPr>
        <w:pStyle w:val="berschrift2"/>
      </w:pPr>
      <w:bookmarkStart w:id="12" w:name="_Toc535439478"/>
      <w:bookmarkStart w:id="13" w:name="_Toc535439479"/>
      <w:bookmarkStart w:id="14" w:name="_Toc535439480"/>
      <w:bookmarkStart w:id="15" w:name="_Toc535439481"/>
      <w:bookmarkStart w:id="16" w:name="_Toc535439482"/>
      <w:bookmarkStart w:id="17" w:name="_Toc535439483"/>
      <w:bookmarkStart w:id="18" w:name="_Toc535439484"/>
      <w:bookmarkStart w:id="19" w:name="_Toc535439485"/>
      <w:bookmarkStart w:id="20" w:name="_Toc535439486"/>
      <w:bookmarkStart w:id="21" w:name="_Toc535439487"/>
      <w:bookmarkStart w:id="22" w:name="_Toc54985979"/>
      <w:bookmarkEnd w:id="12"/>
      <w:bookmarkEnd w:id="13"/>
      <w:bookmarkEnd w:id="14"/>
      <w:bookmarkEnd w:id="15"/>
      <w:bookmarkEnd w:id="16"/>
      <w:bookmarkEnd w:id="17"/>
      <w:bookmarkEnd w:id="18"/>
      <w:bookmarkEnd w:id="19"/>
      <w:bookmarkEnd w:id="20"/>
      <w:bookmarkEnd w:id="21"/>
      <w:r w:rsidRPr="00E15FB4">
        <w:t>Audience</w:t>
      </w:r>
      <w:bookmarkEnd w:id="22"/>
      <w:r w:rsidRPr="00E15FB4">
        <w:t xml:space="preserve"> </w:t>
      </w:r>
    </w:p>
    <w:p w14:paraId="49C2043A" w14:textId="77777777" w:rsidR="00EC186E" w:rsidRPr="00C95718" w:rsidRDefault="00483A49" w:rsidP="00EC186E">
      <w:pPr>
        <w:rPr>
          <w:lang w:bidi="ne-NP"/>
        </w:rPr>
      </w:pPr>
      <w:r>
        <w:t xml:space="preserve">This document describes a </w:t>
      </w:r>
      <w:r w:rsidR="00115A30">
        <w:t>Peppol</w:t>
      </w:r>
      <w:r>
        <w:t xml:space="preserve"> policy and guidelines for use of identifiers within the </w:t>
      </w:r>
      <w:r w:rsidR="00115A30">
        <w:t>Peppol</w:t>
      </w:r>
      <w:r>
        <w:t xml:space="preserve"> network. </w:t>
      </w:r>
      <w:r w:rsidR="00264E53">
        <w:t xml:space="preserve">The intended audience for this document are </w:t>
      </w:r>
      <w:r w:rsidR="00EC186E" w:rsidRPr="0071119E">
        <w:rPr>
          <w:lang w:bidi="ne-NP"/>
        </w:rPr>
        <w:t xml:space="preserve">organizations wishing to be </w:t>
      </w:r>
      <w:r w:rsidR="00115A30">
        <w:rPr>
          <w:lang w:bidi="ne-NP"/>
        </w:rPr>
        <w:t>Peppol</w:t>
      </w:r>
      <w:r w:rsidR="00EC186E" w:rsidRPr="0071119E">
        <w:rPr>
          <w:lang w:bidi="ne-NP"/>
        </w:rPr>
        <w:t xml:space="preserve">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14:paraId="332901D5" w14:textId="77777777" w:rsidR="00EC186E" w:rsidRPr="0071119E" w:rsidRDefault="00EC186E" w:rsidP="00BF0A1A">
      <w:pPr>
        <w:numPr>
          <w:ilvl w:val="0"/>
          <w:numId w:val="13"/>
        </w:numPr>
      </w:pPr>
      <w:r w:rsidRPr="0071119E">
        <w:t>ICT Architects</w:t>
      </w:r>
    </w:p>
    <w:p w14:paraId="47381D46" w14:textId="77777777" w:rsidR="00E15FB4" w:rsidRDefault="00EC186E" w:rsidP="00E15FB4">
      <w:pPr>
        <w:numPr>
          <w:ilvl w:val="0"/>
          <w:numId w:val="13"/>
        </w:numPr>
      </w:pPr>
      <w:r w:rsidRPr="0071119E">
        <w:t>ICT Developers</w:t>
      </w:r>
    </w:p>
    <w:p w14:paraId="4EC7D88D" w14:textId="77777777" w:rsidR="00E17B9D" w:rsidRDefault="00EC186E" w:rsidP="00CE0D75">
      <w:pPr>
        <w:numPr>
          <w:ilvl w:val="0"/>
          <w:numId w:val="13"/>
        </w:numPr>
      </w:pPr>
      <w:r w:rsidRPr="0071119E">
        <w:t>Business Experts</w:t>
      </w:r>
      <w:bookmarkStart w:id="23" w:name="_Toc485137421"/>
      <w:bookmarkStart w:id="24" w:name="_Toc496043127"/>
      <w:bookmarkEnd w:id="23"/>
      <w:bookmarkEnd w:id="24"/>
    </w:p>
    <w:p w14:paraId="63CB760F" w14:textId="77777777" w:rsidR="00483A49" w:rsidRPr="00E15FB4" w:rsidRDefault="00483A49" w:rsidP="00E15FB4">
      <w:pPr>
        <w:pStyle w:val="berschrift2"/>
      </w:pPr>
      <w:bookmarkStart w:id="25" w:name="_Toc54985980"/>
      <w:r w:rsidRPr="00E15FB4">
        <w:t>References</w:t>
      </w:r>
      <w:bookmarkEnd w:id="25"/>
    </w:p>
    <w:tbl>
      <w:tblPr>
        <w:tblStyle w:val="Tabellenraster"/>
        <w:tblW w:w="0" w:type="auto"/>
        <w:tblLook w:val="0080" w:firstRow="0" w:lastRow="0" w:firstColumn="1" w:lastColumn="0" w:noHBand="0" w:noVBand="0"/>
      </w:tblPr>
      <w:tblGrid>
        <w:gridCol w:w="1839"/>
        <w:gridCol w:w="7221"/>
      </w:tblGrid>
      <w:tr w:rsidR="0082373C" w:rsidRPr="007852AB" w14:paraId="55278306" w14:textId="77777777" w:rsidTr="006E5CAE">
        <w:tc>
          <w:tcPr>
            <w:tcW w:w="0" w:type="auto"/>
          </w:tcPr>
          <w:p w14:paraId="0F7CF951" w14:textId="77777777" w:rsidR="0082373C" w:rsidRPr="006F4251" w:rsidRDefault="0082373C" w:rsidP="006F4251">
            <w:r w:rsidRPr="006F4251">
              <w:t>[</w:t>
            </w:r>
            <w:r w:rsidR="00115A30" w:rsidRPr="006F4251">
              <w:t>Peppol</w:t>
            </w:r>
            <w:r w:rsidRPr="006F4251">
              <w:t>]</w:t>
            </w:r>
          </w:p>
        </w:tc>
        <w:tc>
          <w:tcPr>
            <w:tcW w:w="0" w:type="auto"/>
          </w:tcPr>
          <w:p w14:paraId="48754010" w14:textId="0B09E9DC" w:rsidR="0082373C" w:rsidRPr="006F4251" w:rsidRDefault="00E21E96" w:rsidP="006F4251">
            <w:hyperlink r:id="rId15" w:history="1">
              <w:r w:rsidR="00D434C9" w:rsidRPr="006F4251">
                <w:rPr>
                  <w:rStyle w:val="Hyperlink"/>
                </w:rPr>
                <w:t>https://www.peppol.eu/</w:t>
              </w:r>
            </w:hyperlink>
          </w:p>
        </w:tc>
      </w:tr>
      <w:tr w:rsidR="0082373C" w:rsidRPr="007852AB" w14:paraId="7ABC4AFC" w14:textId="77777777" w:rsidTr="006E5CAE">
        <w:tc>
          <w:tcPr>
            <w:tcW w:w="0" w:type="auto"/>
          </w:tcPr>
          <w:p w14:paraId="67DA5585" w14:textId="77777777" w:rsidR="0082373C" w:rsidRPr="006F4251" w:rsidRDefault="0082373C" w:rsidP="006F4251">
            <w:r w:rsidRPr="006F4251">
              <w:t>[</w:t>
            </w:r>
            <w:r w:rsidR="00115A30" w:rsidRPr="006F4251">
              <w:t>Peppol</w:t>
            </w:r>
            <w:r w:rsidRPr="006F4251">
              <w:t>_PostAward]</w:t>
            </w:r>
          </w:p>
        </w:tc>
        <w:tc>
          <w:tcPr>
            <w:tcW w:w="0" w:type="auto"/>
          </w:tcPr>
          <w:p w14:paraId="3E0FAF13" w14:textId="165D57E5" w:rsidR="0082373C" w:rsidRPr="006F4251" w:rsidRDefault="00E21E96" w:rsidP="006F4251">
            <w:hyperlink r:id="rId16" w:history="1">
              <w:r w:rsidR="001870DB" w:rsidRPr="006F4251">
                <w:rPr>
                  <w:rStyle w:val="Hyperlink"/>
                </w:rPr>
                <w:t>https://peppol.eu/downloads/post-award/</w:t>
              </w:r>
            </w:hyperlink>
          </w:p>
        </w:tc>
      </w:tr>
      <w:tr w:rsidR="0082373C" w:rsidRPr="0082373C" w14:paraId="1CCEF682" w14:textId="77777777" w:rsidTr="006E5CAE">
        <w:tc>
          <w:tcPr>
            <w:tcW w:w="0" w:type="auto"/>
          </w:tcPr>
          <w:p w14:paraId="249592A5" w14:textId="77777777" w:rsidR="0082373C" w:rsidRPr="006F4251" w:rsidRDefault="0082373C" w:rsidP="006F4251">
            <w:r w:rsidRPr="006F4251">
              <w:t>[</w:t>
            </w:r>
            <w:r w:rsidR="00115A30" w:rsidRPr="006F4251">
              <w:t>Peppol</w:t>
            </w:r>
            <w:r w:rsidRPr="006F4251">
              <w:t>_Transp]</w:t>
            </w:r>
          </w:p>
        </w:tc>
        <w:tc>
          <w:tcPr>
            <w:tcW w:w="0" w:type="auto"/>
          </w:tcPr>
          <w:p w14:paraId="19278967" w14:textId="16019DCC" w:rsidR="0082373C" w:rsidRPr="006F4251" w:rsidRDefault="00E21E96" w:rsidP="006F4251">
            <w:hyperlink r:id="rId17" w:history="1">
              <w:r w:rsidR="001870DB" w:rsidRPr="006F4251">
                <w:rPr>
                  <w:rStyle w:val="Hyperlink"/>
                </w:rPr>
                <w:t>https://peppol.eu/downloads/the-peppol-edelivery-network-specifications/</w:t>
              </w:r>
            </w:hyperlink>
          </w:p>
        </w:tc>
      </w:tr>
      <w:tr w:rsidR="00676FDB" w:rsidRPr="0082373C" w14:paraId="6C42C29C" w14:textId="77777777" w:rsidTr="006E5CAE">
        <w:tc>
          <w:tcPr>
            <w:tcW w:w="0" w:type="auto"/>
          </w:tcPr>
          <w:p w14:paraId="4AD394A5" w14:textId="77777777" w:rsidR="00676FDB" w:rsidRPr="006F4251" w:rsidRDefault="00676FDB" w:rsidP="006F4251">
            <w:r w:rsidRPr="006F4251">
              <w:t>[</w:t>
            </w:r>
            <w:r w:rsidR="00115A30" w:rsidRPr="006F4251">
              <w:t>Peppol</w:t>
            </w:r>
            <w:r w:rsidRPr="006F4251">
              <w:t>_CodeList]</w:t>
            </w:r>
          </w:p>
        </w:tc>
        <w:tc>
          <w:tcPr>
            <w:tcW w:w="0" w:type="auto"/>
          </w:tcPr>
          <w:p w14:paraId="31FA595B" w14:textId="570F5806" w:rsidR="00676FDB" w:rsidRPr="006F4251" w:rsidRDefault="00E21E96" w:rsidP="006F4251">
            <w:hyperlink r:id="rId18" w:history="1">
              <w:r w:rsidR="00FA3522" w:rsidRPr="006F4251">
                <w:rPr>
                  <w:rStyle w:val="Hyperlink"/>
                </w:rPr>
                <w:t>https://docs.peppol.eu/edelivery/codelists/</w:t>
              </w:r>
            </w:hyperlink>
          </w:p>
        </w:tc>
      </w:tr>
      <w:tr w:rsidR="00676FDB" w:rsidRPr="0082373C" w14:paraId="4F3EDB78" w14:textId="77777777" w:rsidTr="006E5CAE">
        <w:tc>
          <w:tcPr>
            <w:tcW w:w="0" w:type="auto"/>
          </w:tcPr>
          <w:p w14:paraId="5830D09C" w14:textId="77777777" w:rsidR="00676FDB" w:rsidRPr="006F4251" w:rsidRDefault="00676FDB" w:rsidP="006F4251">
            <w:r w:rsidRPr="006F4251">
              <w:t>[CEN_BII]</w:t>
            </w:r>
          </w:p>
        </w:tc>
        <w:tc>
          <w:tcPr>
            <w:tcW w:w="0" w:type="auto"/>
          </w:tcPr>
          <w:p w14:paraId="63BFC6EA" w14:textId="02B0D1DF" w:rsidR="00676FDB" w:rsidRPr="006F4251" w:rsidRDefault="00E21E96" w:rsidP="006F4251">
            <w:hyperlink r:id="rId19" w:history="1">
              <w:r w:rsidR="00F3365E" w:rsidRPr="006F4251">
                <w:rPr>
                  <w:rStyle w:val="Hyperlink"/>
                </w:rPr>
                <w:t>http://cenbii.eu/deliverables/cen-bii/</w:t>
              </w:r>
            </w:hyperlink>
          </w:p>
        </w:tc>
      </w:tr>
      <w:tr w:rsidR="00676FDB" w:rsidRPr="007852AB" w14:paraId="561AF6EF" w14:textId="77777777" w:rsidTr="006E5CAE">
        <w:tc>
          <w:tcPr>
            <w:tcW w:w="0" w:type="auto"/>
          </w:tcPr>
          <w:p w14:paraId="397669FA" w14:textId="77777777" w:rsidR="00676FDB" w:rsidRPr="006F4251" w:rsidRDefault="00676FDB" w:rsidP="006F4251">
            <w:r w:rsidRPr="006F4251">
              <w:t>[CEN_BII2]</w:t>
            </w:r>
          </w:p>
        </w:tc>
        <w:tc>
          <w:tcPr>
            <w:tcW w:w="0" w:type="auto"/>
          </w:tcPr>
          <w:p w14:paraId="0ECC7E6E" w14:textId="54701CDF" w:rsidR="00676FDB" w:rsidRPr="006F4251" w:rsidRDefault="00E21E96" w:rsidP="006F4251">
            <w:hyperlink r:id="rId20" w:history="1">
              <w:r w:rsidR="00F3365E" w:rsidRPr="006F4251">
                <w:rPr>
                  <w:rStyle w:val="Hyperlink"/>
                </w:rPr>
                <w:t>http://cenbii.eu/deliverables/cen-bii-2/</w:t>
              </w:r>
            </w:hyperlink>
          </w:p>
        </w:tc>
      </w:tr>
      <w:tr w:rsidR="00676FDB" w:rsidRPr="0082373C" w14:paraId="61B9CAD7" w14:textId="77777777" w:rsidTr="006E5CAE">
        <w:tc>
          <w:tcPr>
            <w:tcW w:w="0" w:type="auto"/>
          </w:tcPr>
          <w:p w14:paraId="638018C5" w14:textId="77777777" w:rsidR="00676FDB" w:rsidRPr="0082373C" w:rsidRDefault="00676FDB" w:rsidP="003E3C6D">
            <w:r>
              <w:t>[CEN_BII2_Guideline]</w:t>
            </w:r>
          </w:p>
        </w:tc>
        <w:tc>
          <w:tcPr>
            <w:tcW w:w="0" w:type="auto"/>
          </w:tcPr>
          <w:p w14:paraId="444337A0" w14:textId="6C106E14" w:rsidR="00676FDB" w:rsidRPr="0082373C" w:rsidRDefault="00E21E96" w:rsidP="00DA779F">
            <w:hyperlink r:id="rId21" w:history="1">
              <w:r w:rsidR="00676FDB">
                <w:rPr>
                  <w:rStyle w:val="Hyperlink"/>
                </w:rPr>
                <w:t>ftp://ftp.cen.eu/public/CWAs/BII2/CWA16558/CWA16558-Annex-C-BII-Guideline-ConformanceAndCustomizations-V1_0_0.pdf</w:t>
              </w:r>
            </w:hyperlink>
          </w:p>
        </w:tc>
      </w:tr>
      <w:tr w:rsidR="00676FDB" w:rsidRPr="0082373C" w14:paraId="411D620E" w14:textId="77777777" w:rsidTr="006E5CAE">
        <w:tc>
          <w:tcPr>
            <w:tcW w:w="0" w:type="auto"/>
          </w:tcPr>
          <w:p w14:paraId="2FA79284" w14:textId="77777777" w:rsidR="00676FDB" w:rsidRPr="0082373C" w:rsidRDefault="00676FDB" w:rsidP="00DA779F">
            <w:r w:rsidRPr="0082373C">
              <w:t>[ISO 15459]</w:t>
            </w:r>
          </w:p>
        </w:tc>
        <w:tc>
          <w:tcPr>
            <w:tcW w:w="0" w:type="auto"/>
          </w:tcPr>
          <w:p w14:paraId="4AACA7D2" w14:textId="4D5BE8A8" w:rsidR="00676FDB" w:rsidRDefault="00E21E96" w:rsidP="00DA779F">
            <w:hyperlink r:id="rId22" w:history="1">
              <w:r w:rsidR="00676FDB" w:rsidRPr="0082373C">
                <w:rPr>
                  <w:rStyle w:val="Hyperlink"/>
                </w:rPr>
                <w:t>http://www.iso.org/iso/iso_catalogue/catalogue_tc/catalogue_detail.htm?csnumber=51284</w:t>
              </w:r>
            </w:hyperlink>
          </w:p>
          <w:p w14:paraId="5CAF0345" w14:textId="59F94461" w:rsidR="00676FDB" w:rsidRPr="0082373C" w:rsidRDefault="00E21E96" w:rsidP="00DA779F">
            <w:hyperlink r:id="rId23" w:history="1">
              <w:r w:rsidR="00676FDB" w:rsidRPr="0082373C">
                <w:rPr>
                  <w:rStyle w:val="Hyperlink"/>
                </w:rPr>
                <w:t>http://www.iso.org/iso/iso_catalogue/catalogue_tc/catalogue_detail.htm?csnumber=43349</w:t>
              </w:r>
            </w:hyperlink>
          </w:p>
        </w:tc>
      </w:tr>
      <w:tr w:rsidR="00676FDB" w:rsidRPr="007852AB" w14:paraId="1F2E39E6" w14:textId="77777777" w:rsidTr="006E5CAE">
        <w:tc>
          <w:tcPr>
            <w:tcW w:w="0" w:type="auto"/>
          </w:tcPr>
          <w:p w14:paraId="1F4793D2" w14:textId="77777777" w:rsidR="00676FDB" w:rsidRPr="006F4251" w:rsidRDefault="00676FDB" w:rsidP="006F4251">
            <w:r w:rsidRPr="006F4251">
              <w:t>[ISO 9735 Service Code List (0007)]</w:t>
            </w:r>
          </w:p>
        </w:tc>
        <w:tc>
          <w:tcPr>
            <w:tcW w:w="0" w:type="auto"/>
          </w:tcPr>
          <w:p w14:paraId="17FEA5E0" w14:textId="4AC124CA" w:rsidR="00676FDB" w:rsidRPr="006F4251" w:rsidRDefault="00E21E96" w:rsidP="006F4251">
            <w:hyperlink r:id="rId24" w:history="1">
              <w:r w:rsidR="005A3505" w:rsidRPr="006F4251">
                <w:rPr>
                  <w:rStyle w:val="Hyperlink"/>
                </w:rPr>
                <w:t>http://www.unece.org/trade/untdid/download/r1241.txt</w:t>
              </w:r>
            </w:hyperlink>
          </w:p>
        </w:tc>
      </w:tr>
      <w:tr w:rsidR="00676FDB" w:rsidRPr="007852AB" w14:paraId="58ED83CE" w14:textId="77777777" w:rsidTr="006E5CAE">
        <w:tc>
          <w:tcPr>
            <w:tcW w:w="0" w:type="auto"/>
          </w:tcPr>
          <w:p w14:paraId="4B6FF6E2" w14:textId="77777777" w:rsidR="00676FDB" w:rsidRPr="006F4251" w:rsidRDefault="00676FDB" w:rsidP="006F4251">
            <w:r w:rsidRPr="006F4251">
              <w:t>[ISO 6523]</w:t>
            </w:r>
          </w:p>
        </w:tc>
        <w:tc>
          <w:tcPr>
            <w:tcW w:w="0" w:type="auto"/>
          </w:tcPr>
          <w:p w14:paraId="215F1D23" w14:textId="6EAD3445" w:rsidR="00676FDB" w:rsidRPr="006F4251" w:rsidRDefault="00E21E96" w:rsidP="006F4251">
            <w:hyperlink r:id="rId25" w:history="1">
              <w:r w:rsidR="00676FDB" w:rsidRPr="006F4251">
                <w:rPr>
                  <w:rStyle w:val="Hyperlink"/>
                </w:rPr>
                <w:t>http://www.iso.org/iso/catalogue_detail?csnumber=25773</w:t>
              </w:r>
            </w:hyperlink>
          </w:p>
        </w:tc>
      </w:tr>
      <w:tr w:rsidR="00676FDB" w:rsidRPr="0082373C" w14:paraId="57A75823" w14:textId="77777777" w:rsidTr="006E5CAE">
        <w:tc>
          <w:tcPr>
            <w:tcW w:w="0" w:type="auto"/>
          </w:tcPr>
          <w:p w14:paraId="2AE6699A" w14:textId="77777777" w:rsidR="00676FDB" w:rsidRPr="006F4251" w:rsidRDefault="00676FDB" w:rsidP="006F4251">
            <w:r w:rsidRPr="006F4251">
              <w:t>[OASIS UBL]</w:t>
            </w:r>
          </w:p>
        </w:tc>
        <w:tc>
          <w:tcPr>
            <w:tcW w:w="0" w:type="auto"/>
          </w:tcPr>
          <w:p w14:paraId="646E04C5" w14:textId="05BB2192" w:rsidR="00676FDB" w:rsidRDefault="00E21E96" w:rsidP="00E15FB4">
            <w:hyperlink r:id="rId26" w:history="1">
              <w:r w:rsidR="00676FDB" w:rsidRPr="00471731">
                <w:rPr>
                  <w:rStyle w:val="Hyperlink"/>
                </w:rPr>
                <w:t>http://docs.oasis-open.org/ubl/os-UBL-2.1/UBL-2.1.html</w:t>
              </w:r>
            </w:hyperlink>
          </w:p>
          <w:p w14:paraId="6BB9F2DF" w14:textId="7703A418" w:rsidR="00676FDB" w:rsidRDefault="00E21E96" w:rsidP="00E15FB4">
            <w:hyperlink r:id="rId27" w:history="1">
              <w:r w:rsidR="00676FDB" w:rsidRPr="00E15FB4">
                <w:rPr>
                  <w:rStyle w:val="Hyperlink"/>
                </w:rPr>
                <w:t>http://docs.oasis-open.org/ubl/os-UBL-2.1/UBL-2.1.zip</w:t>
              </w:r>
            </w:hyperlink>
          </w:p>
        </w:tc>
      </w:tr>
      <w:tr w:rsidR="00E15FB4" w:rsidRPr="0082373C" w14:paraId="76B37165" w14:textId="77777777" w:rsidTr="006E5CAE">
        <w:tc>
          <w:tcPr>
            <w:tcW w:w="0" w:type="auto"/>
          </w:tcPr>
          <w:p w14:paraId="49ED0BC2" w14:textId="77777777" w:rsidR="00E15FB4" w:rsidRPr="006F4251" w:rsidRDefault="00E15FB4" w:rsidP="006F4251">
            <w:r w:rsidRPr="006F4251">
              <w:t>[OASIS UBL22]</w:t>
            </w:r>
          </w:p>
        </w:tc>
        <w:tc>
          <w:tcPr>
            <w:tcW w:w="0" w:type="auto"/>
          </w:tcPr>
          <w:p w14:paraId="25E8F189" w14:textId="61BB268D" w:rsidR="00E15FB4" w:rsidRDefault="00E21E96" w:rsidP="00E15FB4">
            <w:hyperlink r:id="rId28" w:history="1">
              <w:r w:rsidR="00E15FB4" w:rsidRPr="009F0AE3">
                <w:rPr>
                  <w:rStyle w:val="Hyperlink"/>
                </w:rPr>
                <w:t>http://docs.oasis-open.org/ubl/os-UBL-2.2/UBL-2.2.html</w:t>
              </w:r>
            </w:hyperlink>
          </w:p>
          <w:p w14:paraId="7486E95C" w14:textId="63C2D68C" w:rsidR="00E15FB4" w:rsidRDefault="00E21E96" w:rsidP="00E15FB4">
            <w:hyperlink r:id="rId29" w:history="1">
              <w:r w:rsidR="00E15FB4" w:rsidRPr="009F0AE3">
                <w:rPr>
                  <w:rStyle w:val="Hyperlink"/>
                </w:rPr>
                <w:t>http://docs.oasis-open.org/ubl/os-UBL-2.2/UBL-2.2.zip</w:t>
              </w:r>
            </w:hyperlink>
          </w:p>
        </w:tc>
      </w:tr>
      <w:tr w:rsidR="00676FDB" w:rsidRPr="007852AB" w14:paraId="7E05DC18" w14:textId="77777777" w:rsidTr="006E5CAE">
        <w:tc>
          <w:tcPr>
            <w:tcW w:w="0" w:type="auto"/>
          </w:tcPr>
          <w:p w14:paraId="5D121D03" w14:textId="77777777" w:rsidR="00676FDB" w:rsidRPr="006F4251" w:rsidRDefault="00676FDB" w:rsidP="006F4251">
            <w:r w:rsidRPr="006F4251">
              <w:t>[OASIS ebCore]</w:t>
            </w:r>
          </w:p>
        </w:tc>
        <w:tc>
          <w:tcPr>
            <w:tcW w:w="0" w:type="auto"/>
          </w:tcPr>
          <w:p w14:paraId="1AEFD688" w14:textId="44ADA535" w:rsidR="00676FDB" w:rsidRPr="006F4251" w:rsidRDefault="00E21E96" w:rsidP="006F4251">
            <w:hyperlink r:id="rId30" w:history="1">
              <w:r w:rsidR="00676FDB" w:rsidRPr="006F4251">
                <w:rPr>
                  <w:rStyle w:val="Hyperlink"/>
                </w:rPr>
                <w:t>http://docs.oasis-open.org/ebcore/PartyIdType/v1.0/CD03/PartyIdType-1.0.html</w:t>
              </w:r>
            </w:hyperlink>
          </w:p>
        </w:tc>
      </w:tr>
      <w:tr w:rsidR="0054220E" w:rsidRPr="007852AB" w14:paraId="56FE52D3" w14:textId="77777777" w:rsidTr="006E5CAE">
        <w:tc>
          <w:tcPr>
            <w:tcW w:w="0" w:type="auto"/>
          </w:tcPr>
          <w:p w14:paraId="41D989DE" w14:textId="77777777" w:rsidR="0054220E" w:rsidRPr="006F4251" w:rsidRDefault="0054220E" w:rsidP="006F4251">
            <w:r w:rsidRPr="006F4251">
              <w:t>[RFC3986]</w:t>
            </w:r>
          </w:p>
        </w:tc>
        <w:tc>
          <w:tcPr>
            <w:tcW w:w="0" w:type="auto"/>
          </w:tcPr>
          <w:p w14:paraId="518ADAF2" w14:textId="54A7AEC1" w:rsidR="0054220E" w:rsidRPr="006F4251" w:rsidRDefault="00E21E96" w:rsidP="006F4251">
            <w:hyperlink r:id="rId31" w:history="1">
              <w:r w:rsidR="0054220E" w:rsidRPr="006F4251">
                <w:rPr>
                  <w:rStyle w:val="Hyperlink"/>
                </w:rPr>
                <w:t>https://tools.ietf.org/html/rfc3986</w:t>
              </w:r>
            </w:hyperlink>
          </w:p>
        </w:tc>
      </w:tr>
      <w:tr w:rsidR="00676FDB" w:rsidRPr="007852AB" w14:paraId="06BF6AD6" w14:textId="77777777" w:rsidTr="006E5CAE">
        <w:tc>
          <w:tcPr>
            <w:tcW w:w="0" w:type="auto"/>
          </w:tcPr>
          <w:p w14:paraId="75BC4B7B" w14:textId="77777777" w:rsidR="00676FDB" w:rsidRPr="006F4251" w:rsidRDefault="00676FDB" w:rsidP="006F4251">
            <w:r w:rsidRPr="006F4251">
              <w:t>[UN/CEFACT]</w:t>
            </w:r>
          </w:p>
        </w:tc>
        <w:tc>
          <w:tcPr>
            <w:tcW w:w="0" w:type="auto"/>
          </w:tcPr>
          <w:p w14:paraId="53A89DED" w14:textId="3FE80D69" w:rsidR="00676FDB" w:rsidRPr="006F4251" w:rsidRDefault="00E21E96" w:rsidP="006F4251">
            <w:hyperlink r:id="rId32" w:history="1">
              <w:r w:rsidR="00676FDB" w:rsidRPr="006F4251">
                <w:rPr>
                  <w:rStyle w:val="Hyperlink"/>
                </w:rPr>
                <w:t>http://www.unece.org/cefact/</w:t>
              </w:r>
            </w:hyperlink>
          </w:p>
        </w:tc>
      </w:tr>
    </w:tbl>
    <w:p w14:paraId="78725022" w14:textId="77777777" w:rsidR="006B63D3" w:rsidRDefault="006B63D3" w:rsidP="00E91709">
      <w:pPr>
        <w:pStyle w:val="berschrift2"/>
      </w:pPr>
      <w:bookmarkStart w:id="26" w:name="_Toc52229850"/>
      <w:bookmarkStart w:id="27" w:name="_Toc54985981"/>
      <w:bookmarkEnd w:id="26"/>
      <w:r>
        <w:lastRenderedPageBreak/>
        <w:t>XML Namespaces URIs used</w:t>
      </w:r>
      <w:bookmarkEnd w:id="27"/>
    </w:p>
    <w:tbl>
      <w:tblPr>
        <w:tblStyle w:val="HelleListe-Akzent11"/>
        <w:tblW w:w="5000" w:type="pct"/>
        <w:tblLook w:val="0420" w:firstRow="1" w:lastRow="0" w:firstColumn="0" w:lastColumn="0" w:noHBand="0" w:noVBand="1"/>
      </w:tblPr>
      <w:tblGrid>
        <w:gridCol w:w="766"/>
        <w:gridCol w:w="8284"/>
      </w:tblGrid>
      <w:tr w:rsidR="006B63D3" w:rsidRPr="006B63D3" w14:paraId="53B087B1" w14:textId="77777777" w:rsidTr="006E5CAE">
        <w:trPr>
          <w:cnfStyle w:val="100000000000" w:firstRow="1" w:lastRow="0" w:firstColumn="0" w:lastColumn="0" w:oddVBand="0" w:evenVBand="0" w:oddHBand="0" w:evenHBand="0" w:firstRowFirstColumn="0" w:firstRowLastColumn="0" w:lastRowFirstColumn="0" w:lastRowLastColumn="0"/>
        </w:trPr>
        <w:tc>
          <w:tcPr>
            <w:tcW w:w="423" w:type="pct"/>
          </w:tcPr>
          <w:p w14:paraId="547911A0" w14:textId="77777777" w:rsidR="006B63D3" w:rsidRPr="006B63D3" w:rsidRDefault="006B63D3" w:rsidP="006B63D3">
            <w:pPr>
              <w:rPr>
                <w:b w:val="0"/>
                <w:lang w:eastAsia="it-IT"/>
              </w:rPr>
            </w:pPr>
            <w:r w:rsidRPr="006B63D3">
              <w:rPr>
                <w:lang w:eastAsia="it-IT"/>
              </w:rPr>
              <w:t>Prefix</w:t>
            </w:r>
          </w:p>
        </w:tc>
        <w:tc>
          <w:tcPr>
            <w:tcW w:w="4577" w:type="pct"/>
          </w:tcPr>
          <w:p w14:paraId="43A608E8" w14:textId="77777777" w:rsidR="006B63D3" w:rsidRPr="006B63D3" w:rsidRDefault="006B63D3" w:rsidP="006B63D3">
            <w:pPr>
              <w:rPr>
                <w:b w:val="0"/>
                <w:lang w:eastAsia="it-IT"/>
              </w:rPr>
            </w:pPr>
            <w:r w:rsidRPr="006B63D3">
              <w:rPr>
                <w:lang w:eastAsia="it-IT"/>
              </w:rPr>
              <w:t>Namespace URI</w:t>
            </w:r>
          </w:p>
        </w:tc>
      </w:tr>
      <w:tr w:rsidR="006B63D3" w14:paraId="2637A677" w14:textId="77777777" w:rsidTr="006E5CAE">
        <w:trPr>
          <w:cnfStyle w:val="000000100000" w:firstRow="0" w:lastRow="0" w:firstColumn="0" w:lastColumn="0" w:oddVBand="0" w:evenVBand="0" w:oddHBand="1" w:evenHBand="0" w:firstRowFirstColumn="0" w:firstRowLastColumn="0" w:lastRowFirstColumn="0" w:lastRowLastColumn="0"/>
        </w:trPr>
        <w:tc>
          <w:tcPr>
            <w:tcW w:w="423" w:type="pct"/>
          </w:tcPr>
          <w:p w14:paraId="36528238" w14:textId="77777777" w:rsidR="006B63D3" w:rsidRDefault="006B63D3" w:rsidP="006B63D3">
            <w:pPr>
              <w:rPr>
                <w:lang w:eastAsia="it-IT"/>
              </w:rPr>
            </w:pPr>
            <w:r>
              <w:rPr>
                <w:lang w:eastAsia="it-IT"/>
              </w:rPr>
              <w:t>cac</w:t>
            </w:r>
          </w:p>
        </w:tc>
        <w:tc>
          <w:tcPr>
            <w:tcW w:w="4577" w:type="pct"/>
          </w:tcPr>
          <w:p w14:paraId="165A6DEC" w14:textId="77777777" w:rsidR="006B63D3" w:rsidRDefault="006B63D3" w:rsidP="006B63D3">
            <w:pPr>
              <w:rPr>
                <w:lang w:eastAsia="it-IT"/>
              </w:rPr>
            </w:pPr>
            <w:r w:rsidRPr="006B63D3">
              <w:rPr>
                <w:lang w:eastAsia="it-IT"/>
              </w:rPr>
              <w:t>urn:oasis:names:specification:ubl:schema:xsd:CommonAggregateComponents-2</w:t>
            </w:r>
          </w:p>
        </w:tc>
      </w:tr>
      <w:tr w:rsidR="006B63D3" w14:paraId="3FD81484" w14:textId="77777777" w:rsidTr="006E5CAE">
        <w:tc>
          <w:tcPr>
            <w:tcW w:w="423" w:type="pct"/>
          </w:tcPr>
          <w:p w14:paraId="3FF9F1C1" w14:textId="77777777" w:rsidR="006B63D3" w:rsidRDefault="006B63D3" w:rsidP="006B63D3">
            <w:pPr>
              <w:rPr>
                <w:lang w:eastAsia="it-IT"/>
              </w:rPr>
            </w:pPr>
            <w:r>
              <w:rPr>
                <w:lang w:eastAsia="it-IT"/>
              </w:rPr>
              <w:t>cbc</w:t>
            </w:r>
          </w:p>
        </w:tc>
        <w:tc>
          <w:tcPr>
            <w:tcW w:w="4577" w:type="pct"/>
          </w:tcPr>
          <w:p w14:paraId="72BC60BD" w14:textId="77777777" w:rsidR="006B63D3" w:rsidRDefault="006B63D3" w:rsidP="006B63D3">
            <w:pPr>
              <w:rPr>
                <w:lang w:eastAsia="it-IT"/>
              </w:rPr>
            </w:pPr>
            <w:r w:rsidRPr="006B63D3">
              <w:rPr>
                <w:lang w:eastAsia="it-IT"/>
              </w:rPr>
              <w:t>urn:oasis:names:specification:ubl:schema:xsd:CommonBasicComponents-2</w:t>
            </w:r>
          </w:p>
        </w:tc>
      </w:tr>
      <w:tr w:rsidR="006B63D3" w14:paraId="6A1BD393" w14:textId="77777777" w:rsidTr="006E5CAE">
        <w:trPr>
          <w:cnfStyle w:val="000000100000" w:firstRow="0" w:lastRow="0" w:firstColumn="0" w:lastColumn="0" w:oddVBand="0" w:evenVBand="0" w:oddHBand="1" w:evenHBand="0" w:firstRowFirstColumn="0" w:firstRowLastColumn="0" w:lastRowFirstColumn="0" w:lastRowLastColumn="0"/>
        </w:trPr>
        <w:tc>
          <w:tcPr>
            <w:tcW w:w="423" w:type="pct"/>
          </w:tcPr>
          <w:p w14:paraId="5F97EE7B" w14:textId="77777777" w:rsidR="006B63D3" w:rsidRDefault="006B63D3" w:rsidP="006B63D3">
            <w:pPr>
              <w:rPr>
                <w:lang w:eastAsia="it-IT"/>
              </w:rPr>
            </w:pPr>
            <w:r>
              <w:rPr>
                <w:lang w:eastAsia="it-IT"/>
              </w:rPr>
              <w:t>ram</w:t>
            </w:r>
          </w:p>
        </w:tc>
        <w:tc>
          <w:tcPr>
            <w:tcW w:w="4577" w:type="pct"/>
          </w:tcPr>
          <w:p w14:paraId="62A4DF6A" w14:textId="77777777" w:rsidR="006B63D3" w:rsidRDefault="006B63D3" w:rsidP="006B63D3">
            <w:pPr>
              <w:rPr>
                <w:lang w:eastAsia="it-IT"/>
              </w:rPr>
            </w:pPr>
            <w:r w:rsidRPr="006B63D3">
              <w:rPr>
                <w:lang w:eastAsia="it-IT"/>
              </w:rPr>
              <w:t>urn:un:unece:uncefact:data:standard:ReusableAggregateBusinessInformationEntity:100</w:t>
            </w:r>
          </w:p>
        </w:tc>
      </w:tr>
      <w:tr w:rsidR="006B63D3" w14:paraId="730D1715" w14:textId="77777777" w:rsidTr="006E5CAE">
        <w:tc>
          <w:tcPr>
            <w:tcW w:w="423" w:type="pct"/>
          </w:tcPr>
          <w:p w14:paraId="4890A816" w14:textId="77777777" w:rsidR="006B63D3" w:rsidRDefault="006B63D3" w:rsidP="006B63D3">
            <w:pPr>
              <w:rPr>
                <w:lang w:eastAsia="it-IT"/>
              </w:rPr>
            </w:pPr>
            <w:r>
              <w:rPr>
                <w:lang w:eastAsia="it-IT"/>
              </w:rPr>
              <w:t>rsm</w:t>
            </w:r>
          </w:p>
        </w:tc>
        <w:tc>
          <w:tcPr>
            <w:tcW w:w="4577" w:type="pct"/>
          </w:tcPr>
          <w:p w14:paraId="708D2D3B" w14:textId="77777777" w:rsidR="006B63D3" w:rsidRDefault="006B63D3" w:rsidP="006B63D3">
            <w:pPr>
              <w:rPr>
                <w:lang w:eastAsia="it-IT"/>
              </w:rPr>
            </w:pPr>
            <w:r w:rsidRPr="006B63D3">
              <w:rPr>
                <w:lang w:eastAsia="it-IT"/>
              </w:rPr>
              <w:t>urn:un:unece:uncefact:data:standard:CrossIndustryInvoice:100</w:t>
            </w:r>
          </w:p>
        </w:tc>
      </w:tr>
    </w:tbl>
    <w:p w14:paraId="583B7B23" w14:textId="77777777" w:rsidR="00F00D52" w:rsidRPr="00E15FB4" w:rsidRDefault="002279CE" w:rsidP="00E15FB4">
      <w:pPr>
        <w:pStyle w:val="berschrift1"/>
      </w:pPr>
      <w:bookmarkStart w:id="28" w:name="_Toc54985982"/>
      <w:r w:rsidRPr="00E15FB4">
        <w:lastRenderedPageBreak/>
        <w:t>Introduction</w:t>
      </w:r>
      <w:bookmarkEnd w:id="10"/>
      <w:r w:rsidR="00483A49" w:rsidRPr="00E15FB4">
        <w:t xml:space="preserve"> to </w:t>
      </w:r>
      <w:r w:rsidR="00264E53" w:rsidRPr="00E15FB4">
        <w:t>identifiers</w:t>
      </w:r>
      <w:bookmarkEnd w:id="28"/>
    </w:p>
    <w:p w14:paraId="7CEFC6F3" w14:textId="77777777"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w:t>
      </w:r>
      <w:r w:rsidR="00115A30">
        <w:t>Peppol</w:t>
      </w:r>
      <w:r w:rsidR="00A721BD" w:rsidRPr="001F4312">
        <w:t xml:space="preserve">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w:t>
      </w:r>
      <w:r w:rsidR="00115A30">
        <w:t>Peppol</w:t>
      </w:r>
      <w:r w:rsidR="00A721BD" w:rsidRPr="001F4312">
        <w:t xml:space="preserve"> business exchanges.</w:t>
      </w:r>
    </w:p>
    <w:p w14:paraId="15B0654C" w14:textId="77777777"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w:t>
      </w:r>
      <w:r w:rsidR="00115A30">
        <w:t>Peppol</w:t>
      </w:r>
      <w:r w:rsidR="0053746D" w:rsidRPr="001F4312">
        <w:t xml:space="preserve">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 xml:space="preserve">hould form a requirement of any </w:t>
      </w:r>
      <w:r w:rsidR="00115A30">
        <w:t>Peppol</w:t>
      </w:r>
      <w:r w:rsidR="002D3B5B" w:rsidRPr="001F4312">
        <w:t xml:space="preserve"> participation agreements.</w:t>
      </w:r>
    </w:p>
    <w:p w14:paraId="2B2AC264" w14:textId="77777777" w:rsidR="009858FE" w:rsidRPr="00E15FB4" w:rsidRDefault="009858FE" w:rsidP="00E15FB4">
      <w:pPr>
        <w:pStyle w:val="berschrift2"/>
      </w:pPr>
      <w:bookmarkStart w:id="29" w:name="_Toc316247563"/>
      <w:bookmarkStart w:id="30" w:name="_Toc54985983"/>
      <w:r w:rsidRPr="00E15FB4">
        <w:t>Scope</w:t>
      </w:r>
      <w:bookmarkEnd w:id="29"/>
      <w:bookmarkEnd w:id="30"/>
    </w:p>
    <w:p w14:paraId="22704F7F" w14:textId="77777777" w:rsidR="00E17B9D" w:rsidRPr="00E15FB4" w:rsidRDefault="00F15C7D" w:rsidP="00E15FB4">
      <w:pPr>
        <w:pStyle w:val="berschrift3"/>
      </w:pPr>
      <w:bookmarkStart w:id="31" w:name="_Toc5498598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31"/>
    </w:p>
    <w:p w14:paraId="49A67475" w14:textId="77777777" w:rsidR="00E17B9D" w:rsidRDefault="00C729D2" w:rsidP="00EA5B88">
      <w:r w:rsidRPr="001F4312">
        <w:t xml:space="preserve">Parties in the </w:t>
      </w:r>
      <w:r w:rsidR="00115A30">
        <w:t>Peppol</w:t>
      </w:r>
      <w:r w:rsidR="00D75721">
        <w:t xml:space="preserve">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 xml:space="preserve">the </w:t>
      </w:r>
      <w:r w:rsidR="00115A30">
        <w:t>Peppol</w:t>
      </w:r>
      <w:r w:rsidR="00D75721">
        <w:t xml:space="preserve"> eDelivery Network</w:t>
      </w:r>
      <w:r w:rsidR="006D5DB3" w:rsidRPr="001F4312">
        <w:t xml:space="preserve"> is the Participant Identifier</w:t>
      </w:r>
      <w:r w:rsidR="00E40F5A">
        <w:t>.</w:t>
      </w:r>
    </w:p>
    <w:p w14:paraId="11CE849F" w14:textId="77777777"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14:paraId="3AC2929E" w14:textId="77777777"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14:paraId="557F7C7B" w14:textId="77777777" w:rsidR="00E17B9D" w:rsidRDefault="00782E88" w:rsidP="00EA5B88">
      <w:r w:rsidRPr="001F4312">
        <w:t xml:space="preserve">Many schemes already exist for identifying Parties. </w:t>
      </w:r>
      <w:r w:rsidR="00115A30">
        <w:t>Peppol</w:t>
      </w:r>
      <w:r w:rsidRPr="001F4312">
        <w:t xml:space="preserve">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14:paraId="16D766A8" w14:textId="77777777" w:rsidR="00E17B9D" w:rsidRDefault="00F15C7D" w:rsidP="00E15FB4">
      <w:pPr>
        <w:pStyle w:val="berschrift3"/>
      </w:pPr>
      <w:bookmarkStart w:id="32" w:name="_Toc5498598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w:t>
      </w:r>
      <w:r w:rsidR="00115A30">
        <w:t>Peppol</w:t>
      </w:r>
      <w:r w:rsidR="006D5DB3" w:rsidRPr="001F4312">
        <w:t xml:space="preserve"> </w:t>
      </w:r>
      <w:r w:rsidR="009B2E7E" w:rsidRPr="001F4312">
        <w:t xml:space="preserve">implementation of the </w:t>
      </w:r>
      <w:r w:rsidR="00115A30">
        <w:t>Peppol</w:t>
      </w:r>
      <w:r w:rsidR="00D75721">
        <w:t xml:space="preserve"> eDelivery Network</w:t>
      </w:r>
      <w:bookmarkEnd w:id="32"/>
    </w:p>
    <w:p w14:paraId="608A0B0E" w14:textId="77777777" w:rsidR="00E17B9D" w:rsidRDefault="00C729D2" w:rsidP="00EA5B88">
      <w:r w:rsidRPr="001F4312">
        <w:t xml:space="preserve">The </w:t>
      </w:r>
      <w:r w:rsidR="00115A30">
        <w:t>Peppol</w:t>
      </w:r>
      <w:r w:rsidR="00A72582">
        <w:t xml:space="preserve">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w:t>
      </w:r>
      <w:r w:rsidR="00F3218D" w:rsidRPr="001F4312">
        <w:lastRenderedPageBreak/>
        <w:t xml:space="preserve">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14:paraId="2AD6F1A0" w14:textId="77777777" w:rsidR="00E17B9D" w:rsidRDefault="00AC27B6" w:rsidP="00E15FB4">
      <w:r w:rsidRPr="001F4312">
        <w:t>The diagram below shows the relationship of these information elements.</w:t>
      </w:r>
    </w:p>
    <w:p w14:paraId="1300634A" w14:textId="77777777" w:rsidR="008D548C" w:rsidRDefault="00913E37" w:rsidP="006132BB">
      <w:r>
        <w:rPr>
          <w:noProof/>
          <w:lang w:val="de-AT"/>
        </w:rPr>
        <w:drawing>
          <wp:inline distT="0" distB="0" distL="0" distR="0" wp14:anchorId="620EB536" wp14:editId="694AC244">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10EDD165" w14:textId="77777777" w:rsidR="00A6363A" w:rsidRDefault="00115A30" w:rsidP="006132BB">
      <w:r>
        <w:t>Peppol</w:t>
      </w:r>
      <w:r w:rsidR="00A6363A" w:rsidRPr="001F4312">
        <w:t xml:space="preserve"> </w:t>
      </w:r>
      <w:r w:rsidR="00A6363A">
        <w:t xml:space="preserve">has set up Business </w:t>
      </w:r>
      <w:r w:rsidR="00A6363A" w:rsidRPr="001F4312">
        <w:t xml:space="preserve">Interoperability Specifications </w:t>
      </w:r>
      <w:r w:rsidR="00A6363A">
        <w:t>(BIS) explaining how business documents need to be filled from a semantical and technical point of view.</w:t>
      </w:r>
    </w:p>
    <w:p w14:paraId="0E86DC6C" w14:textId="77777777" w:rsidR="00EA5B88" w:rsidRDefault="00CC55AF" w:rsidP="00CC55AF">
      <w:pPr>
        <w:pStyle w:val="berschrift3"/>
      </w:pPr>
      <w:bookmarkStart w:id="33" w:name="_Toc54985986"/>
      <w:r>
        <w:t>Semantic scope</w:t>
      </w:r>
      <w:bookmarkEnd w:id="33"/>
    </w:p>
    <w:p w14:paraId="66C2CEB5" w14:textId="77777777" w:rsidR="006954DB" w:rsidRDefault="00EA5B88" w:rsidP="00EA5B88">
      <w:r>
        <w:t>This document covers the following areas:</w:t>
      </w:r>
    </w:p>
    <w:p w14:paraId="5A80EDCA" w14:textId="77777777" w:rsidR="00EA5B88" w:rsidRDefault="00EA5B88" w:rsidP="00EA5B88">
      <w:pPr>
        <w:pStyle w:val="Listenabsatz"/>
        <w:numPr>
          <w:ilvl w:val="0"/>
          <w:numId w:val="13"/>
        </w:numPr>
      </w:pPr>
      <w:r>
        <w:t>Participant identification</w:t>
      </w:r>
    </w:p>
    <w:p w14:paraId="1F2F37C6" w14:textId="77777777" w:rsidR="00EA5B88" w:rsidRDefault="00EA5B88" w:rsidP="00EA5B88">
      <w:pPr>
        <w:pStyle w:val="Listenabsatz"/>
        <w:numPr>
          <w:ilvl w:val="1"/>
          <w:numId w:val="13"/>
        </w:numPr>
      </w:pPr>
      <w:r>
        <w:t xml:space="preserve">Identification of a </w:t>
      </w:r>
      <w:r w:rsidRPr="00EA5B88">
        <w:rPr>
          <w:u w:val="single"/>
        </w:rPr>
        <w:t>technical entity</w:t>
      </w:r>
      <w:r>
        <w:t xml:space="preserve"> in the </w:t>
      </w:r>
      <w:r w:rsidR="00115A30">
        <w:t>Peppol</w:t>
      </w:r>
      <w:r>
        <w:t xml:space="preserve"> eDelivery network</w:t>
      </w:r>
    </w:p>
    <w:p w14:paraId="717B7527" w14:textId="77777777" w:rsidR="006954DB" w:rsidRDefault="00494294" w:rsidP="006954DB">
      <w:pPr>
        <w:pStyle w:val="Listenabsatz"/>
        <w:numPr>
          <w:ilvl w:val="1"/>
          <w:numId w:val="13"/>
        </w:numPr>
      </w:pPr>
      <w:r>
        <w:t xml:space="preserve">Can be used </w:t>
      </w:r>
      <w:r w:rsidR="006954DB">
        <w:t>in transport documents and (where needed) in business documents</w:t>
      </w:r>
    </w:p>
    <w:p w14:paraId="284A4B49" w14:textId="77777777" w:rsidR="00EA5B88" w:rsidRPr="006E50F9" w:rsidRDefault="00EA5B88" w:rsidP="00EA5B88">
      <w:pPr>
        <w:pStyle w:val="Listenabsatz"/>
        <w:numPr>
          <w:ilvl w:val="0"/>
          <w:numId w:val="13"/>
        </w:numPr>
      </w:pPr>
      <w:r w:rsidRPr="006E50F9">
        <w:t>Party identification</w:t>
      </w:r>
    </w:p>
    <w:p w14:paraId="4536FB92" w14:textId="77777777" w:rsidR="00494294" w:rsidRDefault="00EA5B88" w:rsidP="00EA5B88">
      <w:pPr>
        <w:pStyle w:val="Listenabsatz"/>
        <w:numPr>
          <w:ilvl w:val="1"/>
          <w:numId w:val="13"/>
        </w:numPr>
      </w:pPr>
      <w:r>
        <w:t xml:space="preserve">Identification of a </w:t>
      </w:r>
      <w:r w:rsidRPr="00EA5B88">
        <w:rPr>
          <w:u w:val="single"/>
        </w:rPr>
        <w:t>business entity</w:t>
      </w:r>
    </w:p>
    <w:p w14:paraId="695DF7E3" w14:textId="77777777"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14:paraId="54FBB63A" w14:textId="77777777" w:rsidR="00EA5B88" w:rsidRDefault="00EA5B88" w:rsidP="00EA5B88">
      <w:pPr>
        <w:pStyle w:val="Listenabsatz"/>
        <w:numPr>
          <w:ilvl w:val="0"/>
          <w:numId w:val="13"/>
        </w:numPr>
      </w:pPr>
      <w:r>
        <w:t>Document type identification</w:t>
      </w:r>
    </w:p>
    <w:p w14:paraId="578AA516" w14:textId="77777777" w:rsidR="00EA5B88" w:rsidRDefault="00EA5B88" w:rsidP="00EA5B88">
      <w:pPr>
        <w:pStyle w:val="Listenabsatz"/>
        <w:numPr>
          <w:ilvl w:val="0"/>
          <w:numId w:val="13"/>
        </w:numPr>
      </w:pPr>
      <w:r>
        <w:t>Process identification</w:t>
      </w:r>
    </w:p>
    <w:p w14:paraId="7CEC2AE9" w14:textId="77777777" w:rsidR="00EA5B88" w:rsidRDefault="00EA5B88" w:rsidP="00EA5B88">
      <w:pPr>
        <w:pStyle w:val="Listenabsatz"/>
        <w:numPr>
          <w:ilvl w:val="0"/>
          <w:numId w:val="13"/>
        </w:numPr>
      </w:pPr>
      <w:r>
        <w:t>Transport profile identification</w:t>
      </w:r>
    </w:p>
    <w:p w14:paraId="0B371865" w14:textId="77777777" w:rsidR="00CC55AF" w:rsidRDefault="00CC55AF" w:rsidP="00CC55AF">
      <w:pPr>
        <w:pStyle w:val="berschrift3"/>
      </w:pPr>
      <w:bookmarkStart w:id="34" w:name="_Toc54985987"/>
      <w:r>
        <w:t xml:space="preserve">Relation to </w:t>
      </w:r>
      <w:r w:rsidR="00115A30">
        <w:t>Peppol</w:t>
      </w:r>
      <w:r>
        <w:t xml:space="preserve"> BIS versions 1 and 2</w:t>
      </w:r>
      <w:bookmarkEnd w:id="34"/>
    </w:p>
    <w:p w14:paraId="5BAF95F5" w14:textId="77777777" w:rsidR="00CC55AF" w:rsidRPr="00CC55AF" w:rsidRDefault="00CC55AF" w:rsidP="00CC55AF">
      <w:r>
        <w:t xml:space="preserve">This version of the document cannot be applied on </w:t>
      </w:r>
      <w:r w:rsidR="00115A30">
        <w:t>Peppol</w:t>
      </w:r>
      <w:r>
        <w:t xml:space="preserve"> BIS versions 1 and 2. </w:t>
      </w:r>
      <w:r w:rsidR="00115A30">
        <w:t>Peppol</w:t>
      </w:r>
      <w:r>
        <w:t xml:space="preserve"> BIS versions 1 and 2 MUST follow the most up-to-date “</w:t>
      </w:r>
      <w:r w:rsidR="00115A30">
        <w:t>Peppol</w:t>
      </w:r>
      <w:r>
        <w:t xml:space="preserve"> Policy for use of identifiers” version 3.x.</w:t>
      </w:r>
    </w:p>
    <w:p w14:paraId="7A18CBD7" w14:textId="77777777" w:rsidR="00DF282A" w:rsidRDefault="00DF282A" w:rsidP="00DF282A">
      <w:pPr>
        <w:pStyle w:val="berschrift2"/>
      </w:pPr>
      <w:bookmarkStart w:id="35" w:name="_Toc54985988"/>
      <w:r>
        <w:t>Participant vs. Party Identification</w:t>
      </w:r>
      <w:bookmarkEnd w:id="35"/>
    </w:p>
    <w:p w14:paraId="2450F044" w14:textId="77777777" w:rsidR="00DF282A" w:rsidRPr="001F4312" w:rsidRDefault="00DF282A" w:rsidP="00DF282A">
      <w:r w:rsidRPr="001F4312">
        <w:t>The following aspects are addressed in th</w:t>
      </w:r>
      <w:r>
        <w:t>is document:</w:t>
      </w:r>
    </w:p>
    <w:p w14:paraId="501E2F9A" w14:textId="77777777" w:rsidR="00DF282A" w:rsidRPr="001F4312" w:rsidRDefault="00DF282A" w:rsidP="00DF282A">
      <w:pPr>
        <w:numPr>
          <w:ilvl w:val="0"/>
          <w:numId w:val="2"/>
        </w:numPr>
        <w:ind w:left="708"/>
      </w:pPr>
      <w:r w:rsidRPr="001F4312">
        <w:lastRenderedPageBreak/>
        <w:t xml:space="preserve">The </w:t>
      </w:r>
      <w:r w:rsidR="00115A30">
        <w:t>Peppol</w:t>
      </w:r>
      <w:r w:rsidRPr="001F4312">
        <w:t xml:space="preserve"> code list of Party Identification schemes used in </w:t>
      </w:r>
      <w:r w:rsidR="0069419B">
        <w:t>business</w:t>
      </w:r>
      <w:r>
        <w:t xml:space="preserve"> </w:t>
      </w:r>
      <w:r w:rsidRPr="001F4312">
        <w:t>documents.</w:t>
      </w:r>
    </w:p>
    <w:p w14:paraId="31150B0D" w14:textId="77777777" w:rsidR="00DF282A" w:rsidRDefault="00DF282A" w:rsidP="00DF282A">
      <w:pPr>
        <w:numPr>
          <w:ilvl w:val="0"/>
          <w:numId w:val="2"/>
        </w:numPr>
        <w:ind w:left="708"/>
      </w:pPr>
      <w:r w:rsidRPr="001F4312">
        <w:t xml:space="preserve">The </w:t>
      </w:r>
      <w:r w:rsidR="00115A30">
        <w:t>Peppol</w:t>
      </w:r>
      <w:r w:rsidRPr="001F4312">
        <w:t xml:space="preserve"> code list of Participant Identification schemes used in metadata</w:t>
      </w:r>
      <w:r>
        <w:t xml:space="preserve"> as well as in </w:t>
      </w:r>
      <w:r w:rsidR="0069419B">
        <w:t xml:space="preserve">business </w:t>
      </w:r>
      <w:r w:rsidRPr="001F4312">
        <w:t>documents</w:t>
      </w:r>
      <w:r>
        <w:t>.</w:t>
      </w:r>
    </w:p>
    <w:p w14:paraId="0F55BEFA" w14:textId="77777777" w:rsidR="00DF282A" w:rsidRPr="001F4312" w:rsidRDefault="00115A30" w:rsidP="00DF282A">
      <w:r>
        <w:t>Peppol</w:t>
      </w:r>
      <w:r w:rsidR="00DF282A" w:rsidRPr="001F4312">
        <w:t xml:space="preserve"> </w:t>
      </w:r>
      <w:r w:rsidR="00DF282A">
        <w:t>does</w:t>
      </w:r>
      <w:r w:rsidR="00DF282A" w:rsidRPr="001F4312">
        <w:t xml:space="preserve"> not implement its own scheme for identifying Parties. Instead </w:t>
      </w:r>
      <w:r w:rsidR="00DF282A">
        <w:t xml:space="preserve">it </w:t>
      </w:r>
      <w:r w:rsidR="00DF282A" w:rsidRPr="001F4312">
        <w:t>support</w:t>
      </w:r>
      <w:r w:rsidR="00DF282A">
        <w:t>s</w:t>
      </w:r>
      <w:r w:rsidR="00DF282A" w:rsidRPr="001F4312">
        <w:t xml:space="preserve"> a federated system for uniquely identifying parties following the ISO 15459 format scheme</w:t>
      </w:r>
      <w:r w:rsidR="00DF282A" w:rsidRPr="001F4312">
        <w:rPr>
          <w:rStyle w:val="Funotenzeichen"/>
        </w:rPr>
        <w:footnoteReference w:id="7"/>
      </w:r>
      <w:r w:rsidR="00DF282A" w:rsidRPr="001F4312">
        <w:t xml:space="preserve"> for unique identifiers. This requires defining a controlled set of </w:t>
      </w:r>
      <w:r w:rsidR="00DF282A">
        <w:t>“</w:t>
      </w:r>
      <w:r w:rsidR="00DF282A" w:rsidRPr="001F4312">
        <w:t>Issuing Agency Codes</w:t>
      </w:r>
      <w:r w:rsidR="00DF282A">
        <w:t>”</w:t>
      </w:r>
      <w:r w:rsidR="00DF282A" w:rsidRPr="001F4312">
        <w:rPr>
          <w:rStyle w:val="Funotenzeichen"/>
        </w:rPr>
        <w:footnoteReference w:id="8"/>
      </w:r>
      <w:r w:rsidR="00DF282A" w:rsidRPr="001F4312">
        <w:t xml:space="preserve"> for identification schemes (also known as </w:t>
      </w:r>
      <w:r w:rsidR="00DF282A">
        <w:t>“</w:t>
      </w:r>
      <w:r w:rsidR="00DF282A" w:rsidRPr="001F4312">
        <w:t>party identifier types</w:t>
      </w:r>
      <w:r w:rsidR="00DF282A">
        <w:t>”</w:t>
      </w:r>
      <w:r w:rsidR="00DF282A" w:rsidRPr="001F4312">
        <w:rPr>
          <w:rStyle w:val="Funotenzeichen"/>
        </w:rPr>
        <w:footnoteReference w:id="9"/>
      </w:r>
      <w:r w:rsidR="00DF282A" w:rsidRPr="001F4312">
        <w:t xml:space="preserve"> or </w:t>
      </w:r>
      <w:r w:rsidR="00DF282A">
        <w:t>“</w:t>
      </w:r>
      <w:r w:rsidR="00DF282A" w:rsidRPr="001F4312">
        <w:t>Identification code qualifier</w:t>
      </w:r>
      <w:r w:rsidR="00DF282A">
        <w:t>”</w:t>
      </w:r>
      <w:r w:rsidR="00DF282A" w:rsidRPr="001F4312">
        <w:rPr>
          <w:rStyle w:val="Funotenzeichen"/>
        </w:rPr>
        <w:footnoteReference w:id="10"/>
      </w:r>
      <w:r w:rsidR="00DF282A" w:rsidRPr="001F4312">
        <w:t xml:space="preserve"> or </w:t>
      </w:r>
      <w:r w:rsidR="00DF282A">
        <w:t>“</w:t>
      </w:r>
      <w:r w:rsidR="00DF282A" w:rsidRPr="001F4312">
        <w:t>International Code Designators</w:t>
      </w:r>
      <w:r w:rsidR="00DF282A">
        <w:t>”</w:t>
      </w:r>
      <w:r w:rsidR="00DF282A" w:rsidRPr="001F4312">
        <w:rPr>
          <w:rStyle w:val="Funotenzeichen"/>
        </w:rPr>
        <w:footnoteReference w:id="11"/>
      </w:r>
      <w:r w:rsidR="00DF282A" w:rsidRPr="001F4312">
        <w:t xml:space="preserve"> or </w:t>
      </w:r>
      <w:r w:rsidR="00DF282A">
        <w:t>“</w:t>
      </w:r>
      <w:r w:rsidR="00DF282A" w:rsidRPr="001F4312">
        <w:t>Party ID Type</w:t>
      </w:r>
      <w:r w:rsidR="00DF282A">
        <w:t>”</w:t>
      </w:r>
      <w:r w:rsidR="00DF282A" w:rsidRPr="001F4312">
        <w:rPr>
          <w:rStyle w:val="Funotenzeichen"/>
        </w:rPr>
        <w:footnoteReference w:id="12"/>
      </w:r>
      <w:r w:rsidR="00DF282A" w:rsidRPr="001F4312">
        <w:t xml:space="preserve">) required by </w:t>
      </w:r>
      <w:r>
        <w:t>Peppol</w:t>
      </w:r>
      <w:r w:rsidR="00DF282A" w:rsidRPr="001F4312">
        <w:t xml:space="preserve"> implementations.</w:t>
      </w:r>
    </w:p>
    <w:p w14:paraId="678C3AB6" w14:textId="77777777" w:rsidR="00DF282A" w:rsidRPr="001F4312" w:rsidRDefault="00DF282A" w:rsidP="00DF282A">
      <w:r w:rsidRPr="001F4312">
        <w:t xml:space="preserve">Each </w:t>
      </w:r>
      <w:r w:rsidR="00115A30">
        <w:t>Peppol</w:t>
      </w:r>
      <w:r w:rsidRPr="001F4312">
        <w:t xml:space="preserve"> Party identifier to be used in the federated system is a combination of the Issuing Agency Code and the value given by the Issuing Agency.</w:t>
      </w:r>
    </w:p>
    <w:p w14:paraId="09B5334F" w14:textId="77777777" w:rsidR="004C78B3" w:rsidRDefault="00DF282A">
      <w:pPr>
        <w:pStyle w:val="Listenabsatz"/>
        <w:numPr>
          <w:ilvl w:val="0"/>
          <w:numId w:val="13"/>
        </w:numPr>
        <w:rPr>
          <w:lang w:eastAsia="it-IT"/>
        </w:rPr>
      </w:pPr>
      <w:r w:rsidRPr="001923A4">
        <w:rPr>
          <w:lang w:eastAsia="it-IT"/>
        </w:rPr>
        <w:t xml:space="preserve">For </w:t>
      </w:r>
      <w:r w:rsidR="00115A30">
        <w:rPr>
          <w:lang w:eastAsia="it-IT"/>
        </w:rPr>
        <w:t>Peppol</w:t>
      </w:r>
      <w:r w:rsidRPr="001923A4">
        <w:rPr>
          <w:lang w:eastAsia="it-IT"/>
        </w:rPr>
        <w:t xml:space="preserve">, it will be part of the </w:t>
      </w:r>
      <w:r w:rsidR="00115A30">
        <w:rPr>
          <w:lang w:eastAsia="it-IT"/>
        </w:rPr>
        <w:t>Peppol</w:t>
      </w:r>
      <w:r w:rsidRPr="001923A4">
        <w:rPr>
          <w:lang w:eastAsia="it-IT"/>
        </w:rPr>
        <w:t xml:space="preserve"> SMP Provider agreement that SMP Providers have </w:t>
      </w:r>
      <w:r w:rsidRPr="006132BB">
        <w:t>suitable</w:t>
      </w:r>
      <w:r w:rsidRPr="001923A4">
        <w:rPr>
          <w:lang w:eastAsia="it-IT"/>
        </w:rPr>
        <w:t xml:space="preserve"> governance of their identification schemes when they enter, update and delete information on their SMP.</w:t>
      </w:r>
    </w:p>
    <w:p w14:paraId="077E135A" w14:textId="77777777" w:rsidR="004C78B3" w:rsidRDefault="00DF282A">
      <w:pPr>
        <w:pStyle w:val="Listenabsatz"/>
        <w:numPr>
          <w:ilvl w:val="0"/>
          <w:numId w:val="13"/>
        </w:numPr>
        <w:rPr>
          <w:lang w:eastAsia="it-IT"/>
        </w:rPr>
      </w:pPr>
      <w:r w:rsidRPr="001923A4">
        <w:rPr>
          <w:lang w:eastAsia="it-IT"/>
        </w:rPr>
        <w:t xml:space="preserve">Within the </w:t>
      </w:r>
      <w:r w:rsidRPr="006132BB">
        <w:t>content</w:t>
      </w:r>
      <w:r w:rsidRPr="001923A4">
        <w:rPr>
          <w:lang w:eastAsia="it-IT"/>
        </w:rPr>
        <w:t xml:space="preserve"> of business documents, each </w:t>
      </w:r>
      <w:r w:rsidR="00115A30">
        <w:rPr>
          <w:lang w:eastAsia="it-IT"/>
        </w:rPr>
        <w:t>Peppol</w:t>
      </w:r>
      <w:r w:rsidRPr="001923A4">
        <w:rPr>
          <w:lang w:eastAsia="it-IT"/>
        </w:rPr>
        <w:t xml:space="preserve"> Participant will be responsible for using the appropriate </w:t>
      </w:r>
      <w:r w:rsidR="00115A30">
        <w:rPr>
          <w:lang w:eastAsia="it-IT"/>
        </w:rPr>
        <w:t>Peppol</w:t>
      </w:r>
      <w:r w:rsidRPr="001923A4">
        <w:rPr>
          <w:lang w:eastAsia="it-IT"/>
        </w:rPr>
        <w:t xml:space="preserve"> Party Identifier.</w:t>
      </w:r>
    </w:p>
    <w:p w14:paraId="0AB91946" w14:textId="77777777" w:rsidR="00DF282A" w:rsidRPr="006132BB" w:rsidRDefault="00DF282A" w:rsidP="00DF282A">
      <w:r w:rsidRPr="006132BB">
        <w:t xml:space="preserve">This section defines the policies for the formatting and the population of values for Party Identifiers used by </w:t>
      </w:r>
      <w:r w:rsidR="00115A30">
        <w:t>Peppol</w:t>
      </w:r>
      <w:r w:rsidRPr="006132BB">
        <w:t>.</w:t>
      </w:r>
    </w:p>
    <w:p w14:paraId="7A0B4108" w14:textId="77777777"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Party/PartyIdentification/ID</w:t>
      </w:r>
      <w:r w:rsidRPr="00244367">
        <w:t xml:space="preserve"> and </w:t>
      </w:r>
      <w:r w:rsidR="00036305" w:rsidRPr="00036305">
        <w:rPr>
          <w:rStyle w:val="InlinecodeZchn"/>
        </w:rPr>
        <w:t>Party/EndpointID</w:t>
      </w:r>
      <w:r w:rsidRPr="00244367">
        <w:t>. Other party or participant identifiers within UBL documents ar</w:t>
      </w:r>
      <w:r>
        <w:t>e out of scope for this policy.</w:t>
      </w:r>
    </w:p>
    <w:p w14:paraId="1CCACF5D" w14:textId="77777777" w:rsidR="00B64F83" w:rsidRPr="00B64F83" w:rsidRDefault="00036305" w:rsidP="00DF282A">
      <w:pPr>
        <w:rPr>
          <w:lang w:val="en-US"/>
        </w:rPr>
      </w:pPr>
      <w:r w:rsidRPr="00036305">
        <w:t xml:space="preserve">Note for CII documents: It should be pointed out here that this policy covers only use </w:t>
      </w:r>
      <w:r w:rsidRPr="00036305">
        <w:rPr>
          <w:rStyle w:val="InlinecodeZchn"/>
        </w:rPr>
        <w:t>SellerTradeParty/ID</w:t>
      </w:r>
      <w:r w:rsidRPr="00036305">
        <w:t xml:space="preserve">, </w:t>
      </w:r>
      <w:r w:rsidRPr="00036305">
        <w:rPr>
          <w:rStyle w:val="InlinecodeZchn"/>
        </w:rPr>
        <w:t>BuyerTradeParty/ID</w:t>
      </w:r>
      <w:r w:rsidRPr="00036305">
        <w:t xml:space="preserve">, </w:t>
      </w:r>
      <w:r w:rsidRPr="00036305">
        <w:rPr>
          <w:rStyle w:val="InlinecodeZchn"/>
        </w:rPr>
        <w:t>BuyerTradeParty/URIUni</w:t>
      </w:r>
      <w:r w:rsidR="00C214A2">
        <w:rPr>
          <w:rStyle w:val="InlinecodeZchn"/>
        </w:rPr>
        <w:t>versalCommunication/</w:t>
      </w:r>
      <w:r w:rsidRPr="00036305">
        <w:rPr>
          <w:rStyle w:val="InlinecodeZchn"/>
        </w:rPr>
        <w:t>URIID</w:t>
      </w:r>
      <w:r w:rsidR="0009321F">
        <w:rPr>
          <w:highlight w:val="white"/>
        </w:rPr>
        <w:t xml:space="preserve"> and</w:t>
      </w:r>
      <w:r w:rsidRPr="00036305">
        <w:rPr>
          <w:highlight w:val="white"/>
        </w:rPr>
        <w:t xml:space="preserve"> </w:t>
      </w:r>
      <w:r w:rsidRPr="00036305">
        <w:rPr>
          <w:rStyle w:val="InlinecodeZchn"/>
        </w:rPr>
        <w:t>SellerTradeParty/URIUniversalCommunication/URIID</w:t>
      </w:r>
      <w:r w:rsidRPr="00036305">
        <w:t xml:space="preserve">. Other party or participant identifiers within </w:t>
      </w:r>
      <w:r w:rsidR="0009321F">
        <w:t>CII</w:t>
      </w:r>
      <w:r w:rsidRPr="00036305">
        <w:t xml:space="preserve"> documents are out of scope for this policy.</w:t>
      </w:r>
    </w:p>
    <w:p w14:paraId="2B81D537" w14:textId="77777777" w:rsidR="00DE2AB1" w:rsidRDefault="00DE2AB1" w:rsidP="00DE2AB1">
      <w:pPr>
        <w:pStyle w:val="berschrift2"/>
      </w:pPr>
      <w:bookmarkStart w:id="36" w:name="_Toc54985989"/>
      <w:r>
        <w:t>Common Policies</w:t>
      </w:r>
      <w:bookmarkEnd w:id="36"/>
    </w:p>
    <w:p w14:paraId="2EDD5BD3" w14:textId="77777777" w:rsidR="00EA5B88" w:rsidRPr="001F4312" w:rsidRDefault="00A07665" w:rsidP="00EA5B88">
      <w:pPr>
        <w:pStyle w:val="PolicyHeader"/>
      </w:pPr>
      <w:bookmarkStart w:id="37" w:name="_Ref52228662"/>
      <w:bookmarkStart w:id="38" w:name="_Toc54985990"/>
      <w:r>
        <w:t>Usage</w:t>
      </w:r>
      <w:r w:rsidR="00EA5B88" w:rsidRPr="001F4312">
        <w:t xml:space="preserve"> of ISO15459</w:t>
      </w:r>
      <w:bookmarkEnd w:id="37"/>
      <w:bookmarkEnd w:id="38"/>
    </w:p>
    <w:p w14:paraId="7D187402" w14:textId="77777777"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14:paraId="2E276012" w14:textId="77777777" w:rsidR="00EA5B88" w:rsidRDefault="00EA5B88" w:rsidP="00EA5B88">
      <w:pPr>
        <w:pStyle w:val="Policy"/>
        <w:numPr>
          <w:ilvl w:val="0"/>
          <w:numId w:val="20"/>
        </w:numPr>
        <w:ind w:left="142" w:hanging="142"/>
      </w:pPr>
      <w:r>
        <w:t>MUST be at least 1 character long (excluding the identifier scheme)</w:t>
      </w:r>
    </w:p>
    <w:p w14:paraId="379D6962" w14:textId="77777777" w:rsidR="00EA5B88" w:rsidRPr="001F4312" w:rsidRDefault="00EA5B88" w:rsidP="00EA5B88">
      <w:pPr>
        <w:pStyle w:val="Policy"/>
        <w:numPr>
          <w:ilvl w:val="0"/>
          <w:numId w:val="20"/>
        </w:numPr>
        <w:ind w:left="142" w:hanging="142"/>
      </w:pPr>
      <w:r>
        <w:t>MUST NOT be more than 50 characters long (excluding the identifier scheme)</w:t>
      </w:r>
    </w:p>
    <w:p w14:paraId="2CE09C16" w14:textId="77777777"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00B56755">
        <w:t xml:space="preserve">(a-z), </w:t>
      </w:r>
      <w:r w:rsidRPr="001F4312">
        <w:t xml:space="preserve">numeric digits </w:t>
      </w:r>
      <w:r w:rsidR="00B56755">
        <w:t>(0-9)</w:t>
      </w:r>
      <w:r w:rsidR="0054220E">
        <w:t>,</w:t>
      </w:r>
      <w:r w:rsidR="00B56755">
        <w:t xml:space="preserve"> the minus sign (-)</w:t>
      </w:r>
      <w:r w:rsidR="0054220E">
        <w:t>, the period character (.), the underscore character (_)</w:t>
      </w:r>
      <w:r w:rsidR="00B56755">
        <w:t xml:space="preserve"> </w:t>
      </w:r>
      <w:r w:rsidR="0054220E">
        <w:t xml:space="preserve">or the tilde character (~) </w:t>
      </w:r>
      <w:r w:rsidRPr="001F4312">
        <w:t>from the invariant character set of ISO</w:t>
      </w:r>
      <w:r>
        <w:t>-8859-1</w:t>
      </w:r>
      <w:r w:rsidR="002B121F">
        <w:rPr>
          <w:rStyle w:val="Funotenzeichen"/>
        </w:rPr>
        <w:footnoteReference w:id="13"/>
      </w:r>
    </w:p>
    <w:p w14:paraId="3FD0B668" w14:textId="77777777" w:rsidR="00EA5B88" w:rsidRDefault="00EA5B88" w:rsidP="00EA5B88">
      <w:pPr>
        <w:pStyle w:val="Smallemptyline"/>
      </w:pPr>
    </w:p>
    <w:p w14:paraId="44F29962" w14:textId="77777777"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14:paraId="29F32A22" w14:textId="77777777" w:rsidR="00EA5B88" w:rsidRDefault="00EA5B88" w:rsidP="00EA5B88">
      <w:pPr>
        <w:pStyle w:val="Policy"/>
        <w:numPr>
          <w:ilvl w:val="0"/>
          <w:numId w:val="20"/>
        </w:numPr>
        <w:ind w:left="142" w:hanging="142"/>
      </w:pPr>
      <w:r>
        <w:lastRenderedPageBreak/>
        <w:t>MUST be at least 1 character long (excluding the identifier scheme)</w:t>
      </w:r>
    </w:p>
    <w:p w14:paraId="70A4128C" w14:textId="77777777" w:rsidR="00EA5B88" w:rsidRPr="001F4312" w:rsidRDefault="00EA5B88" w:rsidP="00EA5B88">
      <w:pPr>
        <w:pStyle w:val="Policy"/>
        <w:numPr>
          <w:ilvl w:val="0"/>
          <w:numId w:val="20"/>
        </w:numPr>
        <w:ind w:left="142" w:hanging="142"/>
      </w:pPr>
      <w:r>
        <w:t>MUST NOT be more than 50 characters long (excluding the identifier scheme)</w:t>
      </w:r>
    </w:p>
    <w:p w14:paraId="6168678A" w14:textId="77777777"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14:paraId="7D58FB83" w14:textId="77777777" w:rsidR="00EA5B88" w:rsidRDefault="00EA5B88" w:rsidP="00EA5B88">
      <w:pPr>
        <w:pStyle w:val="Smallemptyline"/>
      </w:pPr>
    </w:p>
    <w:p w14:paraId="59B5BD62" w14:textId="77777777"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14:paraId="2C2F4EEA" w14:textId="77777777" w:rsidR="00EA5B88" w:rsidRDefault="00EA5B88" w:rsidP="00EA5B88">
      <w:pPr>
        <w:pStyle w:val="Policy"/>
        <w:numPr>
          <w:ilvl w:val="0"/>
          <w:numId w:val="20"/>
        </w:numPr>
        <w:ind w:left="142" w:hanging="142"/>
      </w:pPr>
      <w:r>
        <w:t>MUST be at least 1 character long (excluding the identifier scheme)</w:t>
      </w:r>
    </w:p>
    <w:p w14:paraId="2DF33995" w14:textId="77777777"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14:paraId="66F4C30C" w14:textId="77777777"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14:paraId="56EB8CDB" w14:textId="77777777" w:rsidR="00EA5B88" w:rsidRPr="00EE0943" w:rsidRDefault="00EA5B88" w:rsidP="00EA5B88">
      <w:pPr>
        <w:pStyle w:val="Smallemptyline"/>
      </w:pPr>
    </w:p>
    <w:p w14:paraId="2587A42C" w14:textId="77777777"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14:paraId="5FB1F410" w14:textId="77777777" w:rsidR="00EA5B88" w:rsidRDefault="00EA5B88" w:rsidP="00EA5B88">
      <w:pPr>
        <w:pStyle w:val="Policy"/>
        <w:numPr>
          <w:ilvl w:val="0"/>
          <w:numId w:val="20"/>
        </w:numPr>
        <w:ind w:left="142" w:hanging="142"/>
      </w:pPr>
      <w:r>
        <w:t>MUST be at least 1 character long (excluding the identifier scheme)</w:t>
      </w:r>
    </w:p>
    <w:p w14:paraId="48ECFFF9" w14:textId="77777777"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14:paraId="4724DE74" w14:textId="77777777"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14:paraId="6C76F0AA" w14:textId="77777777" w:rsidR="00B6569E" w:rsidRPr="00EE0943" w:rsidRDefault="00B6569E" w:rsidP="00B6569E">
      <w:pPr>
        <w:pStyle w:val="Smallemptyline"/>
      </w:pPr>
    </w:p>
    <w:p w14:paraId="29FB9282" w14:textId="77777777"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14:paraId="33305CAB" w14:textId="77777777" w:rsidR="00B6569E" w:rsidRDefault="00B6569E" w:rsidP="00B6569E">
      <w:pPr>
        <w:pStyle w:val="Policy"/>
        <w:numPr>
          <w:ilvl w:val="0"/>
          <w:numId w:val="20"/>
        </w:numPr>
        <w:ind w:left="142" w:hanging="142"/>
      </w:pPr>
      <w:r>
        <w:t>MUST be at least 1 character long (excluding the identifier scheme)</w:t>
      </w:r>
    </w:p>
    <w:p w14:paraId="615FE4FC" w14:textId="77777777"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14:paraId="36E081B9" w14:textId="77777777"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14:paraId="5DDD5871" w14:textId="77777777" w:rsidR="00EA5B88" w:rsidRDefault="00EA5B88" w:rsidP="00EA5B88">
      <w:r>
        <w:t xml:space="preserve">Applies to: all </w:t>
      </w:r>
      <w:r w:rsidR="00DB1346">
        <w:t xml:space="preserve">above mentioned types of </w:t>
      </w:r>
      <w:r>
        <w:t xml:space="preserve">identifiers in all </w:t>
      </w:r>
      <w:r w:rsidR="00115A30">
        <w:t>Peppol</w:t>
      </w:r>
      <w:r>
        <w:t xml:space="preserve"> components</w:t>
      </w:r>
    </w:p>
    <w:p w14:paraId="0F96D6C6" w14:textId="77777777" w:rsidR="00176B14" w:rsidRDefault="00852006" w:rsidP="00176B14">
      <w:pPr>
        <w:pStyle w:val="PolicyHeader"/>
      </w:pPr>
      <w:bookmarkStart w:id="39" w:name="_Ref317443390"/>
      <w:bookmarkStart w:id="40" w:name="_Ref317443546"/>
      <w:bookmarkStart w:id="41" w:name="_Ref317490234"/>
      <w:bookmarkStart w:id="42" w:name="_Toc54985991"/>
      <w:r>
        <w:t>I</w:t>
      </w:r>
      <w:r w:rsidR="00176B14">
        <w:t xml:space="preserve">dentifier </w:t>
      </w:r>
      <w:r>
        <w:t>V</w:t>
      </w:r>
      <w:r w:rsidR="00176B14">
        <w:t>alue casing</w:t>
      </w:r>
      <w:bookmarkEnd w:id="39"/>
      <w:bookmarkEnd w:id="40"/>
      <w:bookmarkEnd w:id="41"/>
      <w:bookmarkEnd w:id="42"/>
    </w:p>
    <w:p w14:paraId="28BA16BD" w14:textId="77777777"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14:paraId="06071BF8" w14:textId="77777777"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14:paraId="59C89B43" w14:textId="77777777"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14:paraId="7FF92C95" w14:textId="77777777"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14:paraId="153048C4" w14:textId="77777777"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14:paraId="78644BC2" w14:textId="77777777" w:rsidR="00176B14" w:rsidRDefault="00176B14" w:rsidP="00176B14">
      <w:r>
        <w:t xml:space="preserve">Applies to: all identifiers in all </w:t>
      </w:r>
      <w:r w:rsidR="00115A30">
        <w:t>Peppol</w:t>
      </w:r>
      <w:r w:rsidR="00ED2957">
        <w:t xml:space="preserve"> </w:t>
      </w:r>
      <w:r>
        <w:t>components</w:t>
      </w:r>
    </w:p>
    <w:p w14:paraId="3ABB5966" w14:textId="42940068" w:rsidR="00176B14" w:rsidRPr="006132BB" w:rsidRDefault="00176B14" w:rsidP="00176B14">
      <w:r>
        <w:t xml:space="preserve">Note: all identifier scheme values are case sensitive (see </w:t>
      </w:r>
      <w:r w:rsidR="00554D27">
        <w:fldChar w:fldCharType="begin"/>
      </w:r>
      <w:r>
        <w:instrText xml:space="preserve"> REF _Ref282443957 \r \h </w:instrText>
      </w:r>
      <w:r w:rsidR="00554D27">
        <w:fldChar w:fldCharType="separate"/>
      </w:r>
      <w:r w:rsidR="00EA0922">
        <w:t>POLICY 5</w:t>
      </w:r>
      <w:r w:rsidR="00554D27">
        <w:fldChar w:fldCharType="end"/>
      </w:r>
      <w:r>
        <w:t xml:space="preserve">, </w:t>
      </w:r>
      <w:r w:rsidR="00554D27">
        <w:fldChar w:fldCharType="begin"/>
      </w:r>
      <w:r w:rsidR="009E78E7">
        <w:instrText xml:space="preserve"> REF _Ref52225115 \r \h </w:instrText>
      </w:r>
      <w:r w:rsidR="00554D27">
        <w:fldChar w:fldCharType="separate"/>
      </w:r>
      <w:r w:rsidR="00EA0922">
        <w:t>POLICY 16</w:t>
      </w:r>
      <w:r w:rsidR="00554D27">
        <w:fldChar w:fldCharType="end"/>
      </w:r>
      <w:r w:rsidR="009E78E7">
        <w:t xml:space="preserve"> </w:t>
      </w:r>
      <w:r>
        <w:t xml:space="preserve">and </w:t>
      </w:r>
      <w:r w:rsidR="00554D27">
        <w:fldChar w:fldCharType="begin"/>
      </w:r>
      <w:r>
        <w:instrText xml:space="preserve"> REF _Ref281927369 \r \h </w:instrText>
      </w:r>
      <w:r w:rsidR="00554D27">
        <w:fldChar w:fldCharType="separate"/>
      </w:r>
      <w:r w:rsidR="00EA0922">
        <w:t>POLICY 24</w:t>
      </w:r>
      <w:r w:rsidR="00554D27">
        <w:fldChar w:fldCharType="end"/>
      </w:r>
      <w:r>
        <w:t>)</w:t>
      </w:r>
    </w:p>
    <w:p w14:paraId="406164B6" w14:textId="77777777" w:rsidR="00176B14" w:rsidRPr="003F6527" w:rsidRDefault="00176B14" w:rsidP="009B4F8A">
      <w:pPr>
        <w:pStyle w:val="ExampleHeader"/>
      </w:pPr>
      <w:r w:rsidRPr="003F6527">
        <w:t>Example</w:t>
      </w:r>
      <w:r w:rsidR="006E5CAE">
        <w:t xml:space="preserve"> 1 (Participant Identifier Values)</w:t>
      </w:r>
      <w:r w:rsidRPr="003F6527">
        <w:t>:</w:t>
      </w:r>
    </w:p>
    <w:p w14:paraId="73617EF8" w14:textId="77777777" w:rsidR="00176B14" w:rsidRDefault="00176B14" w:rsidP="00176B14">
      <w:r>
        <w:t xml:space="preserve">Participant </w:t>
      </w:r>
      <w:r w:rsidR="0016744F">
        <w:t>I</w:t>
      </w:r>
      <w:r>
        <w:t>dentifier value “0088:abc” is equal to “0088:ABc”</w:t>
      </w:r>
    </w:p>
    <w:p w14:paraId="7E50DCA9" w14:textId="77777777" w:rsidR="00176B14" w:rsidRDefault="0016744F" w:rsidP="00176B14">
      <w:r>
        <w:t>Participant I</w:t>
      </w:r>
      <w:r w:rsidR="00176B14">
        <w:t>dentifier value “0088:abc” is NOT equal to “0010:abc”</w:t>
      </w:r>
    </w:p>
    <w:p w14:paraId="7F2E473C" w14:textId="77777777" w:rsidR="006E5CAE" w:rsidRPr="003F6527" w:rsidRDefault="006E5CAE" w:rsidP="006E5CAE">
      <w:pPr>
        <w:pStyle w:val="ExampleHeader"/>
      </w:pPr>
      <w:r w:rsidRPr="003F6527">
        <w:t>Example</w:t>
      </w:r>
      <w:r>
        <w:t xml:space="preserve"> 2 (Document Type Identifier Values)</w:t>
      </w:r>
      <w:r w:rsidRPr="003F6527">
        <w:t>:</w:t>
      </w:r>
    </w:p>
    <w:p w14:paraId="2D6FD524" w14:textId="77777777" w:rsidR="00176B14" w:rsidRDefault="00176B14" w:rsidP="00176B14">
      <w:r>
        <w:t xml:space="preserve">Document </w:t>
      </w:r>
      <w:r w:rsidR="00F35D3F">
        <w:t>T</w:t>
      </w:r>
      <w:r>
        <w:t xml:space="preserve">ype </w:t>
      </w:r>
      <w:r w:rsidR="00F35D3F">
        <w:t>I</w:t>
      </w:r>
      <w:r>
        <w:t xml:space="preserve">dentifier value </w:t>
      </w:r>
    </w:p>
    <w:p w14:paraId="365081CC" w14:textId="77777777"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14:paraId="49904008" w14:textId="77777777" w:rsidR="00176B14" w:rsidRDefault="00176B14" w:rsidP="00176B14">
      <w:r>
        <w:t xml:space="preserve">is NOT equal to </w:t>
      </w:r>
    </w:p>
    <w:p w14:paraId="3DF55357" w14:textId="77777777" w:rsidR="00176B14" w:rsidRDefault="0016744F" w:rsidP="00176B14">
      <w:pPr>
        <w:pStyle w:val="Code"/>
        <w:shd w:val="clear" w:color="auto" w:fill="FFFFFF"/>
        <w:ind w:left="567"/>
      </w:pPr>
      <w:r w:rsidRPr="0016744F">
        <w:t>URN:OASIS:NAMES:SPECIFICATION:UBL:SCHEMA:XSD:INVOICE-2::INVOICE##URN:CEN.EU:EN16931:2017#COMPLIANT#URN:FDC:</w:t>
      </w:r>
      <w:r w:rsidR="00115A30">
        <w:t>Peppol</w:t>
      </w:r>
      <w:r w:rsidRPr="0016744F">
        <w:t>.EU:2017:POACC:BILLING:3.0::2.1</w:t>
      </w:r>
    </w:p>
    <w:p w14:paraId="078B01AF" w14:textId="77777777" w:rsidR="006E5CAE" w:rsidRPr="003F6527" w:rsidRDefault="006E5CAE" w:rsidP="006E5CAE">
      <w:pPr>
        <w:pStyle w:val="ExampleHeader"/>
      </w:pPr>
      <w:r w:rsidRPr="003F6527">
        <w:t>Example</w:t>
      </w:r>
      <w:r>
        <w:t xml:space="preserve"> 3 (Process Identifier Values)</w:t>
      </w:r>
      <w:r w:rsidRPr="003F6527">
        <w:t>:</w:t>
      </w:r>
    </w:p>
    <w:p w14:paraId="7ACC3837" w14:textId="77777777" w:rsidR="00176B14" w:rsidRDefault="00900D47" w:rsidP="00176B14">
      <w:r>
        <w:t>Process I</w:t>
      </w:r>
      <w:r w:rsidR="00176B14">
        <w:t xml:space="preserve">dentifier value </w:t>
      </w:r>
    </w:p>
    <w:p w14:paraId="0795852E" w14:textId="77777777" w:rsidR="00176B14" w:rsidRDefault="00900D47" w:rsidP="00176B14">
      <w:pPr>
        <w:pStyle w:val="Code"/>
        <w:shd w:val="clear" w:color="auto" w:fill="FFFFFF"/>
        <w:ind w:left="567"/>
      </w:pPr>
      <w:r w:rsidRPr="00900D47">
        <w:t>urn:fdc:peppol.eu:2017:poacc:billing:01:1.0</w:t>
      </w:r>
    </w:p>
    <w:p w14:paraId="0E22D81B" w14:textId="77777777" w:rsidR="00176B14" w:rsidRDefault="00176B14" w:rsidP="00176B14">
      <w:r>
        <w:lastRenderedPageBreak/>
        <w:t xml:space="preserve">is NOT equal to </w:t>
      </w:r>
    </w:p>
    <w:p w14:paraId="69C94598" w14:textId="77777777" w:rsidR="00176B14" w:rsidRDefault="00900D47" w:rsidP="00ED2957">
      <w:pPr>
        <w:pStyle w:val="Code"/>
        <w:shd w:val="clear" w:color="auto" w:fill="FFFFFF"/>
        <w:ind w:left="567"/>
      </w:pPr>
      <w:r w:rsidRPr="00900D47">
        <w:t>URN:FDC:</w:t>
      </w:r>
      <w:r w:rsidR="00115A30">
        <w:t>Peppol</w:t>
      </w:r>
      <w:r w:rsidRPr="00900D47">
        <w:t>.EU:2017:POACC:BILLING:01:1.0</w:t>
      </w:r>
    </w:p>
    <w:p w14:paraId="697FC47D" w14:textId="77777777" w:rsidR="00FA528F" w:rsidRDefault="00D11EA7" w:rsidP="00E15FB4">
      <w:pPr>
        <w:pStyle w:val="berschrift1"/>
      </w:pPr>
      <w:bookmarkStart w:id="43" w:name="_Toc316247564"/>
      <w:bookmarkStart w:id="44" w:name="_Toc54985992"/>
      <w:r w:rsidRPr="00E15FB4">
        <w:lastRenderedPageBreak/>
        <w:t>Policy</w:t>
      </w:r>
      <w:r w:rsidR="00FA528F" w:rsidRPr="00E15FB4">
        <w:t xml:space="preserve"> </w:t>
      </w:r>
      <w:r w:rsidR="00CF2499" w:rsidRPr="00E15FB4">
        <w:t>for</w:t>
      </w:r>
      <w:r w:rsidR="00FA528F" w:rsidRPr="00E15FB4">
        <w:t xml:space="preserve"> </w:t>
      </w:r>
      <w:r w:rsidR="00115A30">
        <w:t>Peppol</w:t>
      </w:r>
      <w:r w:rsidR="00FA528F" w:rsidRPr="00E15FB4">
        <w:t xml:space="preserve"> Part</w:t>
      </w:r>
      <w:r w:rsidR="008F66F0">
        <w:t>icipant</w:t>
      </w:r>
      <w:r w:rsidR="00FA528F" w:rsidRPr="00E15FB4">
        <w:t xml:space="preserve"> Identification</w:t>
      </w:r>
      <w:bookmarkEnd w:id="43"/>
      <w:bookmarkEnd w:id="44"/>
    </w:p>
    <w:p w14:paraId="65A1DB4E" w14:textId="77777777"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14:paraId="0D672EC2" w14:textId="77777777" w:rsidR="00112E79" w:rsidRPr="00E15FB4" w:rsidRDefault="009F57D9" w:rsidP="00E15FB4">
      <w:pPr>
        <w:pStyle w:val="berschrift2"/>
      </w:pPr>
      <w:bookmarkStart w:id="45" w:name="_Toc316247565"/>
      <w:bookmarkStart w:id="46" w:name="_Toc54985993"/>
      <w:r w:rsidRPr="00E15FB4">
        <w:t>Format</w:t>
      </w:r>
      <w:bookmarkEnd w:id="45"/>
      <w:bookmarkEnd w:id="46"/>
    </w:p>
    <w:p w14:paraId="4A797FC6" w14:textId="77777777" w:rsidR="009858FE" w:rsidRPr="001F4312" w:rsidRDefault="00335DC4" w:rsidP="001F4312">
      <w:pPr>
        <w:pStyle w:val="PolicyHeader"/>
      </w:pPr>
      <w:bookmarkStart w:id="47" w:name="_Toc54985994"/>
      <w:r w:rsidRPr="001F4312">
        <w:t xml:space="preserve">Use of </w:t>
      </w:r>
      <w:r w:rsidR="00F46B3F" w:rsidRPr="001F4312">
        <w:t>ISO15459</w:t>
      </w:r>
      <w:r w:rsidR="00D326D2" w:rsidRPr="001F4312">
        <w:t xml:space="preserve"> structure</w:t>
      </w:r>
      <w:bookmarkEnd w:id="47"/>
    </w:p>
    <w:p w14:paraId="3227AAB8" w14:textId="77777777"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 xml:space="preserve">in </w:t>
      </w:r>
      <w:r w:rsidR="00115A30">
        <w:t>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14:paraId="36CD1BE0" w14:textId="77777777" w:rsidR="003F6A4B" w:rsidRPr="006132BB" w:rsidRDefault="001F4312" w:rsidP="006132BB">
      <w:pPr>
        <w:pStyle w:val="Policy"/>
      </w:pPr>
      <w:r w:rsidRPr="006132BB">
        <w:t xml:space="preserve">- </w:t>
      </w:r>
      <w:r w:rsidR="003F6A4B" w:rsidRPr="006132BB">
        <w:t xml:space="preserve">An </w:t>
      </w:r>
      <w:r w:rsidR="00CD1C0A">
        <w:t>Identifier Scheme</w:t>
      </w:r>
    </w:p>
    <w:p w14:paraId="75B341B4" w14:textId="77777777"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14:paraId="78EC94B7" w14:textId="77777777" w:rsidR="00DA409B" w:rsidRDefault="00B26892" w:rsidP="006132BB">
      <w:bookmarkStart w:id="48" w:name="_Ref282382537"/>
      <w:bookmarkStart w:id="49" w:name="_Ref288664968"/>
      <w:bookmarkStart w:id="50" w:name="_Ref288665016"/>
      <w:r>
        <w:t xml:space="preserve">Applies to: all Participant </w:t>
      </w:r>
      <w:r w:rsidR="006132BB">
        <w:t xml:space="preserve">identifiers in all </w:t>
      </w:r>
      <w:r w:rsidR="00115A30">
        <w:t>Peppol</w:t>
      </w:r>
      <w:r>
        <w:t xml:space="preserve"> </w:t>
      </w:r>
      <w:r w:rsidR="006132BB">
        <w:t>components</w:t>
      </w:r>
    </w:p>
    <w:bookmarkEnd w:id="48"/>
    <w:bookmarkEnd w:id="49"/>
    <w:bookmarkEnd w:id="50"/>
    <w:p w14:paraId="27123A47" w14:textId="77777777" w:rsidR="003826B6" w:rsidRPr="003826B6" w:rsidRDefault="003826B6" w:rsidP="009B4F8A">
      <w:pPr>
        <w:pStyle w:val="ExampleHeader"/>
      </w:pPr>
      <w:r w:rsidRPr="003826B6">
        <w:t>Example:</w:t>
      </w:r>
    </w:p>
    <w:p w14:paraId="01526AC5" w14:textId="77777777" w:rsidR="003826B6" w:rsidRPr="00CD1C0A" w:rsidRDefault="00607F16" w:rsidP="00CD1C0A">
      <w:r>
        <w:t>Identifier Scheme</w:t>
      </w:r>
      <w:r w:rsidR="003826B6" w:rsidRPr="00CD1C0A">
        <w:t>: EAN International</w:t>
      </w:r>
    </w:p>
    <w:p w14:paraId="51D6CB27" w14:textId="77777777" w:rsidR="003826B6" w:rsidRPr="003826B6" w:rsidRDefault="00607F16" w:rsidP="00CD1C0A">
      <w:r>
        <w:t>Identifier Scheme</w:t>
      </w:r>
      <w:r w:rsidR="003826B6" w:rsidRPr="00CD1C0A">
        <w:t xml:space="preserve"> according to </w:t>
      </w:r>
      <w:r w:rsidR="00000DCA">
        <w:t>[</w:t>
      </w:r>
      <w:r w:rsidR="00115A30">
        <w:t>Peppol</w:t>
      </w:r>
      <w:r w:rsidR="00000DCA">
        <w:t>_CodeList]</w:t>
      </w:r>
      <w:r w:rsidR="003826B6" w:rsidRPr="00CD1C0A">
        <w:t>:</w:t>
      </w:r>
      <w:r w:rsidR="003826B6" w:rsidRPr="003826B6">
        <w:t xml:space="preserve"> </w:t>
      </w:r>
      <w:r w:rsidR="003826B6" w:rsidRPr="003826B6">
        <w:rPr>
          <w:rStyle w:val="InlinecodeZchn"/>
        </w:rPr>
        <w:t>0088</w:t>
      </w:r>
    </w:p>
    <w:p w14:paraId="383C6ADD" w14:textId="77777777"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14:paraId="00DC8179" w14:textId="77777777" w:rsidR="00B61A2A" w:rsidRPr="001F4312" w:rsidRDefault="00335DC4" w:rsidP="001F4312">
      <w:pPr>
        <w:pStyle w:val="PolicyHeader"/>
      </w:pPr>
      <w:bookmarkStart w:id="51" w:name="_Toc54985995"/>
      <w:r w:rsidRPr="001F4312">
        <w:t xml:space="preserve">Coding of </w:t>
      </w:r>
      <w:r w:rsidR="00A727BA">
        <w:t>Identifier Schemes</w:t>
      </w:r>
      <w:bookmarkEnd w:id="51"/>
    </w:p>
    <w:p w14:paraId="265FA2A0" w14:textId="77777777"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r w:rsidR="00115A30">
        <w:t>Peppol</w:t>
      </w:r>
      <w:r w:rsidR="00B96A62">
        <w:t>_CodeList]</w:t>
      </w:r>
      <w:r w:rsidR="001F4312" w:rsidRPr="001407A3">
        <w:t>.</w:t>
      </w:r>
    </w:p>
    <w:p w14:paraId="3DEE9949" w14:textId="77777777" w:rsidR="00B61A2A" w:rsidRPr="001407A3" w:rsidRDefault="00465246" w:rsidP="001407A3">
      <w:pPr>
        <w:pStyle w:val="Policy"/>
      </w:pPr>
      <w:r>
        <w:t xml:space="preserve">This list is </w:t>
      </w:r>
      <w:r w:rsidR="001C032A">
        <w:t xml:space="preserve">currently </w:t>
      </w:r>
      <w:r>
        <w:t>maintained by OpenPEPPOL.</w:t>
      </w:r>
    </w:p>
    <w:p w14:paraId="057B5D9A" w14:textId="77777777" w:rsidR="00DA409B" w:rsidRPr="006132BB" w:rsidRDefault="00867E11" w:rsidP="006132BB">
      <w:bookmarkStart w:id="52" w:name="_Toc316247566"/>
      <w:r>
        <w:t xml:space="preserve">Applies to: all </w:t>
      </w:r>
      <w:r w:rsidR="007E76B8">
        <w:t>P</w:t>
      </w:r>
      <w:r>
        <w:t xml:space="preserve">articipant identifiers in all </w:t>
      </w:r>
      <w:r w:rsidR="00115A30">
        <w:t>Peppol</w:t>
      </w:r>
      <w:r w:rsidR="007E76B8">
        <w:t xml:space="preserve"> </w:t>
      </w:r>
      <w:r>
        <w:t>components</w:t>
      </w:r>
    </w:p>
    <w:p w14:paraId="68C29118" w14:textId="77777777" w:rsidR="00CB2B47" w:rsidRPr="00E15FB4" w:rsidRDefault="000B0166" w:rsidP="00E15FB4">
      <w:pPr>
        <w:pStyle w:val="berschrift2"/>
      </w:pPr>
      <w:bookmarkStart w:id="53" w:name="_Toc54985996"/>
      <w:r>
        <w:t>Identifier Scheme</w:t>
      </w:r>
      <w:r w:rsidR="00963991" w:rsidRPr="00E15FB4">
        <w:t xml:space="preserve"> </w:t>
      </w:r>
      <w:r w:rsidR="008963EC">
        <w:t>v</w:t>
      </w:r>
      <w:r w:rsidR="009F57D9" w:rsidRPr="00E15FB4">
        <w:t>alues</w:t>
      </w:r>
      <w:bookmarkEnd w:id="52"/>
      <w:bookmarkEnd w:id="53"/>
    </w:p>
    <w:p w14:paraId="0B452FBF" w14:textId="77777777" w:rsidR="00025260" w:rsidRDefault="00EA5035" w:rsidP="00031029">
      <w:r w:rsidRPr="001F4312">
        <w:t xml:space="preserve">The </w:t>
      </w:r>
      <w:r w:rsidR="007602B4" w:rsidRPr="001F4312">
        <w:t xml:space="preserve">values for the </w:t>
      </w:r>
      <w:r w:rsidR="003F6A4B" w:rsidRPr="001F4312">
        <w:t xml:space="preserve">initial </w:t>
      </w:r>
      <w:r w:rsidR="00115A30">
        <w:t>Peppol</w:t>
      </w:r>
      <w:r w:rsidR="007602B4" w:rsidRPr="001F4312">
        <w:t xml:space="preserve"> </w:t>
      </w:r>
      <w:r w:rsidR="007F3169">
        <w:t>identifier Scheme</w:t>
      </w:r>
      <w:r w:rsidR="003F6A4B" w:rsidRPr="001F4312">
        <w:t xml:space="preserve"> Code </w:t>
      </w:r>
      <w:r w:rsidR="003809D0" w:rsidRPr="001F4312">
        <w:t xml:space="preserve">list </w:t>
      </w:r>
      <w:r w:rsidR="00992AEB" w:rsidRPr="001F4312">
        <w:t xml:space="preserve">were </w:t>
      </w:r>
      <w:r w:rsidR="00A46519">
        <w:t xml:space="preserve">originally </w:t>
      </w:r>
      <w:r w:rsidR="00992AEB" w:rsidRPr="001F4312">
        <w:t xml:space="preserve">taken from </w:t>
      </w:r>
      <w:r w:rsidR="003809D0" w:rsidRPr="001F4312">
        <w:t xml:space="preserve">the </w:t>
      </w:r>
      <w:r w:rsidR="003F6A4B" w:rsidRPr="001F4312">
        <w:t>NESUBL PartyID code list</w:t>
      </w:r>
      <w:r w:rsidR="00335DC4" w:rsidRPr="001F4312">
        <w:rPr>
          <w:rStyle w:val="Funotenzeichen"/>
        </w:rPr>
        <w:footnoteReference w:id="14"/>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w:t>
      </w:r>
      <w:r w:rsidR="00115A30">
        <w:t>Peppol</w:t>
      </w:r>
      <w:r w:rsidR="003F6A4B" w:rsidRPr="001F4312">
        <w:t xml:space="preserve">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5"/>
      </w:r>
      <w:r w:rsidRPr="001F4312">
        <w:t>)</w:t>
      </w:r>
      <w:r w:rsidR="003F6A4B" w:rsidRPr="001F4312">
        <w:t>.</w:t>
      </w:r>
    </w:p>
    <w:p w14:paraId="784566AF" w14:textId="77777777"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14:paraId="19813F89" w14:textId="77777777" w:rsidR="00782E88" w:rsidRPr="00031029" w:rsidRDefault="00782E88" w:rsidP="00BF0A1A">
      <w:pPr>
        <w:numPr>
          <w:ilvl w:val="0"/>
          <w:numId w:val="5"/>
        </w:numPr>
      </w:pPr>
      <w:r w:rsidRPr="00031029">
        <w:t>International recognized standard schemes</w:t>
      </w:r>
      <w:r w:rsidR="00E371C2" w:rsidRPr="00031029">
        <w:t>, then</w:t>
      </w:r>
    </w:p>
    <w:p w14:paraId="0E6F3D45" w14:textId="77777777" w:rsidR="00782E88" w:rsidRPr="00031029" w:rsidRDefault="00782E88" w:rsidP="00BF0A1A">
      <w:pPr>
        <w:numPr>
          <w:ilvl w:val="0"/>
          <w:numId w:val="5"/>
        </w:numPr>
      </w:pPr>
      <w:r w:rsidRPr="00031029">
        <w:t>International de-facto accepted schemes</w:t>
      </w:r>
      <w:r w:rsidR="00E371C2" w:rsidRPr="00031029">
        <w:t>, then</w:t>
      </w:r>
    </w:p>
    <w:p w14:paraId="5C8E3304" w14:textId="77777777" w:rsidR="00782E88" w:rsidRPr="00031029" w:rsidRDefault="00782E88" w:rsidP="00BF0A1A">
      <w:pPr>
        <w:numPr>
          <w:ilvl w:val="0"/>
          <w:numId w:val="5"/>
        </w:numPr>
      </w:pPr>
      <w:r w:rsidRPr="00031029">
        <w:t>Nationally defined schemes</w:t>
      </w:r>
    </w:p>
    <w:p w14:paraId="56480E12" w14:textId="77777777" w:rsidR="00025260" w:rsidRPr="001F4312" w:rsidRDefault="00025260" w:rsidP="00031029">
      <w:r w:rsidRPr="001F4312">
        <w:t>The actual values for numeric International Code Designators were based on the following allocation criteria:</w:t>
      </w:r>
    </w:p>
    <w:p w14:paraId="2550BEC7" w14:textId="77777777" w:rsidR="00025260" w:rsidRPr="00031029" w:rsidRDefault="00025260" w:rsidP="00BF0A1A">
      <w:pPr>
        <w:numPr>
          <w:ilvl w:val="0"/>
          <w:numId w:val="4"/>
        </w:numPr>
      </w:pPr>
      <w:r w:rsidRPr="00031029">
        <w:t>ISO 6523 International Code Designator (if known), or</w:t>
      </w:r>
    </w:p>
    <w:p w14:paraId="25B3A3E6" w14:textId="77777777" w:rsidR="00025260" w:rsidRPr="00031029" w:rsidRDefault="00025260" w:rsidP="00BF0A1A">
      <w:pPr>
        <w:numPr>
          <w:ilvl w:val="0"/>
          <w:numId w:val="4"/>
        </w:numPr>
      </w:pPr>
      <w:r w:rsidRPr="00031029">
        <w:t>ISO 9735 Identification code qualifier (if known), or</w:t>
      </w:r>
    </w:p>
    <w:p w14:paraId="77A36C98" w14:textId="77777777" w:rsidR="00025260" w:rsidRPr="00031029" w:rsidRDefault="00025260" w:rsidP="00BF0A1A">
      <w:pPr>
        <w:numPr>
          <w:ilvl w:val="0"/>
          <w:numId w:val="4"/>
        </w:numPr>
      </w:pPr>
      <w:r w:rsidRPr="00031029">
        <w:lastRenderedPageBreak/>
        <w:t xml:space="preserve">An incremental number starting from 9900 (issued by </w:t>
      </w:r>
      <w:r w:rsidR="00115A30">
        <w:t>Peppol</w:t>
      </w:r>
      <w:r w:rsidRPr="00031029">
        <w:t>)</w:t>
      </w:r>
    </w:p>
    <w:p w14:paraId="5389EC58" w14:textId="77777777"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115A30">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115A30">
        <w:t>Peppol</w:t>
      </w:r>
      <w:r w:rsidR="00A667A7" w:rsidRPr="00031029">
        <w:t xml:space="preserve"> </w:t>
      </w:r>
      <w:r w:rsidR="00867E11">
        <w:t xml:space="preserve">and </w:t>
      </w:r>
      <w:r w:rsidR="00A667A7" w:rsidRPr="00031029">
        <w:t>not ISO 6523</w:t>
      </w:r>
      <w:r w:rsidR="00093E65" w:rsidRPr="00031029">
        <w:t>.</w:t>
      </w:r>
    </w:p>
    <w:p w14:paraId="6D3CBFD0" w14:textId="77777777"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00115A30">
        <w:rPr>
          <w:bCs/>
          <w:lang w:val="en-US" w:bidi="ne-NP"/>
        </w:rPr>
        <w:t>Peppol</w:t>
      </w:r>
      <w:r w:rsidRPr="007852AB">
        <w:rPr>
          <w:bCs/>
          <w:lang w:val="en-US" w:bidi="ne-NP"/>
        </w:rPr>
        <w:t>_</w:t>
      </w:r>
      <w:r>
        <w:rPr>
          <w:bCs/>
          <w:lang w:val="en-US" w:bidi="ne-NP"/>
        </w:rPr>
        <w:t>CodeList</w:t>
      </w:r>
      <w:r w:rsidRPr="005576B6">
        <w:rPr>
          <w:iCs/>
        </w:rPr>
        <w:t>]</w:t>
      </w:r>
      <w:r>
        <w:rPr>
          <w:iCs/>
        </w:rPr>
        <w:t>.</w:t>
      </w:r>
    </w:p>
    <w:p w14:paraId="4E977237" w14:textId="77777777"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14:paraId="2305984D" w14:textId="77777777" w:rsidR="00031029" w:rsidRDefault="00BA1D27" w:rsidP="00031029">
      <w:pPr>
        <w:pStyle w:val="PolicyHeader"/>
      </w:pPr>
      <w:bookmarkStart w:id="54" w:name="_Ref282443957"/>
      <w:bookmarkStart w:id="55" w:name="_Toc54985997"/>
      <w:r>
        <w:t>P</w:t>
      </w:r>
      <w:r w:rsidR="00987E82">
        <w:t xml:space="preserve">articipant </w:t>
      </w:r>
      <w:r>
        <w:t>I</w:t>
      </w:r>
      <w:r w:rsidR="00031029">
        <w:t xml:space="preserve">dentifier </w:t>
      </w:r>
      <w:r w:rsidR="002D29A3">
        <w:t xml:space="preserve">Meta </w:t>
      </w:r>
      <w:r w:rsidR="00BD30B4">
        <w:t>S</w:t>
      </w:r>
      <w:r w:rsidR="00031029">
        <w:t>cheme</w:t>
      </w:r>
      <w:bookmarkEnd w:id="54"/>
      <w:bookmarkEnd w:id="55"/>
    </w:p>
    <w:p w14:paraId="28B0802A" w14:textId="77777777" w:rsidR="00031029" w:rsidRDefault="00031029" w:rsidP="00031029">
      <w:pPr>
        <w:pStyle w:val="Policy"/>
      </w:pPr>
      <w:r>
        <w:t xml:space="preserve">The </w:t>
      </w:r>
      <w:r w:rsidR="00115A30">
        <w:t>Peppol</w:t>
      </w:r>
      <w:r>
        <w:t xml:space="preserve"> </w:t>
      </w:r>
      <w:r w:rsidR="00BA1D27">
        <w:t>Participant I</w:t>
      </w:r>
      <w:r>
        <w:t xml:space="preserve">dentifier </w:t>
      </w:r>
      <w:r w:rsidR="002D29A3">
        <w:t xml:space="preserve">Meta </w:t>
      </w:r>
      <w:r w:rsidR="00BD30B4">
        <w:t>S</w:t>
      </w:r>
      <w:r>
        <w:t xml:space="preserve">cheme </w:t>
      </w:r>
      <w:r w:rsidR="00BA1D27">
        <w:t>i</w:t>
      </w:r>
      <w:r>
        <w:t>s:</w:t>
      </w:r>
    </w:p>
    <w:p w14:paraId="16319BF5" w14:textId="77777777"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14:paraId="0838D189" w14:textId="77777777" w:rsidR="00BA1D27" w:rsidRDefault="00BA1D27" w:rsidP="00DA409B">
      <w:r>
        <w:t xml:space="preserve">Applies to: all Participant Identifiers in all </w:t>
      </w:r>
      <w:r w:rsidR="00115A30">
        <w:t>Peppol</w:t>
      </w:r>
      <w:r>
        <w:t xml:space="preserve"> components</w:t>
      </w:r>
    </w:p>
    <w:p w14:paraId="06CB2BD8" w14:textId="34E2528F"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554D27">
        <w:fldChar w:fldCharType="begin"/>
      </w:r>
      <w:r w:rsidR="00C7372E">
        <w:instrText xml:space="preserve"> REF _Ref317443390 \r \h </w:instrText>
      </w:r>
      <w:r w:rsidR="00554D27">
        <w:fldChar w:fldCharType="separate"/>
      </w:r>
      <w:r w:rsidR="00EA0922">
        <w:t>POLICY 2</w:t>
      </w:r>
      <w:r w:rsidR="00554D27">
        <w:fldChar w:fldCharType="end"/>
      </w:r>
      <w:r w:rsidR="00C7372E">
        <w:t>)</w:t>
      </w:r>
      <w:r w:rsidR="00786ED5">
        <w:t>.</w:t>
      </w:r>
    </w:p>
    <w:p w14:paraId="3B5DC45A" w14:textId="77777777"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14:paraId="17428418" w14:textId="77777777" w:rsidR="00C51725" w:rsidRPr="00031029" w:rsidRDefault="002142B2" w:rsidP="00031029">
      <w:pPr>
        <w:pStyle w:val="PolicyHeader"/>
      </w:pPr>
      <w:bookmarkStart w:id="56" w:name="_Ref526773555"/>
      <w:bookmarkStart w:id="57" w:name="_Toc54985998"/>
      <w:r w:rsidRPr="00031029">
        <w:t xml:space="preserve">Numeric Codes for </w:t>
      </w:r>
      <w:bookmarkEnd w:id="56"/>
      <w:r w:rsidR="00CD2FB6">
        <w:t>Identifier Schemes</w:t>
      </w:r>
      <w:bookmarkEnd w:id="57"/>
    </w:p>
    <w:p w14:paraId="6DD24690" w14:textId="77777777"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115A30">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6"/>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14:paraId="36E9E4D8" w14:textId="77777777" w:rsidR="00DA409B" w:rsidRDefault="00867E11" w:rsidP="00DA409B">
      <w:r>
        <w:t xml:space="preserve">Applies to: all participant identifiers </w:t>
      </w:r>
      <w:r w:rsidR="00A72582">
        <w:t xml:space="preserve">in all </w:t>
      </w:r>
      <w:r w:rsidR="00115A30">
        <w:t>Peppol</w:t>
      </w:r>
      <w:r w:rsidR="00A72582">
        <w:t xml:space="preserve"> components</w:t>
      </w:r>
    </w:p>
    <w:p w14:paraId="45FD06EA" w14:textId="77777777" w:rsidR="00CD2FB6" w:rsidRPr="00DA409B" w:rsidRDefault="00CD2FB6" w:rsidP="00DA409B">
      <w:r>
        <w:t xml:space="preserve">A normative list of all </w:t>
      </w:r>
      <w:r w:rsidR="00115A30">
        <w:t>Peppol</w:t>
      </w:r>
      <w:r>
        <w:t xml:space="preserve"> Participant Identifier Schemes</w:t>
      </w:r>
      <w:r w:rsidRPr="001F4312">
        <w:t xml:space="preserve"> and metadata </w:t>
      </w:r>
      <w:r>
        <w:t>can be found at [</w:t>
      </w:r>
      <w:r w:rsidR="00115A30">
        <w:t>Peppol</w:t>
      </w:r>
      <w:r>
        <w:t>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14:paraId="16FF0DAF" w14:textId="77777777" w:rsidR="007E22AC" w:rsidRDefault="007E22AC" w:rsidP="007E22AC">
      <w:pPr>
        <w:pStyle w:val="PolicyHeader"/>
      </w:pPr>
      <w:bookmarkStart w:id="58" w:name="_Toc54985999"/>
      <w:r>
        <w:t>Participant Identifiers for DNS</w:t>
      </w:r>
      <w:bookmarkEnd w:id="58"/>
    </w:p>
    <w:p w14:paraId="51BCC1C6" w14:textId="77777777" w:rsidR="007E22AC" w:rsidRDefault="007E22AC" w:rsidP="007E22AC">
      <w:pPr>
        <w:pStyle w:val="Policy"/>
      </w:pPr>
      <w:r>
        <w:t>Participant identifiers – consisting of scheme and value – are encoded as follows into a DNS name:</w:t>
      </w:r>
    </w:p>
    <w:p w14:paraId="5162A28B" w14:textId="77777777" w:rsidR="007E22AC" w:rsidRDefault="007E22AC" w:rsidP="007E22AC">
      <w:pPr>
        <w:pStyle w:val="Inlinecode"/>
      </w:pPr>
      <w:r>
        <w:t>B-&lt;hash-of-value&gt;.&lt;scheme&gt;.&lt;SML-zone-name&gt;</w:t>
      </w:r>
    </w:p>
    <w:p w14:paraId="500291A0" w14:textId="77777777" w:rsidR="007E22AC" w:rsidRDefault="007E22AC" w:rsidP="007E22AC">
      <w:r>
        <w:t>Applie</w:t>
      </w:r>
      <w:r w:rsidR="00884F97">
        <w:t xml:space="preserve">s to: the resolution of </w:t>
      </w:r>
      <w:r w:rsidR="00115A30">
        <w:t>Peppol</w:t>
      </w:r>
      <w:r w:rsidR="00884F97">
        <w:t xml:space="preserve"> P</w:t>
      </w:r>
      <w:r>
        <w:t xml:space="preserve">articipant </w:t>
      </w:r>
      <w:r w:rsidR="00884F97">
        <w:t>I</w:t>
      </w:r>
      <w:r>
        <w:t>dentifier</w:t>
      </w:r>
      <w:r w:rsidR="00884F97">
        <w:t>s</w:t>
      </w:r>
      <w:r>
        <w:t xml:space="preserve"> for SMP clients</w:t>
      </w:r>
    </w:p>
    <w:p w14:paraId="0D998CE2" w14:textId="77777777"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416"/>
      </w:tblGrid>
      <w:tr w:rsidR="007E22AC" w:rsidRPr="00B7135A" w14:paraId="7ED568AA" w14:textId="77777777" w:rsidTr="00DB1346">
        <w:tc>
          <w:tcPr>
            <w:tcW w:w="1668" w:type="dxa"/>
          </w:tcPr>
          <w:p w14:paraId="56BE60D7" w14:textId="77777777" w:rsidR="007E22AC" w:rsidRPr="00B7135A" w:rsidRDefault="007E22AC" w:rsidP="00DB1346">
            <w:r w:rsidRPr="00B7135A">
              <w:t>&lt;hash-of-value&gt;</w:t>
            </w:r>
          </w:p>
        </w:tc>
        <w:tc>
          <w:tcPr>
            <w:tcW w:w="7618" w:type="dxa"/>
          </w:tcPr>
          <w:p w14:paraId="6095EE6C" w14:textId="77777777" w:rsidR="007E22AC" w:rsidRDefault="007E22AC" w:rsidP="00DB1346">
            <w:r>
              <w:t>I</w:t>
            </w:r>
            <w:r w:rsidRPr="00B7135A">
              <w:t xml:space="preserve">s the </w:t>
            </w:r>
            <w:r>
              <w:t xml:space="preserve">string representation of the </w:t>
            </w:r>
            <w:r w:rsidRPr="00B7135A">
              <w:t>MD5 hash value, of the lowercased identifier value (e.g. 0088:abc).</w:t>
            </w:r>
          </w:p>
          <w:p w14:paraId="72E888A9" w14:textId="77777777" w:rsidR="007E22AC" w:rsidRDefault="007E22AC" w:rsidP="00DB1346">
            <w:r>
              <w:t xml:space="preserve">The </w:t>
            </w:r>
            <w:r>
              <w:rPr>
                <w:b/>
              </w:rPr>
              <w:t>UTF-8</w:t>
            </w:r>
            <w:r>
              <w:t xml:space="preserve"> charset needs to be used for extracting bytes out of strings for MD5 hash value creation.</w:t>
            </w:r>
          </w:p>
          <w:p w14:paraId="5DCFBD05" w14:textId="77777777" w:rsidR="007E22AC" w:rsidRDefault="007E22AC" w:rsidP="00DB1346">
            <w:r>
              <w:t xml:space="preserve">Lowercasing must be performed according to the </w:t>
            </w:r>
            <w:r w:rsidRPr="00A0723C">
              <w:rPr>
                <w:b/>
              </w:rPr>
              <w:t>en_US</w:t>
            </w:r>
            <w:r>
              <w:t xml:space="preserve"> locale rules (no special character handling).</w:t>
            </w:r>
          </w:p>
          <w:p w14:paraId="05934BF3" w14:textId="559958BF" w:rsidR="007E22AC" w:rsidRPr="00B7135A" w:rsidRDefault="007E22AC" w:rsidP="00DB1346">
            <w:r>
              <w:lastRenderedPageBreak/>
              <w:t xml:space="preserve">Note: it is important, that the MD5 hash value is generated </w:t>
            </w:r>
            <w:r w:rsidRPr="0086227D">
              <w:rPr>
                <w:b/>
              </w:rPr>
              <w:t>after</w:t>
            </w:r>
            <w:r>
              <w:t xml:space="preserve"> the identifier value has been lowercased because according to </w:t>
            </w:r>
            <w:r w:rsidR="00554D27">
              <w:fldChar w:fldCharType="begin"/>
            </w:r>
            <w:r>
              <w:instrText xml:space="preserve"> REF _Ref317443390 \r \h </w:instrText>
            </w:r>
            <w:r w:rsidR="00554D27">
              <w:fldChar w:fldCharType="separate"/>
            </w:r>
            <w:r w:rsidR="00EA0922">
              <w:t>POLICY 2</w:t>
            </w:r>
            <w:r w:rsidR="00554D27">
              <w:fldChar w:fldCharType="end"/>
            </w:r>
            <w:r>
              <w:t xml:space="preserve"> participant identifiers have to be treated case insensitive. “String representation” means the encoding of each MD5 hash-byte into 2 characters in the range of [0-9a-f] (e.g. byte value 255 becomes string representation “ff”).</w:t>
            </w:r>
          </w:p>
        </w:tc>
      </w:tr>
      <w:tr w:rsidR="007E22AC" w:rsidRPr="00B7135A" w14:paraId="7FFE6E01" w14:textId="77777777" w:rsidTr="00DB1346">
        <w:tc>
          <w:tcPr>
            <w:tcW w:w="1668" w:type="dxa"/>
          </w:tcPr>
          <w:p w14:paraId="5C1D3539" w14:textId="77777777" w:rsidR="007E22AC" w:rsidRPr="00B7135A" w:rsidRDefault="007E22AC" w:rsidP="00DB1346">
            <w:r w:rsidRPr="00B7135A">
              <w:lastRenderedPageBreak/>
              <w:t>&lt;scheme&gt;</w:t>
            </w:r>
          </w:p>
        </w:tc>
        <w:tc>
          <w:tcPr>
            <w:tcW w:w="7618" w:type="dxa"/>
          </w:tcPr>
          <w:p w14:paraId="678FA219" w14:textId="77777777" w:rsidR="007E22AC" w:rsidRDefault="007E22AC" w:rsidP="00DB1346">
            <w:r>
              <w:t>I</w:t>
            </w:r>
            <w:r w:rsidRPr="00B7135A">
              <w:t xml:space="preserve">s the identifier scheme </w:t>
            </w:r>
            <w:r>
              <w:t xml:space="preserve">value </w:t>
            </w:r>
            <w:r w:rsidRPr="00B7135A">
              <w:t>(</w:t>
            </w:r>
            <w:r>
              <w:t>“</w:t>
            </w:r>
            <w:r w:rsidRPr="00B7135A">
              <w:t>iso6523-actorid-upis</w:t>
            </w:r>
            <w:r>
              <w:t xml:space="preserve">” in </w:t>
            </w:r>
            <w:r w:rsidR="00115A30">
              <w:t>Peppol</w:t>
            </w:r>
            <w:r w:rsidRPr="00B7135A">
              <w:t>)</w:t>
            </w:r>
            <w:r>
              <w:t xml:space="preserve"> and is added “as is” into the DNS name</w:t>
            </w:r>
            <w:r>
              <w:rPr>
                <w:rStyle w:val="Funotenzeichen"/>
              </w:rPr>
              <w:footnoteReference w:id="17"/>
            </w:r>
            <w:r>
              <w:t>.</w:t>
            </w:r>
          </w:p>
          <w:p w14:paraId="0C4A837C" w14:textId="77777777"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14:paraId="21A2DCD4" w14:textId="77777777"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14:paraId="73604BAE" w14:textId="77777777" w:rsidTr="00DB1346">
        <w:tc>
          <w:tcPr>
            <w:tcW w:w="1668" w:type="dxa"/>
          </w:tcPr>
          <w:p w14:paraId="5ECF1705" w14:textId="77777777" w:rsidR="007E22AC" w:rsidRPr="00B7135A" w:rsidRDefault="007E22AC" w:rsidP="00DB1346">
            <w:r w:rsidRPr="00B7135A">
              <w:t>&lt;SML-zone-name&gt;</w:t>
            </w:r>
          </w:p>
        </w:tc>
        <w:tc>
          <w:tcPr>
            <w:tcW w:w="7618" w:type="dxa"/>
          </w:tcPr>
          <w:p w14:paraId="49B301FE" w14:textId="77777777" w:rsidR="007E22AC" w:rsidRDefault="007E22AC" w:rsidP="00DB1346">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14:paraId="50444D51" w14:textId="77777777" w:rsidR="007E22AC" w:rsidRPr="003F6527" w:rsidRDefault="007E22AC" w:rsidP="009B4F8A">
      <w:pPr>
        <w:pStyle w:val="ExampleHeader"/>
      </w:pPr>
      <w:r w:rsidRPr="003F6527">
        <w:t>Example:</w:t>
      </w:r>
    </w:p>
    <w:p w14:paraId="6757070C" w14:textId="77777777"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14:paraId="10B64369" w14:textId="77777777"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14:paraId="3B44C3C6" w14:textId="77777777"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14:paraId="58175859" w14:textId="77777777" w:rsidR="001356A9" w:rsidRPr="009846B9" w:rsidRDefault="001356A9" w:rsidP="009846B9">
      <w:pPr>
        <w:pStyle w:val="PolicyHeader"/>
      </w:pPr>
      <w:bookmarkStart w:id="59" w:name="_Toc54986000"/>
      <w:r w:rsidRPr="009846B9">
        <w:t>XML attributes for Participant Identifiers</w:t>
      </w:r>
      <w:r w:rsidR="00554639" w:rsidRPr="009846B9">
        <w:t xml:space="preserve"> in </w:t>
      </w:r>
      <w:r w:rsidR="00A72582">
        <w:t>SMP responses</w:t>
      </w:r>
      <w:bookmarkEnd w:id="59"/>
    </w:p>
    <w:p w14:paraId="12A52ADF" w14:textId="357D441B" w:rsidR="001407A3" w:rsidRDefault="00AD7BA9" w:rsidP="009846B9">
      <w:pPr>
        <w:pStyle w:val="Policy"/>
      </w:pPr>
      <w:r w:rsidRPr="00AD7BA9">
        <w:t xml:space="preserve">The “scheme” attribute must be populated with the value "iso6523-actorid-upis" </w:t>
      </w:r>
      <w:r>
        <w:t xml:space="preserve">(see </w:t>
      </w:r>
      <w:r w:rsidR="00554D27">
        <w:fldChar w:fldCharType="begin"/>
      </w:r>
      <w:r>
        <w:instrText xml:space="preserve"> REF _Ref282443957 \r \h </w:instrText>
      </w:r>
      <w:r w:rsidR="00554D27">
        <w:fldChar w:fldCharType="separate"/>
      </w:r>
      <w:r w:rsidR="00EA0922">
        <w:t>POLICY 5</w:t>
      </w:r>
      <w:r w:rsidR="00554D27">
        <w:fldChar w:fldCharType="end"/>
      </w:r>
      <w:r>
        <w:t xml:space="preserve">) </w:t>
      </w:r>
      <w:r w:rsidRPr="00AD7BA9">
        <w:t>in all instances of the “ParticipantIdentifier” element.</w:t>
      </w:r>
    </w:p>
    <w:p w14:paraId="656A6D00" w14:textId="77777777" w:rsidR="007A2F88" w:rsidRDefault="00867E11" w:rsidP="001407A3">
      <w:r>
        <w:t>Applies to: XML documents used in the SMP</w:t>
      </w:r>
    </w:p>
    <w:p w14:paraId="3EE4777C" w14:textId="77777777" w:rsidR="001356A9" w:rsidRDefault="00900A19" w:rsidP="009B4F8A">
      <w:pPr>
        <w:pStyle w:val="ExampleHeader"/>
      </w:pPr>
      <w:r w:rsidRPr="003F6527">
        <w:t>E</w:t>
      </w:r>
      <w:r w:rsidR="001356A9" w:rsidRPr="003F6527">
        <w:t>xample</w:t>
      </w:r>
      <w:r w:rsidR="006A7CE3">
        <w:t xml:space="preserve"> 1</w:t>
      </w:r>
      <w:r w:rsidR="001356A9" w:rsidRPr="003F6527">
        <w:t>:</w:t>
      </w:r>
    </w:p>
    <w:p w14:paraId="5DC8ABC2" w14:textId="77777777"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14:paraId="767217E7" w14:textId="77777777"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14:paraId="120BDE60" w14:textId="77777777" w:rsidR="006A7CE3" w:rsidRDefault="006A7CE3" w:rsidP="009B4F8A">
      <w:pPr>
        <w:pStyle w:val="ExampleHeader"/>
      </w:pPr>
      <w:r w:rsidRPr="003F6527">
        <w:t>Example</w:t>
      </w:r>
      <w:r>
        <w:t xml:space="preserve"> 2</w:t>
      </w:r>
      <w:r w:rsidRPr="003F6527">
        <w:t>:</w:t>
      </w:r>
    </w:p>
    <w:p w14:paraId="6C5EBA40" w14:textId="77777777"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14:paraId="091C1DFE" w14:textId="77777777"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14:paraId="16B74CC1" w14:textId="77777777" w:rsidR="00DE6D82" w:rsidRPr="002F4FC6" w:rsidRDefault="00DE6D82" w:rsidP="00DE6D82">
      <w:pPr>
        <w:pStyle w:val="PolicyHeader"/>
      </w:pPr>
      <w:bookmarkStart w:id="60" w:name="_Toc54986001"/>
      <w:r w:rsidRPr="002F4FC6">
        <w:lastRenderedPageBreak/>
        <w:t xml:space="preserve">XML attributes for </w:t>
      </w:r>
      <w:r w:rsidR="0039427C">
        <w:rPr>
          <w:lang w:val="en-US"/>
        </w:rPr>
        <w:t>Electronic Address IDs (</w:t>
      </w:r>
      <w:r>
        <w:t>EndpointID</w:t>
      </w:r>
      <w:r w:rsidR="0039427C">
        <w:t>)</w:t>
      </w:r>
      <w:r w:rsidRPr="002F4FC6">
        <w:t xml:space="preserve"> in UBL documents</w:t>
      </w:r>
      <w:bookmarkEnd w:id="60"/>
    </w:p>
    <w:p w14:paraId="1108336D" w14:textId="77777777"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00115A30">
        <w:rPr>
          <w:bCs/>
          <w:lang w:val="en-US" w:bidi="ne-NP"/>
        </w:rPr>
        <w:t>Peppol</w:t>
      </w:r>
      <w:r w:rsidRPr="007852AB">
        <w:rPr>
          <w:bCs/>
          <w:lang w:val="en-US" w:bidi="ne-NP"/>
        </w:rPr>
        <w:t>_</w:t>
      </w:r>
      <w:r>
        <w:rPr>
          <w:bCs/>
          <w:lang w:val="en-US" w:bidi="ne-NP"/>
        </w:rPr>
        <w:t>CodeList]</w:t>
      </w:r>
      <w:r w:rsidRPr="00402E6A">
        <w:t xml:space="preserve"> as “</w:t>
      </w:r>
      <w:r>
        <w:t>ICD value</w:t>
      </w:r>
      <w:r w:rsidRPr="00402E6A">
        <w:t>”.</w:t>
      </w:r>
    </w:p>
    <w:p w14:paraId="02A98FA1" w14:textId="24ECF3FC" w:rsidR="00DE6D82" w:rsidRPr="0047244D" w:rsidRDefault="0047244D" w:rsidP="00DE6D82">
      <w:pPr>
        <w:pStyle w:val="Policy"/>
        <w:rPr>
          <w:lang w:val="en-US"/>
        </w:rPr>
      </w:pPr>
      <w:r>
        <w:t xml:space="preserve">Extended values starting with “99” as indicated by </w:t>
      </w:r>
      <w:r w:rsidR="00554D27">
        <w:fldChar w:fldCharType="begin"/>
      </w:r>
      <w:r>
        <w:instrText xml:space="preserve"> REF _Ref526773555 \r \h </w:instrText>
      </w:r>
      <w:r w:rsidR="00554D27">
        <w:fldChar w:fldCharType="separate"/>
      </w:r>
      <w:r w:rsidR="00EA0922">
        <w:t>POLICY 6</w:t>
      </w:r>
      <w:r w:rsidR="00554D27">
        <w:fldChar w:fldCharType="end"/>
      </w:r>
      <w:r>
        <w:t xml:space="preserve"> MAY be used.</w:t>
      </w:r>
    </w:p>
    <w:p w14:paraId="3DF7BB5A" w14:textId="77777777" w:rsidR="00DE6D82" w:rsidRDefault="00DE6D82" w:rsidP="00DE6D82">
      <w:r>
        <w:t>Applies to: all business document</w:t>
      </w:r>
      <w:r w:rsidR="003F638A">
        <w:t>s</w:t>
      </w:r>
      <w:r>
        <w:t xml:space="preserve"> used in a </w:t>
      </w:r>
      <w:r w:rsidR="00115A30">
        <w:t>Peppol</w:t>
      </w:r>
      <w:r>
        <w:t xml:space="preserve"> BIS with UBL syntax mapping</w:t>
      </w:r>
    </w:p>
    <w:p w14:paraId="63DB3773" w14:textId="77777777" w:rsidR="00DE6D82" w:rsidRPr="003F6527" w:rsidRDefault="00DE6D82" w:rsidP="009B4F8A">
      <w:pPr>
        <w:pStyle w:val="ExampleHeader"/>
      </w:pPr>
      <w:r w:rsidRPr="003F6527">
        <w:t>Example:</w:t>
      </w:r>
    </w:p>
    <w:p w14:paraId="6BEB19C1" w14:textId="77777777" w:rsidR="00DE6D82" w:rsidRPr="001407A3" w:rsidRDefault="00DE6D82" w:rsidP="00DE6D82">
      <w:pPr>
        <w:pStyle w:val="Code"/>
        <w:shd w:val="clear" w:color="auto" w:fill="FFFFFF"/>
        <w:ind w:left="567"/>
      </w:pPr>
      <w:r w:rsidRPr="001407A3">
        <w:t>&lt;cac:Party&gt;</w:t>
      </w:r>
    </w:p>
    <w:p w14:paraId="3547FF4B" w14:textId="77777777"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14:paraId="2619B597" w14:textId="77777777" w:rsidR="007B2440" w:rsidRDefault="00DE6D82" w:rsidP="00E058AB">
      <w:pPr>
        <w:pStyle w:val="Code"/>
        <w:shd w:val="clear" w:color="auto" w:fill="FFFFFF"/>
        <w:ind w:left="567"/>
      </w:pPr>
      <w:r w:rsidRPr="001407A3">
        <w:t>&lt;/cac:Party&gt;</w:t>
      </w:r>
    </w:p>
    <w:p w14:paraId="4358376C" w14:textId="77777777" w:rsidR="0039427C" w:rsidRPr="002F4FC6" w:rsidRDefault="0039427C" w:rsidP="0039427C">
      <w:pPr>
        <w:pStyle w:val="PolicyHeader"/>
      </w:pPr>
      <w:bookmarkStart w:id="61" w:name="_Toc54986002"/>
      <w:r w:rsidRPr="002F4FC6">
        <w:t xml:space="preserve">XML attributes for </w:t>
      </w:r>
      <w:r>
        <w:t xml:space="preserve">Electronic address IDs </w:t>
      </w:r>
      <w:r w:rsidRPr="002F4FC6">
        <w:t xml:space="preserve">in </w:t>
      </w:r>
      <w:r>
        <w:t>CII</w:t>
      </w:r>
      <w:r w:rsidRPr="002F4FC6">
        <w:t xml:space="preserve"> documents</w:t>
      </w:r>
      <w:bookmarkEnd w:id="61"/>
    </w:p>
    <w:p w14:paraId="2A5314B6" w14:textId="77777777" w:rsidR="008D2559" w:rsidRDefault="0039427C">
      <w:pPr>
        <w:pStyle w:val="Policy"/>
      </w:pPr>
      <w:r w:rsidRPr="002F4FC6">
        <w:t xml:space="preserve">The “schemeID” attribute </w:t>
      </w:r>
      <w:r>
        <w:t>MUST</w:t>
      </w:r>
      <w:r w:rsidRPr="002F4FC6">
        <w:t xml:space="preserve"> be populated in all instances of the </w:t>
      </w:r>
      <w:r w:rsidR="00036305" w:rsidRPr="00036305">
        <w:t>“ram:URIUniversalCommunication/ram:URIID” element when used within a “Party” element. The only valid values are defined in the [</w:t>
      </w:r>
      <w:r w:rsidR="00115A30">
        <w:rPr>
          <w:bCs/>
          <w:lang w:val="en-US" w:bidi="ne-NP"/>
        </w:rPr>
        <w:t>Peppol</w:t>
      </w:r>
      <w:r w:rsidR="00036305" w:rsidRPr="00036305">
        <w:rPr>
          <w:bCs/>
          <w:lang w:val="en-US" w:bidi="ne-NP"/>
        </w:rPr>
        <w:t>_CodeList]</w:t>
      </w:r>
      <w:r w:rsidR="00036305" w:rsidRPr="00036305">
        <w:t xml:space="preserve"> as “ICD value”.</w:t>
      </w:r>
    </w:p>
    <w:p w14:paraId="504E41DD" w14:textId="36A0E548" w:rsidR="008D2559" w:rsidRDefault="00036305">
      <w:pPr>
        <w:pStyle w:val="Policy"/>
        <w:rPr>
          <w:lang w:val="en-US"/>
        </w:rPr>
      </w:pPr>
      <w:r w:rsidRPr="00036305">
        <w:t>Extended values starting with “99” as indicated</w:t>
      </w:r>
      <w:r w:rsidR="0039427C">
        <w:t xml:space="preserve"> by </w:t>
      </w:r>
      <w:r w:rsidR="00D976BB">
        <w:fldChar w:fldCharType="begin"/>
      </w:r>
      <w:r w:rsidR="00D976BB">
        <w:instrText xml:space="preserve"> REF _Ref526773555 \r \h  \* MERGEFORMAT </w:instrText>
      </w:r>
      <w:r w:rsidR="00D976BB">
        <w:fldChar w:fldCharType="separate"/>
      </w:r>
      <w:r w:rsidR="00EA0922">
        <w:t>POLICY 6</w:t>
      </w:r>
      <w:r w:rsidR="00D976BB">
        <w:fldChar w:fldCharType="end"/>
      </w:r>
      <w:r w:rsidR="0039427C">
        <w:t xml:space="preserve"> MAY be used.</w:t>
      </w:r>
    </w:p>
    <w:p w14:paraId="65419A84" w14:textId="77777777" w:rsidR="0039427C" w:rsidRDefault="0039427C" w:rsidP="0039427C">
      <w:r>
        <w:t xml:space="preserve">Applies to: all business documents used in a </w:t>
      </w:r>
      <w:r w:rsidR="00115A30">
        <w:t>Peppol</w:t>
      </w:r>
      <w:r>
        <w:t xml:space="preserve"> BIS with CII syntax mapping</w:t>
      </w:r>
    </w:p>
    <w:p w14:paraId="20D1B4FD" w14:textId="77777777" w:rsidR="0039427C" w:rsidRPr="003F6527" w:rsidRDefault="0039427C" w:rsidP="009B4F8A">
      <w:pPr>
        <w:pStyle w:val="ExampleHeader"/>
      </w:pPr>
      <w:r w:rsidRPr="003F6527">
        <w:t>Example:</w:t>
      </w:r>
    </w:p>
    <w:p w14:paraId="28190B21" w14:textId="77777777" w:rsidR="008D2559" w:rsidRDefault="00036305">
      <w:pPr>
        <w:pStyle w:val="Code"/>
        <w:shd w:val="clear" w:color="auto" w:fill="FFFFFF"/>
        <w:ind w:left="567"/>
        <w:rPr>
          <w:highlight w:val="white"/>
        </w:rPr>
      </w:pPr>
      <w:r w:rsidRPr="00036305">
        <w:rPr>
          <w:highlight w:val="white"/>
        </w:rPr>
        <w:t>&lt;ram:BuyerTradeParty&gt;</w:t>
      </w:r>
    </w:p>
    <w:p w14:paraId="63CCB3D3" w14:textId="77777777"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14:paraId="3F1B8064" w14:textId="77777777"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14:paraId="1D1954E5" w14:textId="77777777" w:rsidR="008D2559" w:rsidRDefault="00036305">
      <w:pPr>
        <w:pStyle w:val="Code"/>
        <w:shd w:val="clear" w:color="auto" w:fill="FFFFFF"/>
        <w:ind w:left="567"/>
        <w:rPr>
          <w:highlight w:val="white"/>
        </w:rPr>
      </w:pPr>
      <w:r w:rsidRPr="00036305">
        <w:rPr>
          <w:highlight w:val="white"/>
        </w:rPr>
        <w:t xml:space="preserve">  &lt;/ram:URIUniversalCommunication&gt;</w:t>
      </w:r>
    </w:p>
    <w:p w14:paraId="6FDAA37D" w14:textId="77777777" w:rsidR="00036305" w:rsidRPr="00036305" w:rsidRDefault="00036305" w:rsidP="00036305">
      <w:pPr>
        <w:pStyle w:val="Code"/>
        <w:shd w:val="clear" w:color="auto" w:fill="FFFFFF"/>
        <w:ind w:left="567"/>
        <w:rPr>
          <w:highlight w:val="white"/>
        </w:rPr>
      </w:pPr>
      <w:r w:rsidRPr="00036305">
        <w:rPr>
          <w:highlight w:val="white"/>
        </w:rPr>
        <w:t>&lt;/ram:BuyerTradeParty&gt;</w:t>
      </w:r>
    </w:p>
    <w:p w14:paraId="31BEEB7F" w14:textId="77777777" w:rsidR="00586A83" w:rsidRDefault="00586A83" w:rsidP="00586A83">
      <w:pPr>
        <w:pStyle w:val="PolicyHeader"/>
      </w:pPr>
      <w:bookmarkStart w:id="62" w:name="_Toc54986003"/>
      <w:r>
        <w:t>XML attributes for Participant Identifiers in the Envelope</w:t>
      </w:r>
      <w:r w:rsidR="005B2CF7">
        <w:t xml:space="preserve"> (SBDH)</w:t>
      </w:r>
      <w:bookmarkEnd w:id="62"/>
    </w:p>
    <w:p w14:paraId="045D2EFF" w14:textId="7AF3283D"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554D27">
        <w:fldChar w:fldCharType="begin"/>
      </w:r>
      <w:r>
        <w:instrText xml:space="preserve"> REF _Ref282443957 \r \h </w:instrText>
      </w:r>
      <w:r w:rsidR="00554D27">
        <w:fldChar w:fldCharType="separate"/>
      </w:r>
      <w:r w:rsidR="00EA0922">
        <w:t>POLICY 5</w:t>
      </w:r>
      <w:r w:rsidR="00554D27">
        <w:fldChar w:fldCharType="end"/>
      </w:r>
      <w:r>
        <w:t xml:space="preserve">) </w:t>
      </w:r>
      <w:r w:rsidRPr="00AD7BA9">
        <w:t>in all instances of the “</w:t>
      </w:r>
      <w:r>
        <w:t>Identifier</w:t>
      </w:r>
      <w:r w:rsidRPr="00AD7BA9">
        <w:t>” element.</w:t>
      </w:r>
    </w:p>
    <w:p w14:paraId="05E0A789" w14:textId="77777777" w:rsidR="007F6150" w:rsidRDefault="007F6150" w:rsidP="007F6150">
      <w:r>
        <w:t>Applies to:</w:t>
      </w:r>
      <w:r w:rsidR="002B3350">
        <w:t xml:space="preserve"> </w:t>
      </w:r>
      <w:r w:rsidR="0009321F">
        <w:t>all instances of t</w:t>
      </w:r>
      <w:r w:rsidR="002B3350">
        <w:t xml:space="preserve">he </w:t>
      </w:r>
      <w:r w:rsidR="00115A30">
        <w:t>Peppol</w:t>
      </w:r>
      <w:r>
        <w:t xml:space="preserve"> Business </w:t>
      </w:r>
      <w:r w:rsidR="005B2CF7">
        <w:t xml:space="preserve">Message </w:t>
      </w:r>
      <w:r>
        <w:t>Envelope</w:t>
      </w:r>
      <w:r w:rsidR="005B2CF7">
        <w:t xml:space="preserve"> (SBDH)</w:t>
      </w:r>
    </w:p>
    <w:p w14:paraId="1687DD68" w14:textId="77777777" w:rsidR="007F6150" w:rsidRDefault="007F6150" w:rsidP="009B4F8A">
      <w:pPr>
        <w:pStyle w:val="ExampleHeader"/>
      </w:pPr>
      <w:r w:rsidRPr="003F6527">
        <w:t>Example</w:t>
      </w:r>
      <w:r w:rsidR="002B3350">
        <w:t xml:space="preserve"> 1</w:t>
      </w:r>
      <w:r w:rsidRPr="003F6527">
        <w:t>:</w:t>
      </w:r>
    </w:p>
    <w:p w14:paraId="75459FD1" w14:textId="77777777"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14:paraId="0B11083E" w14:textId="77777777" w:rsidR="008D2559" w:rsidRDefault="00036305">
      <w:pPr>
        <w:pStyle w:val="Code"/>
        <w:shd w:val="clear" w:color="auto" w:fill="FFFFFF"/>
        <w:ind w:left="567"/>
      </w:pPr>
      <w:r w:rsidRPr="00036305">
        <w:t>&lt;Sender&gt;</w:t>
      </w:r>
    </w:p>
    <w:p w14:paraId="2775FAFB" w14:textId="77777777" w:rsidR="008D2559" w:rsidRDefault="00036305">
      <w:pPr>
        <w:pStyle w:val="Code"/>
        <w:shd w:val="clear" w:color="auto" w:fill="FFFFFF"/>
        <w:ind w:left="567"/>
      </w:pPr>
      <w:r w:rsidRPr="00036305">
        <w:t xml:space="preserve">  &lt;Identifier Authority="iso6523-actorid-upis"&gt;0088:7300010000001&lt;/Identifier&gt;</w:t>
      </w:r>
    </w:p>
    <w:p w14:paraId="742A3B75" w14:textId="77777777" w:rsidR="008D2559" w:rsidRDefault="00036305">
      <w:pPr>
        <w:pStyle w:val="Code"/>
        <w:shd w:val="clear" w:color="auto" w:fill="FFFFFF"/>
        <w:ind w:left="567"/>
      </w:pPr>
      <w:r w:rsidRPr="00036305">
        <w:t>&lt;/Sender&gt;</w:t>
      </w:r>
    </w:p>
    <w:p w14:paraId="1337F443" w14:textId="77777777" w:rsidR="00086FDA" w:rsidRDefault="00086FDA" w:rsidP="009B4F8A">
      <w:pPr>
        <w:pStyle w:val="ExampleHeader"/>
      </w:pPr>
      <w:r w:rsidRPr="003F6527">
        <w:t>Example</w:t>
      </w:r>
      <w:r>
        <w:t xml:space="preserve"> 2</w:t>
      </w:r>
      <w:r w:rsidRPr="003F6527">
        <w:t>:</w:t>
      </w:r>
    </w:p>
    <w:p w14:paraId="64A27273" w14:textId="77777777"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14:paraId="470D83E3" w14:textId="77777777" w:rsidR="008D2559" w:rsidRDefault="00036305">
      <w:pPr>
        <w:pStyle w:val="Code"/>
        <w:shd w:val="clear" w:color="auto" w:fill="FFFFFF"/>
        <w:ind w:left="567"/>
      </w:pPr>
      <w:r w:rsidRPr="00036305">
        <w:t>&lt;Receiver&gt;</w:t>
      </w:r>
    </w:p>
    <w:p w14:paraId="6C897AB2" w14:textId="77777777"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14:paraId="7134F9B2" w14:textId="77777777" w:rsidR="00036305" w:rsidRDefault="00036305" w:rsidP="00036305">
      <w:pPr>
        <w:pStyle w:val="Code"/>
        <w:shd w:val="clear" w:color="auto" w:fill="FFFFFF"/>
        <w:ind w:left="567"/>
      </w:pPr>
      <w:r w:rsidRPr="00036305">
        <w:t>&lt;/Receiver&gt;</w:t>
      </w:r>
    </w:p>
    <w:p w14:paraId="185C0565" w14:textId="77777777" w:rsidR="002B7FCC" w:rsidRDefault="002B7FCC" w:rsidP="002B7FCC">
      <w:pPr>
        <w:pStyle w:val="berschrift1"/>
      </w:pPr>
      <w:bookmarkStart w:id="63" w:name="_Toc54986004"/>
      <w:r w:rsidRPr="00E15FB4">
        <w:lastRenderedPageBreak/>
        <w:t xml:space="preserve">Policy for </w:t>
      </w:r>
      <w:r w:rsidR="00115A30">
        <w:t>Peppol</w:t>
      </w:r>
      <w:r w:rsidRPr="00E15FB4">
        <w:t xml:space="preserve"> </w:t>
      </w:r>
      <w:r>
        <w:t>Party</w:t>
      </w:r>
      <w:r w:rsidRPr="00E15FB4">
        <w:t xml:space="preserve"> Identification</w:t>
      </w:r>
      <w:bookmarkEnd w:id="63"/>
    </w:p>
    <w:p w14:paraId="1D47C48B" w14:textId="77777777" w:rsidR="00244367" w:rsidRDefault="002B7FCC" w:rsidP="002B7FCC">
      <w:pPr>
        <w:rPr>
          <w:lang w:eastAsia="it-IT"/>
        </w:rPr>
      </w:pPr>
      <w:r>
        <w:rPr>
          <w:lang w:eastAsia="it-IT"/>
        </w:rPr>
        <w:t>Party identification relates to business entities and is only used in business documents.</w:t>
      </w:r>
    </w:p>
    <w:p w14:paraId="654BBB98" w14:textId="77777777" w:rsidR="001B7239" w:rsidRPr="00E15FB4" w:rsidRDefault="001B7239" w:rsidP="001B7239">
      <w:pPr>
        <w:pStyle w:val="berschrift2"/>
      </w:pPr>
      <w:bookmarkStart w:id="64" w:name="_Toc54986005"/>
      <w:r w:rsidRPr="00E15FB4">
        <w:t>Format</w:t>
      </w:r>
      <w:bookmarkEnd w:id="64"/>
    </w:p>
    <w:p w14:paraId="2568B1C7" w14:textId="77777777" w:rsidR="001B7239" w:rsidRPr="001F4312" w:rsidRDefault="001B7239" w:rsidP="001B7239">
      <w:pPr>
        <w:pStyle w:val="PolicyHeader"/>
      </w:pPr>
      <w:bookmarkStart w:id="65" w:name="_Toc54986006"/>
      <w:r w:rsidRPr="001F4312">
        <w:t>Use of ISO15459 structure</w:t>
      </w:r>
      <w:bookmarkEnd w:id="65"/>
    </w:p>
    <w:p w14:paraId="3C78E6ED" w14:textId="77777777"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w:t>
      </w:r>
      <w:r w:rsidR="00115A30">
        <w:t>Peppol</w:t>
      </w:r>
      <w:r w:rsidRPr="006132BB">
        <w:t xml:space="preserve"> </w:t>
      </w:r>
      <w:r>
        <w:t>are</w:t>
      </w:r>
      <w:r w:rsidRPr="006132BB">
        <w:t xml:space="preserve"> comprise</w:t>
      </w:r>
      <w:r>
        <w:t>d</w:t>
      </w:r>
      <w:r w:rsidRPr="006132BB">
        <w:t xml:space="preserve"> of:</w:t>
      </w:r>
    </w:p>
    <w:p w14:paraId="053FDE74" w14:textId="77777777" w:rsidR="001B7239" w:rsidRPr="006132BB" w:rsidRDefault="001B7239" w:rsidP="001B7239">
      <w:pPr>
        <w:pStyle w:val="Policy"/>
      </w:pPr>
      <w:r w:rsidRPr="006132BB">
        <w:t xml:space="preserve">- An </w:t>
      </w:r>
      <w:r w:rsidR="00D431A5">
        <w:t xml:space="preserve">optional </w:t>
      </w:r>
      <w:r>
        <w:t>Identifier Scheme</w:t>
      </w:r>
    </w:p>
    <w:p w14:paraId="7E45BF22" w14:textId="77777777" w:rsidR="001B7239" w:rsidRPr="006132BB" w:rsidRDefault="001B7239" w:rsidP="001B7239">
      <w:pPr>
        <w:pStyle w:val="Policy"/>
      </w:pPr>
      <w:r w:rsidRPr="006132BB">
        <w:t>- The value</w:t>
      </w:r>
      <w:r>
        <w:t xml:space="preserve"> provided by this</w:t>
      </w:r>
      <w:r w:rsidRPr="006132BB">
        <w:t xml:space="preserve"> </w:t>
      </w:r>
      <w:r>
        <w:t>Identifier Scheme</w:t>
      </w:r>
    </w:p>
    <w:p w14:paraId="54C287FE" w14:textId="77777777" w:rsidR="001B7239" w:rsidRDefault="001B7239" w:rsidP="001B7239">
      <w:r>
        <w:t xml:space="preserve">Applies to: all Party identifiers in all </w:t>
      </w:r>
      <w:r w:rsidR="00115A30">
        <w:t>Peppol</w:t>
      </w:r>
      <w:r>
        <w:t xml:space="preserve"> components</w:t>
      </w:r>
    </w:p>
    <w:p w14:paraId="45E7F2DD" w14:textId="77777777" w:rsidR="001B7239" w:rsidRDefault="001B7239" w:rsidP="001B7239">
      <w:r>
        <w:t>Note: the Identifier Scheme MAY be omitted if it can be reasoned within the context</w:t>
      </w:r>
      <w:r w:rsidR="004B7358">
        <w:rPr>
          <w:rStyle w:val="Funotenzeichen"/>
        </w:rPr>
        <w:footnoteReference w:id="18"/>
      </w:r>
      <w:r>
        <w:t>.</w:t>
      </w:r>
    </w:p>
    <w:p w14:paraId="6E5CEF16" w14:textId="77777777" w:rsidR="001B7239" w:rsidRPr="003826B6" w:rsidRDefault="001B7239" w:rsidP="009B4F8A">
      <w:pPr>
        <w:pStyle w:val="ExampleHeader"/>
      </w:pPr>
      <w:r w:rsidRPr="003826B6">
        <w:t>Example:</w:t>
      </w:r>
    </w:p>
    <w:p w14:paraId="7E4D00EC" w14:textId="77777777" w:rsidR="001B7239" w:rsidRPr="001B7239" w:rsidRDefault="00002E2D" w:rsidP="001B7239">
      <w:r>
        <w:t>Identifier Scheme</w:t>
      </w:r>
      <w:r w:rsidR="001B7239" w:rsidRPr="001B7239">
        <w:t>: EAN International</w:t>
      </w:r>
    </w:p>
    <w:p w14:paraId="6B294728" w14:textId="77777777" w:rsidR="001B7239" w:rsidRPr="001B7239" w:rsidRDefault="00002E2D" w:rsidP="001B7239">
      <w:r>
        <w:t>Identifier Scheme</w:t>
      </w:r>
      <w:r w:rsidR="001B7239" w:rsidRPr="001B7239">
        <w:t xml:space="preserve"> according to ISO 6523: </w:t>
      </w:r>
      <w:r w:rsidR="001B7239" w:rsidRPr="001B7239">
        <w:rPr>
          <w:rStyle w:val="InlinecodeZchn"/>
        </w:rPr>
        <w:t>0088</w:t>
      </w:r>
    </w:p>
    <w:p w14:paraId="299BB940" w14:textId="77777777"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14:paraId="561E9F7F" w14:textId="77777777" w:rsidR="001B7239" w:rsidRPr="001F4312" w:rsidRDefault="001B7239" w:rsidP="001B7239">
      <w:pPr>
        <w:pStyle w:val="PolicyHeader"/>
      </w:pPr>
      <w:bookmarkStart w:id="66" w:name="_Toc54986007"/>
      <w:r w:rsidRPr="001F4312">
        <w:t xml:space="preserve">Coding of </w:t>
      </w:r>
      <w:r w:rsidR="000B0166">
        <w:t>Identifier Schemes</w:t>
      </w:r>
      <w:bookmarkEnd w:id="66"/>
    </w:p>
    <w:p w14:paraId="6FD99D68" w14:textId="77777777"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14:paraId="0A78898F" w14:textId="77777777" w:rsidR="001B7239" w:rsidRPr="002B7FCC" w:rsidRDefault="001B7239" w:rsidP="002B7FCC">
      <w:r>
        <w:t>Applies to: all Part</w:t>
      </w:r>
      <w:r w:rsidR="000F7B57">
        <w:t>y</w:t>
      </w:r>
      <w:r>
        <w:t xml:space="preserve"> identifiers in all </w:t>
      </w:r>
      <w:r w:rsidR="00115A30">
        <w:t>Peppol</w:t>
      </w:r>
      <w:r>
        <w:t xml:space="preserve"> components</w:t>
      </w:r>
    </w:p>
    <w:p w14:paraId="4D41E048" w14:textId="77777777" w:rsidR="0039427C" w:rsidRPr="002F4FC6" w:rsidRDefault="0039427C" w:rsidP="0039427C">
      <w:pPr>
        <w:pStyle w:val="PolicyHeader"/>
      </w:pPr>
      <w:bookmarkStart w:id="67" w:name="_Toc54986008"/>
      <w:r w:rsidRPr="002F4FC6">
        <w:t>XML attributes for Party Identifiers in UBL documents</w:t>
      </w:r>
      <w:bookmarkEnd w:id="67"/>
    </w:p>
    <w:p w14:paraId="7345FFDF" w14:textId="77777777"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5F76066B" w14:textId="2209F0DC" w:rsidR="0039427C" w:rsidRPr="002F4FC6" w:rsidRDefault="0039427C" w:rsidP="0039427C">
      <w:pPr>
        <w:pStyle w:val="Policy"/>
      </w:pPr>
      <w:r>
        <w:t xml:space="preserve">Extended values starting with “99” as indicated by </w:t>
      </w:r>
      <w:r w:rsidR="00554D27">
        <w:fldChar w:fldCharType="begin"/>
      </w:r>
      <w:r>
        <w:instrText xml:space="preserve"> REF _Ref526773555 \r \h </w:instrText>
      </w:r>
      <w:r w:rsidR="00554D27">
        <w:fldChar w:fldCharType="separate"/>
      </w:r>
      <w:r w:rsidR="00EA0922">
        <w:t>POLICY 6</w:t>
      </w:r>
      <w:r w:rsidR="00554D27">
        <w:fldChar w:fldCharType="end"/>
      </w:r>
      <w:r>
        <w:t xml:space="preserve"> MUST NOT be used.</w:t>
      </w:r>
      <w:r w:rsidRPr="002F4FC6">
        <w:t xml:space="preserve"> </w:t>
      </w:r>
    </w:p>
    <w:p w14:paraId="4DE1332D" w14:textId="77777777" w:rsidR="0039427C" w:rsidRDefault="0039427C" w:rsidP="0039427C">
      <w:r>
        <w:t xml:space="preserve">Applies to: all business documents used in a </w:t>
      </w:r>
      <w:r w:rsidR="00115A30">
        <w:t>Peppol</w:t>
      </w:r>
      <w:r>
        <w:t xml:space="preserve"> BIS with UBL syntax mapping</w:t>
      </w:r>
    </w:p>
    <w:p w14:paraId="53752C4C" w14:textId="77777777" w:rsidR="0039427C" w:rsidRDefault="0039427C" w:rsidP="0039427C">
      <w:r>
        <w:t xml:space="preserve">Note: the Party Identification is not involved in a </w:t>
      </w:r>
      <w:r w:rsidR="00115A30">
        <w:t>Peppol</w:t>
      </w:r>
      <w:r>
        <w:t xml:space="preserve"> Document Exchange – it is contained for business usage only.</w:t>
      </w:r>
    </w:p>
    <w:p w14:paraId="51314F7A" w14:textId="77777777" w:rsidR="0039427C" w:rsidRDefault="0039427C" w:rsidP="009B4F8A">
      <w:pPr>
        <w:pStyle w:val="ExampleHeader"/>
      </w:pPr>
      <w:r w:rsidRPr="003F6527">
        <w:t>Example</w:t>
      </w:r>
      <w:r>
        <w:t xml:space="preserve"> 1:</w:t>
      </w:r>
    </w:p>
    <w:p w14:paraId="6BC2DC6D" w14:textId="77777777"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14:paraId="2D8F2B06" w14:textId="77777777"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14:paraId="68724E88" w14:textId="77777777" w:rsidR="0039427C" w:rsidRDefault="0039427C" w:rsidP="009B4F8A">
      <w:pPr>
        <w:pStyle w:val="ExampleHeader"/>
      </w:pPr>
      <w:r w:rsidRPr="003F6527">
        <w:t>Example</w:t>
      </w:r>
      <w:r>
        <w:t xml:space="preserve"> 2:</w:t>
      </w:r>
    </w:p>
    <w:p w14:paraId="043BB0F2" w14:textId="77777777"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14:paraId="00FFD8DC" w14:textId="77777777"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14:paraId="722F1216" w14:textId="77777777" w:rsidR="008D2559" w:rsidRDefault="0039427C">
      <w:pPr>
        <w:pStyle w:val="PolicyHeader"/>
      </w:pPr>
      <w:bookmarkStart w:id="68" w:name="_Toc535439516"/>
      <w:bookmarkStart w:id="69" w:name="_Toc54986009"/>
      <w:bookmarkEnd w:id="68"/>
      <w:r w:rsidRPr="002F4FC6">
        <w:t xml:space="preserve">XML attributes for Party Identifiers in </w:t>
      </w:r>
      <w:r>
        <w:t>CII</w:t>
      </w:r>
      <w:r w:rsidRPr="002F4FC6">
        <w:t xml:space="preserve"> documents</w:t>
      </w:r>
      <w:bookmarkEnd w:id="69"/>
    </w:p>
    <w:p w14:paraId="12D5CF9B" w14:textId="77777777"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2F8A24D5" w14:textId="65C45F2D" w:rsidR="0039427C" w:rsidRPr="002F4FC6" w:rsidRDefault="0039427C" w:rsidP="0039427C">
      <w:pPr>
        <w:pStyle w:val="Policy"/>
      </w:pPr>
      <w:r>
        <w:t xml:space="preserve">Extended values starting with “99” as indicated by </w:t>
      </w:r>
      <w:r w:rsidR="00554D27">
        <w:fldChar w:fldCharType="begin"/>
      </w:r>
      <w:r>
        <w:instrText xml:space="preserve"> REF _Ref526773555 \r \h </w:instrText>
      </w:r>
      <w:r w:rsidR="00554D27">
        <w:fldChar w:fldCharType="separate"/>
      </w:r>
      <w:r w:rsidR="00EA0922">
        <w:t>POLICY 6</w:t>
      </w:r>
      <w:r w:rsidR="00554D27">
        <w:fldChar w:fldCharType="end"/>
      </w:r>
      <w:r>
        <w:t xml:space="preserve"> MUST NOT be used.</w:t>
      </w:r>
      <w:r w:rsidRPr="002F4FC6">
        <w:t xml:space="preserve"> </w:t>
      </w:r>
    </w:p>
    <w:p w14:paraId="61B3C9B5" w14:textId="77777777" w:rsidR="0039427C" w:rsidRDefault="0039427C" w:rsidP="0039427C">
      <w:r>
        <w:t xml:space="preserve">Applies to: all business documents used in a </w:t>
      </w:r>
      <w:r w:rsidR="00115A30">
        <w:t>Peppol</w:t>
      </w:r>
      <w:r>
        <w:t xml:space="preserve"> BIS with CII syntax mapping</w:t>
      </w:r>
    </w:p>
    <w:p w14:paraId="494E05C9" w14:textId="77777777" w:rsidR="0039427C" w:rsidRDefault="0039427C" w:rsidP="0039427C">
      <w:r>
        <w:t xml:space="preserve">Note: the Party Identification is not involved in a </w:t>
      </w:r>
      <w:r w:rsidR="00115A30">
        <w:t>Peppol</w:t>
      </w:r>
      <w:r>
        <w:t xml:space="preserve"> Document Exchange – it is contained for business usage only.</w:t>
      </w:r>
    </w:p>
    <w:p w14:paraId="5140D279" w14:textId="77777777" w:rsidR="0039427C" w:rsidRDefault="0039427C" w:rsidP="009B4F8A">
      <w:pPr>
        <w:pStyle w:val="ExampleHeader"/>
      </w:pPr>
      <w:r w:rsidRPr="003F6527">
        <w:t>Example</w:t>
      </w:r>
      <w:r>
        <w:t xml:space="preserve"> 1:</w:t>
      </w:r>
    </w:p>
    <w:p w14:paraId="3ED75FB9" w14:textId="77777777"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14:paraId="67800808" w14:textId="77777777" w:rsidR="008D2559" w:rsidRDefault="00036305">
      <w:pPr>
        <w:pStyle w:val="Code"/>
        <w:shd w:val="clear" w:color="auto" w:fill="FFFFFF"/>
        <w:ind w:left="567"/>
        <w:rPr>
          <w:highlight w:val="white"/>
        </w:rPr>
      </w:pPr>
      <w:r w:rsidRPr="00036305">
        <w:rPr>
          <w:highlight w:val="white"/>
        </w:rPr>
        <w:t>&lt;ram:BuyerTradeParty&gt;</w:t>
      </w:r>
    </w:p>
    <w:p w14:paraId="35C11437" w14:textId="77777777" w:rsidR="008D2559" w:rsidRDefault="00036305">
      <w:pPr>
        <w:pStyle w:val="Code"/>
        <w:shd w:val="clear" w:color="auto" w:fill="FFFFFF"/>
        <w:ind w:left="567"/>
        <w:rPr>
          <w:highlight w:val="white"/>
        </w:rPr>
      </w:pPr>
      <w:r w:rsidRPr="00036305">
        <w:rPr>
          <w:highlight w:val="white"/>
        </w:rPr>
        <w:t xml:space="preserve">  &lt;ram:ID schemeID="0088"&gt;7300010000001&lt;/ram:ID&gt;</w:t>
      </w:r>
    </w:p>
    <w:p w14:paraId="4B315EBE" w14:textId="77777777" w:rsidR="008D2559" w:rsidRDefault="00036305">
      <w:pPr>
        <w:pStyle w:val="Code"/>
        <w:shd w:val="clear" w:color="auto" w:fill="FFFFFF"/>
        <w:ind w:left="567"/>
        <w:rPr>
          <w:highlight w:val="white"/>
          <w:lang w:val="en-US"/>
        </w:rPr>
      </w:pPr>
      <w:r w:rsidRPr="00036305">
        <w:rPr>
          <w:highlight w:val="white"/>
        </w:rPr>
        <w:t>&lt;/ram:BuyerTradeParty&gt;</w:t>
      </w:r>
    </w:p>
    <w:p w14:paraId="400C73EB" w14:textId="77777777" w:rsidR="0039427C" w:rsidRDefault="0039427C" w:rsidP="00A27C15">
      <w:pPr>
        <w:pStyle w:val="ExampleHeader"/>
      </w:pPr>
      <w:r w:rsidRPr="003F6527">
        <w:t>Example</w:t>
      </w:r>
      <w:r>
        <w:t xml:space="preserve"> 2:</w:t>
      </w:r>
    </w:p>
    <w:p w14:paraId="38C7D07E" w14:textId="77777777"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14:paraId="64964E9C" w14:textId="77777777" w:rsidR="008D2559" w:rsidRDefault="00036305">
      <w:pPr>
        <w:pStyle w:val="Code"/>
        <w:shd w:val="clear" w:color="auto" w:fill="FFFFFF"/>
        <w:ind w:left="567"/>
        <w:rPr>
          <w:highlight w:val="white"/>
        </w:rPr>
      </w:pPr>
      <w:r w:rsidRPr="00036305">
        <w:rPr>
          <w:highlight w:val="white"/>
        </w:rPr>
        <w:t>&lt;ram:BuyerTradeParty&gt;</w:t>
      </w:r>
    </w:p>
    <w:p w14:paraId="75529288" w14:textId="77777777"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14:paraId="7BCC5FC4" w14:textId="77777777" w:rsidR="008D2559" w:rsidRDefault="00036305">
      <w:pPr>
        <w:pStyle w:val="Code"/>
        <w:shd w:val="clear" w:color="auto" w:fill="FFFFFF"/>
        <w:ind w:left="567"/>
        <w:rPr>
          <w:highlight w:val="white"/>
        </w:rPr>
      </w:pPr>
      <w:r w:rsidRPr="00036305">
        <w:rPr>
          <w:highlight w:val="white"/>
        </w:rPr>
        <w:t>&lt;/ram:BuyerTradeParty&gt;</w:t>
      </w:r>
    </w:p>
    <w:p w14:paraId="6A82E5DA" w14:textId="77777777" w:rsidR="00992AEB" w:rsidRPr="00E15FB4" w:rsidRDefault="00235DA3" w:rsidP="00E15FB4">
      <w:pPr>
        <w:pStyle w:val="berschrift1"/>
      </w:pPr>
      <w:bookmarkStart w:id="70" w:name="_Toc535439518"/>
      <w:bookmarkStart w:id="71" w:name="_Toc535439519"/>
      <w:bookmarkStart w:id="72" w:name="_Toc535439520"/>
      <w:bookmarkStart w:id="73" w:name="_Toc535439521"/>
      <w:bookmarkStart w:id="74" w:name="_Toc535439522"/>
      <w:bookmarkStart w:id="75" w:name="_Toc535439523"/>
      <w:bookmarkStart w:id="76" w:name="_Toc535439524"/>
      <w:bookmarkStart w:id="77" w:name="_Toc535439525"/>
      <w:bookmarkStart w:id="78" w:name="_Toc535439526"/>
      <w:bookmarkStart w:id="79" w:name="_Toc535439527"/>
      <w:bookmarkStart w:id="80" w:name="_Toc535439528"/>
      <w:bookmarkStart w:id="81" w:name="_Toc316247567"/>
      <w:bookmarkStart w:id="82" w:name="_Toc54986010"/>
      <w:bookmarkEnd w:id="70"/>
      <w:bookmarkEnd w:id="71"/>
      <w:bookmarkEnd w:id="72"/>
      <w:bookmarkEnd w:id="73"/>
      <w:bookmarkEnd w:id="74"/>
      <w:bookmarkEnd w:id="75"/>
      <w:bookmarkEnd w:id="76"/>
      <w:bookmarkEnd w:id="77"/>
      <w:bookmarkEnd w:id="78"/>
      <w:bookmarkEnd w:id="79"/>
      <w:bookmarkEnd w:id="80"/>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 xml:space="preserve">supported by </w:t>
      </w:r>
      <w:r w:rsidR="00115A30">
        <w:t>Peppol</w:t>
      </w:r>
      <w:bookmarkEnd w:id="81"/>
      <w:bookmarkEnd w:id="82"/>
    </w:p>
    <w:p w14:paraId="3AB8BB94" w14:textId="1FCE272D" w:rsidR="00FD0153" w:rsidRDefault="006D1F48" w:rsidP="00FD0153">
      <w:r>
        <w:t>Document types</w:t>
      </w:r>
      <w:r w:rsidRPr="001F4312">
        <w:t xml:space="preserve"> </w:t>
      </w:r>
      <w:r w:rsidR="00FD0153" w:rsidRPr="001F4312">
        <w:t xml:space="preserve">used in </w:t>
      </w:r>
      <w:r w:rsidR="00115A30">
        <w:t>Peppol</w:t>
      </w:r>
      <w:r w:rsidR="00FD0153" w:rsidRPr="001F4312">
        <w:t xml:space="preserve"> are identified using the concepts defined in the </w:t>
      </w:r>
      <w:r w:rsidR="00115A30">
        <w:t>Peppol</w:t>
      </w:r>
      <w:r w:rsidR="00FD0153" w:rsidRPr="001F4312">
        <w:t xml:space="preserve"> Identifier Schemes Version 1.0.0</w:t>
      </w:r>
      <w:r w:rsidR="00F03CDF">
        <w:t xml:space="preserve"> (see </w:t>
      </w:r>
      <w:r w:rsidR="00F03CDF" w:rsidRPr="005576B6">
        <w:rPr>
          <w:iCs/>
        </w:rPr>
        <w:t>[</w:t>
      </w:r>
      <w:r w:rsidR="00115A30">
        <w:rPr>
          <w:iCs/>
        </w:rPr>
        <w:t>Peppol</w:t>
      </w:r>
      <w:r w:rsidR="00F03CDF" w:rsidRPr="005576B6">
        <w:rPr>
          <w:iCs/>
        </w:rPr>
        <w:t>_Transp]</w:t>
      </w:r>
      <w:r w:rsidR="00F03CDF">
        <w:rPr>
          <w:iCs/>
        </w:rPr>
        <w:t>)</w:t>
      </w:r>
      <w:r>
        <w:t xml:space="preserve">. As outlined in </w:t>
      </w:r>
      <w:r w:rsidR="00554D27">
        <w:fldChar w:fldCharType="begin"/>
      </w:r>
      <w:r w:rsidR="009C67BE">
        <w:instrText xml:space="preserve"> REF _Ref317443546 \r \h </w:instrText>
      </w:r>
      <w:r w:rsidR="00554D27">
        <w:fldChar w:fldCharType="separate"/>
      </w:r>
      <w:r w:rsidR="00EA0922">
        <w:t>POLICY 2</w:t>
      </w:r>
      <w:r w:rsidR="00554D27">
        <w:fldChar w:fldCharType="end"/>
      </w:r>
      <w:r>
        <w:t xml:space="preserve"> document </w:t>
      </w:r>
      <w:r w:rsidR="00235DA3">
        <w:t xml:space="preserve">type </w:t>
      </w:r>
      <w:r>
        <w:t>identifier</w:t>
      </w:r>
      <w:r w:rsidR="001870DB">
        <w:t xml:space="preserve"> value</w:t>
      </w:r>
      <w:r>
        <w:t>s have to be treated case sensitive.</w:t>
      </w:r>
    </w:p>
    <w:p w14:paraId="5C00FF5F" w14:textId="77777777" w:rsidR="004C78B3" w:rsidRDefault="006F4251">
      <w:pPr>
        <w:pStyle w:val="berschrift2"/>
      </w:pPr>
      <w:bookmarkStart w:id="83" w:name="_Toc54986011"/>
      <w:r>
        <w:t>Document Type Identifier Schemes</w:t>
      </w:r>
      <w:bookmarkEnd w:id="83"/>
    </w:p>
    <w:p w14:paraId="2D51BADA" w14:textId="77777777" w:rsidR="00BC2C94" w:rsidRDefault="00916F1F" w:rsidP="00FD0153">
      <w:r>
        <w:t>Since v4.2.0 of this document, two different Document Type Identifier Schemes are supported that fit different purposes</w:t>
      </w:r>
      <w:r w:rsidR="00BC2C94">
        <w:t>:</w:t>
      </w:r>
    </w:p>
    <w:p w14:paraId="337A00C8" w14:textId="10B0391F" w:rsidR="00BC2C94" w:rsidRDefault="00A87F2B" w:rsidP="00BC2C94">
      <w:pPr>
        <w:pStyle w:val="Listenabsatz"/>
        <w:numPr>
          <w:ilvl w:val="0"/>
          <w:numId w:val="24"/>
        </w:numPr>
      </w:pPr>
      <w:r>
        <w:t>t</w:t>
      </w:r>
      <w:r w:rsidR="00916F1F">
        <w:t>he Document Type Identifier Scheme “busdox-docid-qns”</w:t>
      </w:r>
      <w:r w:rsidR="00BC2C94">
        <w:t>;</w:t>
      </w:r>
      <w:r w:rsidR="00916F1F">
        <w:t xml:space="preserve"> and</w:t>
      </w:r>
    </w:p>
    <w:p w14:paraId="6A7CCC59" w14:textId="1A8746DC" w:rsidR="00DB58DA" w:rsidRDefault="00916F1F">
      <w:pPr>
        <w:pStyle w:val="Listenabsatz"/>
        <w:numPr>
          <w:ilvl w:val="0"/>
          <w:numId w:val="24"/>
        </w:numPr>
      </w:pPr>
      <w:r>
        <w:t>the “peppol-doctype-wildcard”</w:t>
      </w:r>
      <w:r w:rsidR="00B87129">
        <w:t xml:space="preserve"> (see</w:t>
      </w:r>
      <w:r w:rsidR="00762FFA">
        <w:t xml:space="preserve"> </w:t>
      </w:r>
      <w:r w:rsidR="00554D27">
        <w:fldChar w:fldCharType="begin"/>
      </w:r>
      <w:r w:rsidR="00762FFA">
        <w:instrText xml:space="preserve"> REF _Ref52225115 \r \h </w:instrText>
      </w:r>
      <w:r w:rsidR="00554D27">
        <w:fldChar w:fldCharType="separate"/>
      </w:r>
      <w:r w:rsidR="00EA0922">
        <w:t>POLICY 16</w:t>
      </w:r>
      <w:r w:rsidR="00554D27">
        <w:fldChar w:fldCharType="end"/>
      </w:r>
      <w:r w:rsidR="00B87129">
        <w:t>)</w:t>
      </w:r>
      <w:r>
        <w:t>.</w:t>
      </w:r>
      <w:r w:rsidR="00973825">
        <w:t xml:space="preserve"> </w:t>
      </w:r>
    </w:p>
    <w:p w14:paraId="50B86E6A" w14:textId="77777777" w:rsidR="004C78B3" w:rsidRDefault="00762FFA">
      <w:pPr>
        <w:pStyle w:val="berschrift3"/>
      </w:pPr>
      <w:bookmarkStart w:id="84" w:name="_Toc54986012"/>
      <w:r>
        <w:t>busdox-docid-qns</w:t>
      </w:r>
      <w:bookmarkEnd w:id="84"/>
    </w:p>
    <w:p w14:paraId="4E70AA8E" w14:textId="2FDF2562" w:rsidR="00762FFA" w:rsidRDefault="00762FFA" w:rsidP="00762FFA">
      <w:r>
        <w:t xml:space="preserve">This Document Type Identifier Scheme “busdox-docid-qns” is the original Scheme that was always available in Peppol. It defines the layout for Document Type Identifier Values </w:t>
      </w:r>
      <w:r w:rsidR="00C46AC7">
        <w:t xml:space="preserve">(see </w:t>
      </w:r>
      <w:r w:rsidR="00554D27">
        <w:fldChar w:fldCharType="begin"/>
      </w:r>
      <w:r w:rsidR="00C46AC7">
        <w:instrText xml:space="preserve"> REF _Ref52221709 \r \h </w:instrText>
      </w:r>
      <w:r w:rsidR="00554D27">
        <w:fldChar w:fldCharType="separate"/>
      </w:r>
      <w:r w:rsidR="00EA0922">
        <w:t>POLICY 20</w:t>
      </w:r>
      <w:r w:rsidR="00554D27">
        <w:fldChar w:fldCharType="end"/>
      </w:r>
      <w:r w:rsidR="00C46AC7">
        <w:t>) as well as the matching rules</w:t>
      </w:r>
      <w:r>
        <w:t xml:space="preserve">. The matching of identifiers from the SMP is exact matching only, so only Document Types Identifiers that have the same Scheme </w:t>
      </w:r>
      <w:r w:rsidR="00616F70" w:rsidRPr="00DF37B5">
        <w:t>and</w:t>
      </w:r>
      <w:r>
        <w:t xml:space="preserve"> the same Value are considered </w:t>
      </w:r>
      <w:r w:rsidRPr="00DF37B5">
        <w:rPr>
          <w:u w:val="single"/>
        </w:rPr>
        <w:t>equal</w:t>
      </w:r>
      <w:r>
        <w:t>.</w:t>
      </w:r>
    </w:p>
    <w:p w14:paraId="534BDF74" w14:textId="77777777" w:rsidR="00793AE4" w:rsidRDefault="00793AE4" w:rsidP="00762FFA">
      <w:r>
        <w:t xml:space="preserve">Using this Scheme, Document Type Identifier Values MUST be identical for the sending AP (C2), the receiving AP (C3) and the SMP of the receiving AP in all </w:t>
      </w:r>
      <w:r w:rsidR="000C6231">
        <w:t>occurrences</w:t>
      </w:r>
      <w:r w:rsidR="00A3781C">
        <w:t>.</w:t>
      </w:r>
    </w:p>
    <w:p w14:paraId="20C84520" w14:textId="77777777" w:rsidR="004C78B3" w:rsidRDefault="00762FFA">
      <w:pPr>
        <w:pStyle w:val="berschrift3"/>
      </w:pPr>
      <w:bookmarkStart w:id="85" w:name="_Ref52228921"/>
      <w:bookmarkStart w:id="86" w:name="_Ref52229043"/>
      <w:bookmarkStart w:id="87" w:name="_Toc54986013"/>
      <w:r>
        <w:t>peppol-doctype-wildcard</w:t>
      </w:r>
      <w:bookmarkEnd w:id="85"/>
      <w:bookmarkEnd w:id="86"/>
      <w:bookmarkEnd w:id="87"/>
    </w:p>
    <w:p w14:paraId="3E10AA40" w14:textId="0FA3B116" w:rsidR="00762FFA" w:rsidRDefault="00BC2C94" w:rsidP="00762FFA">
      <w:r>
        <w:t xml:space="preserve">The Document Type Identifier Scheme </w:t>
      </w:r>
      <w:r w:rsidR="00762FFA">
        <w:t>“peppol-doctype-wildcard” was</w:t>
      </w:r>
      <w:r>
        <w:t xml:space="preserve"> introduced to support</w:t>
      </w:r>
      <w:r w:rsidR="00762FFA">
        <w:t xml:space="preserve"> the Peppol International Invoicing project (PINT)</w:t>
      </w:r>
      <w:r>
        <w:t>,</w:t>
      </w:r>
      <w:r w:rsidR="00E60AEB">
        <w:t xml:space="preserve"> </w:t>
      </w:r>
      <w:r>
        <w:t xml:space="preserve">which enables </w:t>
      </w:r>
      <w:r w:rsidR="00762FFA">
        <w:t xml:space="preserve">receivers to register multiple </w:t>
      </w:r>
      <w:r>
        <w:t>‘</w:t>
      </w:r>
      <w:r w:rsidR="00762FFA">
        <w:t>similar</w:t>
      </w:r>
      <w:r>
        <w:t>’</w:t>
      </w:r>
      <w:r w:rsidR="00762FFA">
        <w:t xml:space="preserve"> receiving capabilities in an SMP</w:t>
      </w:r>
      <w:r w:rsidR="00E91709">
        <w:t>, without having the need to register multiple similar SMP endpoints</w:t>
      </w:r>
      <w:r w:rsidR="00762FFA">
        <w:t xml:space="preserve">. The goal of the new Document Type Identifier Scheme is to fulfil the PINT requirements but </w:t>
      </w:r>
      <w:r w:rsidR="002E221A">
        <w:t>is</w:t>
      </w:r>
      <w:r>
        <w:t xml:space="preserve"> </w:t>
      </w:r>
      <w:r w:rsidR="00762FFA">
        <w:t xml:space="preserve">also applicable for similar </w:t>
      </w:r>
      <w:r w:rsidR="002E221A">
        <w:t xml:space="preserve">future </w:t>
      </w:r>
      <w:r w:rsidR="00762FFA">
        <w:t>requirements.</w:t>
      </w:r>
    </w:p>
    <w:p w14:paraId="206039FC" w14:textId="77777777" w:rsidR="00E91709" w:rsidRDefault="00E91709" w:rsidP="00762FFA">
      <w:r>
        <w:t xml:space="preserve">With this Document Type Identifier Scheme, business document receivers can register for all Document Types that match the root Document Type or are </w:t>
      </w:r>
      <w:r w:rsidR="00616F70" w:rsidRPr="00616F70">
        <w:rPr>
          <w:u w:val="single"/>
        </w:rPr>
        <w:t>narrower</w:t>
      </w:r>
      <w:r w:rsidR="00E02A23">
        <w:t xml:space="preserve"> in a single SMP endpoint</w:t>
      </w:r>
      <w:r>
        <w:t>.</w:t>
      </w:r>
      <w:r w:rsidR="00B77D39">
        <w:t xml:space="preserve"> Narrower means that </w:t>
      </w:r>
      <w:r w:rsidR="00616F70" w:rsidRPr="00616F70">
        <w:t>some or all features of the Parent Document Type are used and all rules of the Parent Document Type are respected.</w:t>
      </w:r>
    </w:p>
    <w:p w14:paraId="269D3F22" w14:textId="767E7AD0" w:rsidR="000E0DE6" w:rsidRDefault="00035D9B" w:rsidP="00762FFA">
      <w:r>
        <w:t>Under this scheme, t</w:t>
      </w:r>
      <w:r w:rsidR="00C46AC7">
        <w:t>he layout of Document Type Identifier Values</w:t>
      </w:r>
      <w:r w:rsidR="00793AE4">
        <w:t xml:space="preserve"> </w:t>
      </w:r>
      <w:r>
        <w:t xml:space="preserve">will also </w:t>
      </w:r>
      <w:r w:rsidR="00793AE4">
        <w:t xml:space="preserve">follow </w:t>
      </w:r>
      <w:r w:rsidR="00554D27">
        <w:fldChar w:fldCharType="begin"/>
      </w:r>
      <w:r w:rsidR="00793AE4">
        <w:instrText xml:space="preserve"> REF _Ref52221709 \r \h </w:instrText>
      </w:r>
      <w:r w:rsidR="00554D27">
        <w:fldChar w:fldCharType="separate"/>
      </w:r>
      <w:r w:rsidR="00EA0922">
        <w:t>POLICY 20</w:t>
      </w:r>
      <w:r w:rsidR="00554D27">
        <w:fldChar w:fldCharType="end"/>
      </w:r>
      <w:r w:rsidR="00793AE4">
        <w:t xml:space="preserve"> </w:t>
      </w:r>
      <w:r w:rsidR="00554D27" w:rsidRPr="00DF37B5">
        <w:rPr>
          <w:bCs/>
        </w:rPr>
        <w:t>except for</w:t>
      </w:r>
      <w:r>
        <w:t xml:space="preserve"> </w:t>
      </w:r>
      <w:r w:rsidR="00E60AEB">
        <w:t>Customization ID</w:t>
      </w:r>
      <w:r w:rsidR="00793AE4">
        <w:t>.</w:t>
      </w:r>
    </w:p>
    <w:p w14:paraId="6353DF92" w14:textId="16C4BA82" w:rsidR="002E221A" w:rsidRDefault="002E221A" w:rsidP="00762FFA">
      <w:r w:rsidRPr="000A3CC2">
        <w:t xml:space="preserve">The </w:t>
      </w:r>
      <w:r>
        <w:t xml:space="preserve">following rules for the </w:t>
      </w:r>
      <w:r w:rsidRPr="000A3CC2">
        <w:t>“</w:t>
      </w:r>
      <w:r>
        <w:t>Customization ID</w:t>
      </w:r>
      <w:r w:rsidRPr="000A3CC2">
        <w:t xml:space="preserve">” </w:t>
      </w:r>
      <w:r>
        <w:t>apply:</w:t>
      </w:r>
    </w:p>
    <w:p w14:paraId="3BA0154F" w14:textId="785DB3F9" w:rsidR="002E221A" w:rsidRDefault="002E221A" w:rsidP="002E221A">
      <w:pPr>
        <w:pStyle w:val="Listenabsatz"/>
        <w:numPr>
          <w:ilvl w:val="0"/>
          <w:numId w:val="27"/>
        </w:numPr>
      </w:pPr>
      <w:r>
        <w:t xml:space="preserve">[BR-PDC-01] </w:t>
      </w:r>
      <w:r w:rsidR="000A3CC2">
        <w:t>T</w:t>
      </w:r>
      <w:r w:rsidR="000A3CC2" w:rsidRPr="000A3CC2">
        <w:t>he Customization ID MUST contain one or more “</w:t>
      </w:r>
      <w:r w:rsidR="00616F70" w:rsidRPr="002E221A">
        <w:rPr>
          <w:u w:val="single"/>
        </w:rPr>
        <w:t>Scheme Parts</w:t>
      </w:r>
      <w:r w:rsidR="000A3CC2" w:rsidRPr="000A3CC2">
        <w:t xml:space="preserve">”. Every </w:t>
      </w:r>
      <w:r w:rsidR="000A3CC2">
        <w:t xml:space="preserve">Scheme </w:t>
      </w:r>
      <w:r w:rsidR="000A3CC2" w:rsidRPr="000A3CC2">
        <w:t xml:space="preserve">Part following </w:t>
      </w:r>
      <w:r w:rsidR="00826A4A">
        <w:t xml:space="preserve">(being on the right side of) </w:t>
      </w:r>
      <w:r w:rsidR="000A3CC2" w:rsidRPr="000A3CC2">
        <w:t xml:space="preserve">a previous </w:t>
      </w:r>
      <w:r w:rsidR="000A3CC2">
        <w:t xml:space="preserve">Scheme </w:t>
      </w:r>
      <w:r w:rsidR="000A3CC2" w:rsidRPr="000A3CC2">
        <w:t xml:space="preserve">Part MUST be represented by a </w:t>
      </w:r>
      <w:r w:rsidR="000E0DE6">
        <w:t>narrower</w:t>
      </w:r>
      <w:r w:rsidR="000A3CC2" w:rsidRPr="000A3CC2">
        <w:t xml:space="preserve"> </w:t>
      </w:r>
      <w:r w:rsidR="000E0DE6">
        <w:t xml:space="preserve">(i.e. further restricted) </w:t>
      </w:r>
      <w:r w:rsidR="000A3CC2" w:rsidRPr="000A3CC2">
        <w:t>business specification.</w:t>
      </w:r>
    </w:p>
    <w:p w14:paraId="798BB2DF" w14:textId="0E32D180" w:rsidR="00A53825" w:rsidRDefault="002E221A" w:rsidP="002E221A">
      <w:pPr>
        <w:pStyle w:val="Listenabsatz"/>
        <w:numPr>
          <w:ilvl w:val="0"/>
          <w:numId w:val="27"/>
        </w:numPr>
      </w:pPr>
      <w:r>
        <w:t xml:space="preserve">[BR-PDC-02] </w:t>
      </w:r>
      <w:r w:rsidR="000A3CC2" w:rsidRPr="000A3CC2">
        <w:t xml:space="preserve">If more than one </w:t>
      </w:r>
      <w:r w:rsidR="000A3CC2">
        <w:t xml:space="preserve">Scheme </w:t>
      </w:r>
      <w:r w:rsidR="000A3CC2" w:rsidRPr="000A3CC2">
        <w:t>Part is used</w:t>
      </w:r>
      <w:r w:rsidR="000A3CC2">
        <w:t xml:space="preserve"> in one Customization ID</w:t>
      </w:r>
      <w:r w:rsidR="000A3CC2" w:rsidRPr="000A3CC2">
        <w:t xml:space="preserve">, each individual </w:t>
      </w:r>
      <w:r w:rsidR="000A3CC2">
        <w:t xml:space="preserve">Scheme </w:t>
      </w:r>
      <w:r w:rsidR="000A3CC2" w:rsidRPr="000A3CC2">
        <w:t xml:space="preserve">Part </w:t>
      </w:r>
      <w:r w:rsidR="00636012">
        <w:t>MUST be</w:t>
      </w:r>
      <w:r w:rsidR="000A3CC2" w:rsidRPr="000A3CC2">
        <w:t xml:space="preserve"> separated by the character sequence “#compliant#”</w:t>
      </w:r>
      <w:r w:rsidR="00A53825">
        <w:t xml:space="preserve"> – see examples below</w:t>
      </w:r>
      <w:r w:rsidR="000A3CC2" w:rsidRPr="000A3CC2">
        <w:t>. The separator should be interpreted as “narrowed by”.</w:t>
      </w:r>
    </w:p>
    <w:p w14:paraId="7F5A05B3" w14:textId="389F108B" w:rsidR="00A53825" w:rsidRDefault="002E221A" w:rsidP="002E221A">
      <w:pPr>
        <w:pStyle w:val="Listenabsatz"/>
        <w:numPr>
          <w:ilvl w:val="0"/>
          <w:numId w:val="27"/>
        </w:numPr>
      </w:pPr>
      <w:r>
        <w:t xml:space="preserve">[BR-PDC-03] </w:t>
      </w:r>
      <w:r w:rsidR="00912517">
        <w:t>A Customization ID MUST NOT contain the same Scheme Part more than once.</w:t>
      </w:r>
      <w:r w:rsidR="003737CA">
        <w:t xml:space="preserve"> </w:t>
      </w:r>
      <w:r w:rsidR="002543F1">
        <w:t>The leftmost Scheme Part is called the “Root Part”.</w:t>
      </w:r>
    </w:p>
    <w:p w14:paraId="3B99AB6C" w14:textId="2CF4F33B" w:rsidR="000A3CC2" w:rsidRDefault="002E221A" w:rsidP="002E221A">
      <w:pPr>
        <w:pStyle w:val="Listenabsatz"/>
        <w:numPr>
          <w:ilvl w:val="0"/>
          <w:numId w:val="27"/>
        </w:numPr>
      </w:pPr>
      <w:r>
        <w:t xml:space="preserve">[BR-PDC-04] </w:t>
      </w:r>
      <w:r w:rsidR="00252C48">
        <w:t>A Scheme Part MUST NOT contain any of the characters “#”</w:t>
      </w:r>
      <w:r w:rsidR="004522B5">
        <w:t xml:space="preserve"> (ASCII 35)</w:t>
      </w:r>
      <w:r w:rsidR="0084512E">
        <w:t xml:space="preserve">, </w:t>
      </w:r>
      <w:r w:rsidR="004522B5">
        <w:t xml:space="preserve">“*” (ASCII 42), </w:t>
      </w:r>
      <w:r w:rsidR="0084512E">
        <w:t>“:”</w:t>
      </w:r>
      <w:r w:rsidR="00DF11A1">
        <w:t xml:space="preserve"> </w:t>
      </w:r>
      <w:r w:rsidR="004522B5">
        <w:t xml:space="preserve">(ASCII 58) </w:t>
      </w:r>
      <w:r w:rsidR="00DF11A1">
        <w:t>or whitespace characters</w:t>
      </w:r>
      <w:r w:rsidR="00597548">
        <w:t xml:space="preserve"> (ASCII 9, 10, 11, 12, 13, 32, 133</w:t>
      </w:r>
      <w:r w:rsidR="00D21F90">
        <w:t>,</w:t>
      </w:r>
      <w:r w:rsidR="00597548">
        <w:t xml:space="preserve"> 160)</w:t>
      </w:r>
      <w:r w:rsidR="00252C48">
        <w:t>.</w:t>
      </w:r>
    </w:p>
    <w:p w14:paraId="115230C5" w14:textId="73E14906" w:rsidR="00A51E69" w:rsidRDefault="00A51E69" w:rsidP="00762FFA">
      <w:r>
        <w:t xml:space="preserve">Note: the overall length restrictions imposed by </w:t>
      </w:r>
      <w:r w:rsidR="00554D27">
        <w:fldChar w:fldCharType="begin"/>
      </w:r>
      <w:r>
        <w:instrText xml:space="preserve"> REF _Ref52228662 \r \h </w:instrText>
      </w:r>
      <w:r w:rsidR="00554D27">
        <w:fldChar w:fldCharType="separate"/>
      </w:r>
      <w:r w:rsidR="00EA0922">
        <w:t>POLICY 1</w:t>
      </w:r>
      <w:r w:rsidR="00554D27">
        <w:fldChar w:fldCharType="end"/>
      </w:r>
      <w:r>
        <w:t xml:space="preserve"> </w:t>
      </w:r>
      <w:r w:rsidR="00BE7B03">
        <w:t>apply</w:t>
      </w:r>
      <w:r>
        <w:t>.</w:t>
      </w:r>
    </w:p>
    <w:p w14:paraId="25DC547C" w14:textId="3CFCB59A" w:rsidR="00C31ECC" w:rsidRDefault="00C31ECC" w:rsidP="00762FFA">
      <w:r>
        <w:t>Note: these rules apply to all Customization IDs in all occurrences.</w:t>
      </w:r>
    </w:p>
    <w:p w14:paraId="1925A393" w14:textId="04BE0B6B" w:rsidR="004C78B3" w:rsidRDefault="000A3CC2">
      <w:pPr>
        <w:pStyle w:val="ExampleHeader"/>
      </w:pPr>
      <w:r>
        <w:lastRenderedPageBreak/>
        <w:t xml:space="preserve">Example Customization IDs without a </w:t>
      </w:r>
      <w:r w:rsidR="0084512E">
        <w:t>W</w:t>
      </w:r>
      <w:r>
        <w:t>ildcard:</w:t>
      </w:r>
    </w:p>
    <w:p w14:paraId="5401061C" w14:textId="77777777" w:rsidR="004C78B3" w:rsidRDefault="000A3CC2">
      <w:pPr>
        <w:pStyle w:val="Listenabsatz"/>
        <w:numPr>
          <w:ilvl w:val="0"/>
          <w:numId w:val="13"/>
        </w:numPr>
      </w:pPr>
      <w:r>
        <w:t>“a”</w:t>
      </w:r>
    </w:p>
    <w:p w14:paraId="4654337E" w14:textId="77777777" w:rsidR="004C78B3" w:rsidRDefault="00CB53FE">
      <w:pPr>
        <w:pStyle w:val="Listenabsatz"/>
        <w:numPr>
          <w:ilvl w:val="1"/>
          <w:numId w:val="13"/>
        </w:numPr>
      </w:pPr>
      <w:r>
        <w:t>One Scheme Part: “a”</w:t>
      </w:r>
    </w:p>
    <w:p w14:paraId="27484204" w14:textId="77777777" w:rsidR="00E60AEB" w:rsidRDefault="00E60AEB">
      <w:pPr>
        <w:pStyle w:val="Listenabsatz"/>
        <w:numPr>
          <w:ilvl w:val="1"/>
          <w:numId w:val="13"/>
        </w:numPr>
      </w:pPr>
      <w:r>
        <w:t>“a” is the “Root Part”</w:t>
      </w:r>
    </w:p>
    <w:p w14:paraId="1A1953BF" w14:textId="77777777" w:rsidR="004C78B3" w:rsidRDefault="000A3CC2">
      <w:pPr>
        <w:pStyle w:val="Listenabsatz"/>
        <w:numPr>
          <w:ilvl w:val="0"/>
          <w:numId w:val="13"/>
        </w:numPr>
      </w:pPr>
      <w:r>
        <w:t>“a#compliant#b”</w:t>
      </w:r>
    </w:p>
    <w:p w14:paraId="58AE7404" w14:textId="77777777" w:rsidR="004C78B3" w:rsidRDefault="00CB53FE">
      <w:pPr>
        <w:pStyle w:val="Listenabsatz"/>
        <w:numPr>
          <w:ilvl w:val="1"/>
          <w:numId w:val="13"/>
        </w:numPr>
      </w:pPr>
      <w:r>
        <w:t>Two Scheme Parts: “a” and “b”</w:t>
      </w:r>
    </w:p>
    <w:p w14:paraId="37A5AF0C" w14:textId="77777777" w:rsidR="00E60AEB" w:rsidRDefault="00E60AEB">
      <w:pPr>
        <w:pStyle w:val="Listenabsatz"/>
        <w:numPr>
          <w:ilvl w:val="1"/>
          <w:numId w:val="13"/>
        </w:numPr>
      </w:pPr>
      <w:r>
        <w:t>“a” is the “Root Part”</w:t>
      </w:r>
    </w:p>
    <w:p w14:paraId="6A3920EB" w14:textId="77777777" w:rsidR="004C78B3" w:rsidRDefault="000A3CC2">
      <w:pPr>
        <w:pStyle w:val="Listenabsatz"/>
        <w:numPr>
          <w:ilvl w:val="0"/>
          <w:numId w:val="13"/>
        </w:numPr>
      </w:pPr>
      <w:r>
        <w:t>“a#compliant#b#compliant#c#compliant#d”</w:t>
      </w:r>
    </w:p>
    <w:p w14:paraId="2CB0D51A" w14:textId="77777777" w:rsidR="004C78B3" w:rsidRDefault="00CB53FE">
      <w:pPr>
        <w:pStyle w:val="Listenabsatz"/>
        <w:numPr>
          <w:ilvl w:val="1"/>
          <w:numId w:val="13"/>
        </w:numPr>
      </w:pPr>
      <w:r>
        <w:t>Four Scheme Parts: “a”, “b”, “c” and “d”</w:t>
      </w:r>
    </w:p>
    <w:p w14:paraId="16EC1858" w14:textId="77777777" w:rsidR="00E60AEB" w:rsidRDefault="00E60AEB" w:rsidP="00E60AEB">
      <w:pPr>
        <w:pStyle w:val="Listenabsatz"/>
        <w:numPr>
          <w:ilvl w:val="1"/>
          <w:numId w:val="13"/>
        </w:numPr>
      </w:pPr>
      <w:r>
        <w:t>“a” is the “Root Part”</w:t>
      </w:r>
    </w:p>
    <w:p w14:paraId="7A6EAFE6" w14:textId="77777777" w:rsidR="00EB75A8" w:rsidRDefault="000A3CC2">
      <w:r w:rsidRPr="000A3CC2">
        <w:t>The new concept of a “</w:t>
      </w:r>
      <w:r w:rsidR="00616F70" w:rsidRPr="00616F70">
        <w:rPr>
          <w:u w:val="single"/>
        </w:rPr>
        <w:t>Wildcard Indicator</w:t>
      </w:r>
      <w:r w:rsidRPr="000A3CC2">
        <w:t>” is introduced. It is represented by a “*”</w:t>
      </w:r>
      <w:r>
        <w:t xml:space="preserve"> character</w:t>
      </w:r>
      <w:r w:rsidRPr="000A3CC2">
        <w:t xml:space="preserve"> (star or asterisk character, ASCII Decimal 42, Hex 2A).</w:t>
      </w:r>
    </w:p>
    <w:p w14:paraId="035EF2C9" w14:textId="77777777" w:rsidR="00EB75A8" w:rsidRDefault="000A3CC2">
      <w:bookmarkStart w:id="88" w:name="_Hlk54875138"/>
      <w:r w:rsidRPr="000A3CC2">
        <w:t xml:space="preserve">The </w:t>
      </w:r>
      <w:r w:rsidR="00EB75A8">
        <w:t xml:space="preserve">following rules for the </w:t>
      </w:r>
      <w:r w:rsidRPr="000A3CC2">
        <w:t xml:space="preserve">“Wildcard Indicator” </w:t>
      </w:r>
      <w:r w:rsidR="00EB75A8">
        <w:t>apply:</w:t>
      </w:r>
    </w:p>
    <w:bookmarkEnd w:id="88"/>
    <w:p w14:paraId="00009253" w14:textId="08653C5E" w:rsidR="00DF37B5" w:rsidRDefault="00DF37B5" w:rsidP="00EB75A8">
      <w:pPr>
        <w:pStyle w:val="Listenabsatz"/>
        <w:numPr>
          <w:ilvl w:val="0"/>
          <w:numId w:val="25"/>
        </w:numPr>
      </w:pPr>
      <w:r>
        <w:t xml:space="preserve">[BR-PDW-01] </w:t>
      </w:r>
      <w:r w:rsidR="00EB75A8">
        <w:t xml:space="preserve">It </w:t>
      </w:r>
      <w:r>
        <w:t>MAY</w:t>
      </w:r>
      <w:r w:rsidR="00EB75A8">
        <w:t xml:space="preserve"> only used for the “peppol-doctype-wildcard” scheme</w:t>
      </w:r>
    </w:p>
    <w:p w14:paraId="6C94AF9B" w14:textId="5E542AB2" w:rsidR="00EB75A8" w:rsidRDefault="00DF37B5" w:rsidP="00EB75A8">
      <w:pPr>
        <w:pStyle w:val="Listenabsatz"/>
        <w:numPr>
          <w:ilvl w:val="0"/>
          <w:numId w:val="25"/>
        </w:numPr>
      </w:pPr>
      <w:r>
        <w:t>[BR-PDW-02] It</w:t>
      </w:r>
      <w:r w:rsidR="00EB75A8">
        <w:t xml:space="preserve"> </w:t>
      </w:r>
      <w:r w:rsidR="000A3CC2" w:rsidRPr="000A3CC2">
        <w:t>MUST occur in SMP registration</w:t>
      </w:r>
      <w:r w:rsidR="000A3CC2">
        <w:t xml:space="preserve"> </w:t>
      </w:r>
      <w:r>
        <w:t>when using the “peppol-doctype-wildcard” scheme</w:t>
      </w:r>
    </w:p>
    <w:p w14:paraId="1F21BC0E" w14:textId="482D0129" w:rsidR="00EB75A8" w:rsidRDefault="00DF37B5" w:rsidP="00EB75A8">
      <w:pPr>
        <w:pStyle w:val="Listenabsatz"/>
        <w:numPr>
          <w:ilvl w:val="0"/>
          <w:numId w:val="25"/>
        </w:numPr>
      </w:pPr>
      <w:r>
        <w:t xml:space="preserve">[BR-PDW-03] </w:t>
      </w:r>
      <w:r w:rsidR="004039F1">
        <w:t>It</w:t>
      </w:r>
      <w:r w:rsidR="000A3CC2" w:rsidRPr="000A3CC2">
        <w:t xml:space="preserve"> MUST NOT occur in any other standardized occurrences of “Customization IDs” (</w:t>
      </w:r>
      <w:r w:rsidR="00877D26">
        <w:t>Peppol Envelope</w:t>
      </w:r>
      <w:r w:rsidR="000A3CC2" w:rsidRPr="000A3CC2">
        <w:t>, AS4 UserMessage and Business Document).</w:t>
      </w:r>
    </w:p>
    <w:p w14:paraId="6C382A8B" w14:textId="5BFDAE88" w:rsidR="00EB75A8" w:rsidRDefault="00DF37B5" w:rsidP="00EB75A8">
      <w:pPr>
        <w:pStyle w:val="Listenabsatz"/>
        <w:numPr>
          <w:ilvl w:val="0"/>
          <w:numId w:val="25"/>
        </w:numPr>
      </w:pPr>
      <w:r>
        <w:t xml:space="preserve">[BR-PDW-04] </w:t>
      </w:r>
      <w:r w:rsidR="00EB75A8">
        <w:t xml:space="preserve">It </w:t>
      </w:r>
      <w:r w:rsidR="000A3CC2" w:rsidRPr="000A3CC2">
        <w:t>MUST only be used once per Identifier Value</w:t>
      </w:r>
      <w:r w:rsidR="003E4921">
        <w:t>.</w:t>
      </w:r>
    </w:p>
    <w:p w14:paraId="41C4FEF2" w14:textId="22D996E1" w:rsidR="00EB75A8" w:rsidRDefault="00DF37B5" w:rsidP="00EB75A8">
      <w:pPr>
        <w:pStyle w:val="Listenabsatz"/>
        <w:numPr>
          <w:ilvl w:val="0"/>
          <w:numId w:val="25"/>
        </w:numPr>
      </w:pPr>
      <w:r>
        <w:t xml:space="preserve">[BR-PDW-05] </w:t>
      </w:r>
      <w:r w:rsidR="00EB75A8">
        <w:t xml:space="preserve">It </w:t>
      </w:r>
      <w:r w:rsidR="000A3CC2" w:rsidRPr="000A3CC2">
        <w:t>MUST be the last character of the respective Customization ID in the SMP.</w:t>
      </w:r>
    </w:p>
    <w:p w14:paraId="3D756BD9" w14:textId="70A0C0E5" w:rsidR="00AB7A7E" w:rsidRDefault="00DF37B5" w:rsidP="00EB75A8">
      <w:pPr>
        <w:pStyle w:val="Listenabsatz"/>
        <w:numPr>
          <w:ilvl w:val="0"/>
          <w:numId w:val="25"/>
        </w:numPr>
      </w:pPr>
      <w:r>
        <w:t xml:space="preserve">[BR-PDW-06] </w:t>
      </w:r>
      <w:r w:rsidR="00EB75A8">
        <w:t>It</w:t>
      </w:r>
      <w:r w:rsidR="000A3CC2" w:rsidRPr="000A3CC2">
        <w:t xml:space="preserve"> MUST follow a </w:t>
      </w:r>
      <w:r w:rsidR="000A3CC2">
        <w:t xml:space="preserve">Scheme </w:t>
      </w:r>
      <w:r w:rsidR="000A3CC2" w:rsidRPr="000A3CC2">
        <w:t>Part</w:t>
      </w:r>
      <w:r w:rsidR="00F33393">
        <w:t>, c</w:t>
      </w:r>
      <w:r w:rsidR="00F33393" w:rsidRPr="000A3CC2">
        <w:t>onsequently a Wildcard Indicator can never follow a separator (as in “a#compliant#*”).</w:t>
      </w:r>
    </w:p>
    <w:p w14:paraId="5CB726D1" w14:textId="4051A538" w:rsidR="00DB58DA" w:rsidRDefault="00DF37B5">
      <w:pPr>
        <w:pStyle w:val="Listenabsatz"/>
        <w:numPr>
          <w:ilvl w:val="0"/>
          <w:numId w:val="25"/>
        </w:numPr>
      </w:pPr>
      <w:r>
        <w:t xml:space="preserve">[BR-PDW-07] </w:t>
      </w:r>
      <w:r w:rsidR="000A3CC2" w:rsidRPr="000A3CC2">
        <w:t>The sole usage of a Wildcard Indicator is NOT allowed (“*”).</w:t>
      </w:r>
    </w:p>
    <w:p w14:paraId="79590899" w14:textId="77777777" w:rsidR="004C78B3" w:rsidRDefault="005742E0">
      <w:pPr>
        <w:pStyle w:val="ExampleHeader"/>
      </w:pPr>
      <w:r>
        <w:t xml:space="preserve">Examples of </w:t>
      </w:r>
      <w:r w:rsidR="00554D27" w:rsidRPr="00554D27">
        <w:rPr>
          <w:u w:val="single"/>
        </w:rPr>
        <w:t>valid</w:t>
      </w:r>
      <w:r>
        <w:t xml:space="preserve"> Wildcard Customization IDs:</w:t>
      </w:r>
    </w:p>
    <w:p w14:paraId="67ABCC44" w14:textId="77777777" w:rsidR="005742E0" w:rsidRDefault="005742E0" w:rsidP="005742E0">
      <w:pPr>
        <w:pStyle w:val="Listenabsatz"/>
        <w:numPr>
          <w:ilvl w:val="0"/>
          <w:numId w:val="13"/>
        </w:numPr>
      </w:pPr>
      <w:r>
        <w:t>“a*”</w:t>
      </w:r>
    </w:p>
    <w:p w14:paraId="44C8421E" w14:textId="77777777" w:rsidR="005742E0" w:rsidRDefault="005742E0" w:rsidP="005742E0">
      <w:pPr>
        <w:pStyle w:val="Listenabsatz"/>
        <w:numPr>
          <w:ilvl w:val="0"/>
          <w:numId w:val="13"/>
        </w:numPr>
      </w:pPr>
      <w:r>
        <w:t>“a#compliant#b*”</w:t>
      </w:r>
    </w:p>
    <w:p w14:paraId="519D4493" w14:textId="77777777" w:rsidR="004C78B3" w:rsidRDefault="005742E0">
      <w:pPr>
        <w:pStyle w:val="Listenabsatz"/>
        <w:numPr>
          <w:ilvl w:val="0"/>
          <w:numId w:val="13"/>
        </w:numPr>
      </w:pPr>
      <w:r>
        <w:t>“a#compliant#b#compliant#c#compliant#d*”</w:t>
      </w:r>
    </w:p>
    <w:p w14:paraId="195CA6C7" w14:textId="77777777" w:rsidR="004C78B3" w:rsidRDefault="005742E0">
      <w:pPr>
        <w:pStyle w:val="ExampleHeader"/>
      </w:pPr>
      <w:r>
        <w:t xml:space="preserve">Examples of </w:t>
      </w:r>
      <w:r w:rsidR="00554D27" w:rsidRPr="00554D27">
        <w:rPr>
          <w:u w:val="single"/>
        </w:rPr>
        <w:t>invalid</w:t>
      </w:r>
      <w:r>
        <w:t xml:space="preserve"> Wildcard Customization IDs:</w:t>
      </w:r>
    </w:p>
    <w:p w14:paraId="1276DEF0" w14:textId="77777777" w:rsidR="004C78B3" w:rsidRDefault="005742E0">
      <w:pPr>
        <w:pStyle w:val="Listenabsatz"/>
        <w:numPr>
          <w:ilvl w:val="0"/>
          <w:numId w:val="13"/>
        </w:numPr>
      </w:pPr>
      <w:r>
        <w:t>“a”</w:t>
      </w:r>
    </w:p>
    <w:p w14:paraId="75534AF7" w14:textId="072CE703" w:rsidR="004C78B3" w:rsidRDefault="005742E0">
      <w:pPr>
        <w:pStyle w:val="Listenabsatz"/>
        <w:numPr>
          <w:ilvl w:val="1"/>
          <w:numId w:val="13"/>
        </w:numPr>
      </w:pPr>
      <w:r>
        <w:t>No Wildcard Indicator is present</w:t>
      </w:r>
      <w:r w:rsidR="002E221A">
        <w:t>. Violates rule [BR-PDW-02].</w:t>
      </w:r>
    </w:p>
    <w:p w14:paraId="176FE543" w14:textId="77777777" w:rsidR="004C78B3" w:rsidRDefault="005742E0">
      <w:pPr>
        <w:pStyle w:val="Listenabsatz"/>
        <w:numPr>
          <w:ilvl w:val="0"/>
          <w:numId w:val="13"/>
        </w:numPr>
      </w:pPr>
      <w:r>
        <w:t>“a**”</w:t>
      </w:r>
    </w:p>
    <w:p w14:paraId="3ABAF4CF" w14:textId="471152BA" w:rsidR="004C78B3" w:rsidRDefault="005742E0">
      <w:pPr>
        <w:pStyle w:val="Listenabsatz"/>
        <w:numPr>
          <w:ilvl w:val="1"/>
          <w:numId w:val="13"/>
        </w:numPr>
      </w:pPr>
      <w:r>
        <w:t>Only one Wildcard Character is allowed</w:t>
      </w:r>
      <w:r w:rsidR="002E221A">
        <w:t>. Violates rule [BR-PDW-04].</w:t>
      </w:r>
    </w:p>
    <w:p w14:paraId="077AD5B4" w14:textId="77777777" w:rsidR="002E221A" w:rsidRDefault="002E221A" w:rsidP="002E221A">
      <w:pPr>
        <w:pStyle w:val="Listenabsatz"/>
        <w:numPr>
          <w:ilvl w:val="0"/>
          <w:numId w:val="13"/>
        </w:numPr>
      </w:pPr>
      <w:r>
        <w:t>“a*#compliant#b”</w:t>
      </w:r>
    </w:p>
    <w:p w14:paraId="0E651FC7" w14:textId="77777777" w:rsidR="002E221A" w:rsidRDefault="002E221A" w:rsidP="002E221A">
      <w:pPr>
        <w:pStyle w:val="Listenabsatz"/>
        <w:numPr>
          <w:ilvl w:val="1"/>
          <w:numId w:val="13"/>
        </w:numPr>
      </w:pPr>
      <w:r>
        <w:t>The Wildcard Character must be the last character. Violates rule [BR-PDW-05].</w:t>
      </w:r>
    </w:p>
    <w:p w14:paraId="314E8F41" w14:textId="4BE306EB" w:rsidR="004C78B3" w:rsidRDefault="005742E0">
      <w:pPr>
        <w:pStyle w:val="Listenabsatz"/>
        <w:numPr>
          <w:ilvl w:val="0"/>
          <w:numId w:val="13"/>
        </w:numPr>
      </w:pPr>
      <w:r>
        <w:t>“a#compliant#b#compliant</w:t>
      </w:r>
      <w:r w:rsidR="002E221A">
        <w:t>#</w:t>
      </w:r>
      <w:r>
        <w:t>*”</w:t>
      </w:r>
    </w:p>
    <w:p w14:paraId="2DDA733A" w14:textId="2A9360EA" w:rsidR="004C78B3" w:rsidRDefault="005742E0">
      <w:pPr>
        <w:pStyle w:val="Listenabsatz"/>
        <w:numPr>
          <w:ilvl w:val="1"/>
          <w:numId w:val="13"/>
        </w:numPr>
      </w:pPr>
      <w:r>
        <w:t>The Wildcard Character must follow a Scheme Part</w:t>
      </w:r>
      <w:r w:rsidR="002E221A">
        <w:t>. Violates rule [BR-PDW-06].</w:t>
      </w:r>
    </w:p>
    <w:p w14:paraId="06CF7103" w14:textId="77777777" w:rsidR="004C78B3" w:rsidRDefault="005742E0">
      <w:pPr>
        <w:pStyle w:val="Listenabsatz"/>
        <w:numPr>
          <w:ilvl w:val="0"/>
          <w:numId w:val="13"/>
        </w:numPr>
      </w:pPr>
      <w:r>
        <w:t>“*”</w:t>
      </w:r>
    </w:p>
    <w:p w14:paraId="5F2F3703" w14:textId="4DADDA5F" w:rsidR="004C78B3" w:rsidRDefault="005742E0">
      <w:pPr>
        <w:pStyle w:val="Listenabsatz"/>
        <w:numPr>
          <w:ilvl w:val="1"/>
          <w:numId w:val="13"/>
        </w:numPr>
      </w:pPr>
      <w:r>
        <w:t>The Wildcard Character must follow a Scheme Part</w:t>
      </w:r>
      <w:r w:rsidR="002E221A">
        <w:t>. Violates rule [BR-PDW-07].</w:t>
      </w:r>
    </w:p>
    <w:p w14:paraId="2A51C35B" w14:textId="4562B630" w:rsidR="002E221A" w:rsidRDefault="002E221A" w:rsidP="002E221A">
      <w:pPr>
        <w:pStyle w:val="Listenabsatz"/>
        <w:numPr>
          <w:ilvl w:val="0"/>
          <w:numId w:val="13"/>
        </w:numPr>
      </w:pPr>
      <w:r>
        <w:t>“a#compliant#a*”</w:t>
      </w:r>
    </w:p>
    <w:p w14:paraId="1DC049EF" w14:textId="2329B032" w:rsidR="002E221A" w:rsidRDefault="002E221A" w:rsidP="002E221A">
      <w:pPr>
        <w:pStyle w:val="Listenabsatz"/>
        <w:numPr>
          <w:ilvl w:val="1"/>
          <w:numId w:val="13"/>
        </w:numPr>
      </w:pPr>
      <w:r>
        <w:t>The Scheme Part “a” is contained more than once. Violates rule [BR-PDC-03].</w:t>
      </w:r>
    </w:p>
    <w:p w14:paraId="4637C135" w14:textId="77777777" w:rsidR="002E221A" w:rsidRDefault="002E221A" w:rsidP="002E221A">
      <w:pPr>
        <w:pStyle w:val="Listenabsatz"/>
        <w:numPr>
          <w:ilvl w:val="0"/>
          <w:numId w:val="13"/>
        </w:numPr>
      </w:pPr>
      <w:r>
        <w:t>“a#*”</w:t>
      </w:r>
    </w:p>
    <w:p w14:paraId="219F3E16" w14:textId="61C45BD2" w:rsidR="002E221A" w:rsidRDefault="002E221A" w:rsidP="002E221A">
      <w:pPr>
        <w:pStyle w:val="Listenabsatz"/>
        <w:numPr>
          <w:ilvl w:val="1"/>
          <w:numId w:val="13"/>
        </w:numPr>
      </w:pPr>
      <w:r>
        <w:t>The “#” character is not allowed in a Scheme Part. Violates rule [BR-PDC-04].</w:t>
      </w:r>
    </w:p>
    <w:p w14:paraId="315E4D66" w14:textId="6473FAB5" w:rsidR="004C78B3" w:rsidRDefault="00EC2284">
      <w:r>
        <w:t xml:space="preserve">Note: a Document Type Identifier Value for “busdox-docid-qns” </w:t>
      </w:r>
      <w:r w:rsidR="00D21F90">
        <w:t xml:space="preserve">is not allowed to </w:t>
      </w:r>
      <w:r>
        <w:t>contain the “*” character.</w:t>
      </w:r>
    </w:p>
    <w:p w14:paraId="09CC1DB2" w14:textId="10D9BB5F" w:rsidR="003423D1" w:rsidRDefault="003E4921">
      <w:pPr>
        <w:rPr>
          <w:b/>
          <w:bCs/>
        </w:rPr>
      </w:pPr>
      <w:r>
        <w:rPr>
          <w:b/>
          <w:bCs/>
        </w:rPr>
        <w:t>Matching</w:t>
      </w:r>
      <w:r w:rsidR="0084512E">
        <w:rPr>
          <w:b/>
          <w:bCs/>
        </w:rPr>
        <w:t xml:space="preserve"> Document Type Identifiers with Wildcards</w:t>
      </w:r>
    </w:p>
    <w:p w14:paraId="1E0AD721" w14:textId="58E85BA3" w:rsidR="0084512E" w:rsidRDefault="0084512E" w:rsidP="0084512E">
      <w:r w:rsidRPr="000A3CC2">
        <w:lastRenderedPageBreak/>
        <w:t xml:space="preserve">The </w:t>
      </w:r>
      <w:r>
        <w:t xml:space="preserve">following rules for matching Document Type Identifiers with </w:t>
      </w:r>
      <w:r w:rsidRPr="000A3CC2">
        <w:t xml:space="preserve">“Wildcard Indicator” </w:t>
      </w:r>
      <w:r>
        <w:t>apply:</w:t>
      </w:r>
    </w:p>
    <w:p w14:paraId="73F1BEFC" w14:textId="3877753C" w:rsidR="0084512E" w:rsidRDefault="0084512E" w:rsidP="0084512E">
      <w:pPr>
        <w:pStyle w:val="Listenabsatz"/>
        <w:numPr>
          <w:ilvl w:val="0"/>
          <w:numId w:val="28"/>
        </w:numPr>
      </w:pPr>
      <w:r>
        <w:t xml:space="preserve">[BR-PDM-01] </w:t>
      </w:r>
      <w:r w:rsidR="000A3CC2" w:rsidRPr="000A3CC2">
        <w:t xml:space="preserve">When matching SMP responses, the Wildcard Indicator </w:t>
      </w:r>
      <w:r>
        <w:t xml:space="preserve">MUST </w:t>
      </w:r>
      <w:r w:rsidR="000A3CC2" w:rsidRPr="000A3CC2">
        <w:t xml:space="preserve">act as a generalization for zero, one or more </w:t>
      </w:r>
      <w:r w:rsidR="000A3CC2">
        <w:t xml:space="preserve">Scheme </w:t>
      </w:r>
      <w:r w:rsidR="000A3CC2" w:rsidRPr="000A3CC2">
        <w:t>Parts</w:t>
      </w:r>
      <w:r w:rsidR="000A3CC2">
        <w:t>.</w:t>
      </w:r>
    </w:p>
    <w:p w14:paraId="769BEEC2" w14:textId="6B25172D" w:rsidR="004C78B3" w:rsidRDefault="0084512E" w:rsidP="0084512E">
      <w:pPr>
        <w:pStyle w:val="Listenabsatz"/>
        <w:numPr>
          <w:ilvl w:val="0"/>
          <w:numId w:val="28"/>
        </w:numPr>
      </w:pPr>
      <w:r>
        <w:t xml:space="preserve">[BR-PDM-02] </w:t>
      </w:r>
      <w:r w:rsidR="001F35BF">
        <w:t>Matching MUST be performed from left to right.</w:t>
      </w:r>
    </w:p>
    <w:p w14:paraId="435DF9DD" w14:textId="05A0249B" w:rsidR="0084512E" w:rsidRDefault="0084512E" w:rsidP="0084512E">
      <w:pPr>
        <w:pStyle w:val="Listenabsatz"/>
        <w:numPr>
          <w:ilvl w:val="0"/>
          <w:numId w:val="28"/>
        </w:numPr>
      </w:pPr>
      <w:r>
        <w:t>[BR-PDM-03] A Customization ID</w:t>
      </w:r>
      <w:r w:rsidRPr="00616F70">
        <w:t xml:space="preserve"> that match</w:t>
      </w:r>
      <w:r>
        <w:t>es</w:t>
      </w:r>
      <w:r w:rsidRPr="00616F70">
        <w:t xml:space="preserve"> more </w:t>
      </w:r>
      <w:r>
        <w:t xml:space="preserve">Scheme </w:t>
      </w:r>
      <w:r w:rsidRPr="00616F70">
        <w:t xml:space="preserve">Parts </w:t>
      </w:r>
      <w:r>
        <w:t>MUST have</w:t>
      </w:r>
      <w:r w:rsidRPr="00616F70">
        <w:t xml:space="preserve"> precedence over </w:t>
      </w:r>
      <w:r>
        <w:t xml:space="preserve">a </w:t>
      </w:r>
      <w:r w:rsidRPr="00616F70">
        <w:t>Cu</w:t>
      </w:r>
      <w:r>
        <w:t>stomization ID with less matching Scheme Parts</w:t>
      </w:r>
      <w:r w:rsidRPr="00616F70">
        <w:t>.</w:t>
      </w:r>
    </w:p>
    <w:p w14:paraId="5723720D" w14:textId="12A573A5" w:rsidR="004C78B3" w:rsidRDefault="000A3CC2">
      <w:pPr>
        <w:pStyle w:val="ExampleHeader"/>
      </w:pPr>
      <w:r>
        <w:t>Example</w:t>
      </w:r>
      <w:r w:rsidR="0084512E">
        <w:t>s</w:t>
      </w:r>
      <w:r>
        <w:t>:</w:t>
      </w:r>
    </w:p>
    <w:p w14:paraId="05DB3405" w14:textId="77777777" w:rsidR="004C78B3" w:rsidRDefault="00F33393">
      <w:pPr>
        <w:pStyle w:val="Listenabsatz"/>
        <w:numPr>
          <w:ilvl w:val="0"/>
          <w:numId w:val="13"/>
        </w:numPr>
      </w:pPr>
      <w:r>
        <w:t xml:space="preserve">SMP registration </w:t>
      </w:r>
      <w:r w:rsidR="008B2BA7">
        <w:t>“a*”</w:t>
      </w:r>
    </w:p>
    <w:p w14:paraId="45674862" w14:textId="52E5B398" w:rsidR="004C78B3" w:rsidRDefault="000A3CC2">
      <w:pPr>
        <w:pStyle w:val="Listenabsatz"/>
        <w:numPr>
          <w:ilvl w:val="1"/>
          <w:numId w:val="13"/>
        </w:numPr>
      </w:pPr>
      <w:r w:rsidRPr="000A3CC2">
        <w:t>matches</w:t>
      </w:r>
      <w:r w:rsidR="0084512E">
        <w:t xml:space="preserve"> </w:t>
      </w:r>
      <w:r w:rsidR="00C72F00">
        <w:t>e.g.</w:t>
      </w:r>
      <w:r w:rsidRPr="000A3CC2">
        <w:t xml:space="preserve"> “a”, “a#compliant#b” </w:t>
      </w:r>
      <w:r w:rsidR="001F35BF">
        <w:t>or</w:t>
      </w:r>
      <w:r w:rsidRPr="000A3CC2">
        <w:t xml:space="preserve"> “a#compl</w:t>
      </w:r>
      <w:r w:rsidR="00F33393">
        <w:t>iant#b#compliant#c#compliant#d”</w:t>
      </w:r>
    </w:p>
    <w:p w14:paraId="2650A3A8" w14:textId="77777777" w:rsidR="004C78B3" w:rsidRDefault="008B2BA7">
      <w:pPr>
        <w:pStyle w:val="Listenabsatz"/>
        <w:numPr>
          <w:ilvl w:val="1"/>
          <w:numId w:val="13"/>
        </w:numPr>
      </w:pPr>
      <w:r>
        <w:t xml:space="preserve">does not match </w:t>
      </w:r>
      <w:r w:rsidR="00C72F00">
        <w:t xml:space="preserve">e.g. </w:t>
      </w:r>
      <w:r>
        <w:t>“b”, “b#compliant#a” or “b#compliant#a#compliant#c”</w:t>
      </w:r>
    </w:p>
    <w:p w14:paraId="7EA32584" w14:textId="77777777" w:rsidR="004C78B3" w:rsidRDefault="00345F3B">
      <w:pPr>
        <w:pStyle w:val="Listenabsatz"/>
        <w:numPr>
          <w:ilvl w:val="0"/>
          <w:numId w:val="13"/>
        </w:numPr>
      </w:pPr>
      <w:r>
        <w:t>SMP registration “a#compliant#b*”</w:t>
      </w:r>
    </w:p>
    <w:p w14:paraId="53E32FB7" w14:textId="77777777" w:rsidR="004C78B3" w:rsidRDefault="00345F3B">
      <w:pPr>
        <w:pStyle w:val="Listenabsatz"/>
        <w:numPr>
          <w:ilvl w:val="1"/>
          <w:numId w:val="13"/>
        </w:numPr>
      </w:pPr>
      <w:r>
        <w:t xml:space="preserve">matches </w:t>
      </w:r>
      <w:r w:rsidR="00C72F00">
        <w:t xml:space="preserve">e.g. </w:t>
      </w:r>
      <w:r>
        <w:t>“a#compliant#b”, “a#compliant#b#compliant#c”</w:t>
      </w:r>
    </w:p>
    <w:p w14:paraId="4DAA5593" w14:textId="77777777" w:rsidR="004C78B3" w:rsidRDefault="00345F3B">
      <w:pPr>
        <w:pStyle w:val="Listenabsatz"/>
        <w:numPr>
          <w:ilvl w:val="1"/>
          <w:numId w:val="13"/>
        </w:numPr>
      </w:pPr>
      <w:r>
        <w:t xml:space="preserve">does not match </w:t>
      </w:r>
      <w:r w:rsidR="00C72F00">
        <w:t xml:space="preserve">e.g. </w:t>
      </w:r>
      <w:r>
        <w:t>“a”, “a#compliant#c” or “b#compliant#a”</w:t>
      </w:r>
    </w:p>
    <w:p w14:paraId="41F76010" w14:textId="77777777" w:rsidR="004C78B3" w:rsidRDefault="00274BFE">
      <w:pPr>
        <w:pStyle w:val="Listenabsatz"/>
        <w:numPr>
          <w:ilvl w:val="0"/>
          <w:numId w:val="13"/>
        </w:numPr>
      </w:pPr>
      <w:r>
        <w:t>SMP has a registration for “a*” and “a#compliant#b*”</w:t>
      </w:r>
    </w:p>
    <w:p w14:paraId="4A2D2831" w14:textId="77777777" w:rsidR="004C78B3" w:rsidRDefault="00274BFE">
      <w:pPr>
        <w:pStyle w:val="Listenabsatz"/>
        <w:numPr>
          <w:ilvl w:val="1"/>
          <w:numId w:val="13"/>
        </w:numPr>
      </w:pPr>
      <w:r>
        <w:t>Senders wanting to send “a#compliant#b#compliant#c” must choose the SMP endpoint offered by “a#compliant#b*”</w:t>
      </w:r>
    </w:p>
    <w:p w14:paraId="416BCC99" w14:textId="77777777" w:rsidR="004C78B3" w:rsidRDefault="00274BFE">
      <w:pPr>
        <w:pStyle w:val="Listenabsatz"/>
        <w:numPr>
          <w:ilvl w:val="1"/>
          <w:numId w:val="13"/>
        </w:numPr>
      </w:pPr>
      <w:r>
        <w:t>Senders wanting to send “a#compliant#c” must choose the SMP endpoint offered by “a*”</w:t>
      </w:r>
    </w:p>
    <w:p w14:paraId="6C6A08FA" w14:textId="5945900F" w:rsidR="00C46AC7" w:rsidRDefault="00EC3094" w:rsidP="00274BFE">
      <w:r>
        <w:t>Note: t</w:t>
      </w:r>
      <w:r w:rsidR="003B5132" w:rsidRPr="00274BFE">
        <w:t>he usage of this Document Type Identifier Scheme leads to differences between what the Sending AP querie</w:t>
      </w:r>
      <w:r w:rsidR="003B5132">
        <w:t>s from the SMP and what the Sending AP puts into the Business Document Envelope</w:t>
      </w:r>
      <w:r>
        <w:t xml:space="preserve"> to be delivered to the Receiving AP</w:t>
      </w:r>
      <w:r w:rsidR="003B5132">
        <w:t>.</w:t>
      </w:r>
    </w:p>
    <w:p w14:paraId="5CB47C05" w14:textId="40E61075" w:rsidR="00FA074B" w:rsidRPr="00762FFA" w:rsidRDefault="00FA074B" w:rsidP="00274BFE">
      <w:r>
        <w:t xml:space="preserve">Note: the Customization ID is embedded into the Document Type Identifier Values as described in chapter </w:t>
      </w:r>
      <w:r>
        <w:fldChar w:fldCharType="begin"/>
      </w:r>
      <w:r>
        <w:instrText xml:space="preserve"> REF _Ref54874187 \r \h </w:instrText>
      </w:r>
      <w:r>
        <w:fldChar w:fldCharType="separate"/>
      </w:r>
      <w:r w:rsidR="00EA0922">
        <w:t>5.2</w:t>
      </w:r>
      <w:r>
        <w:fldChar w:fldCharType="end"/>
      </w:r>
      <w:r>
        <w:t xml:space="preserve"> and needs to be extracted before any matching can be performed.</w:t>
      </w:r>
    </w:p>
    <w:p w14:paraId="3AE73F1B" w14:textId="77777777" w:rsidR="004C78B3" w:rsidRDefault="00762FFA" w:rsidP="00147319">
      <w:pPr>
        <w:pStyle w:val="berschrift3"/>
      </w:pPr>
      <w:bookmarkStart w:id="89" w:name="_Toc54986014"/>
      <w:r w:rsidRPr="00147319">
        <w:t>Comparison</w:t>
      </w:r>
      <w:r w:rsidR="0031736C">
        <w:t xml:space="preserve"> </w:t>
      </w:r>
      <w:r w:rsidR="0047339D">
        <w:t>–</w:t>
      </w:r>
      <w:r w:rsidR="0031736C">
        <w:t xml:space="preserve"> </w:t>
      </w:r>
      <w:r w:rsidR="0047339D">
        <w:t>“</w:t>
      </w:r>
      <w:r w:rsidR="0031736C">
        <w:t>busdox-docid-qns</w:t>
      </w:r>
      <w:r w:rsidR="0047339D">
        <w:t>”</w:t>
      </w:r>
      <w:r w:rsidR="0031736C">
        <w:t xml:space="preserve"> and </w:t>
      </w:r>
      <w:r w:rsidR="0047339D">
        <w:t>“</w:t>
      </w:r>
      <w:r w:rsidR="0031736C">
        <w:t>peppol-doctype-wildcard</w:t>
      </w:r>
      <w:r w:rsidR="0047339D">
        <w:t>”</w:t>
      </w:r>
      <w:bookmarkEnd w:id="89"/>
    </w:p>
    <w:p w14:paraId="546CB205" w14:textId="77777777" w:rsidR="00916F1F" w:rsidRDefault="00A87F2B" w:rsidP="00FD0153">
      <w:r>
        <w:t xml:space="preserve">The following table lists the </w:t>
      </w:r>
      <w:r w:rsidR="00973825">
        <w:t xml:space="preserve">equalities and </w:t>
      </w:r>
      <w:r>
        <w:t>differences between these identifier schemes:</w:t>
      </w:r>
    </w:p>
    <w:tbl>
      <w:tblPr>
        <w:tblStyle w:val="MittlereSchattierung2-Akzent11"/>
        <w:tblW w:w="8897" w:type="dxa"/>
        <w:tblLook w:val="04A0" w:firstRow="1" w:lastRow="0" w:firstColumn="1" w:lastColumn="0" w:noHBand="0" w:noVBand="1"/>
      </w:tblPr>
      <w:tblGrid>
        <w:gridCol w:w="2545"/>
        <w:gridCol w:w="2384"/>
        <w:gridCol w:w="3968"/>
      </w:tblGrid>
      <w:tr w:rsidR="009E16A3" w14:paraId="77E0D6C8" w14:textId="77777777" w:rsidTr="009E16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8F64108" w14:textId="77777777" w:rsidR="00A87F2B" w:rsidRDefault="00E91709" w:rsidP="00FD0153">
            <w:r>
              <w:t>Document Type Identifier Scheme</w:t>
            </w:r>
          </w:p>
        </w:tc>
        <w:tc>
          <w:tcPr>
            <w:tcW w:w="2384" w:type="dxa"/>
          </w:tcPr>
          <w:p w14:paraId="4A29BA3B" w14:textId="77777777" w:rsidR="00A87F2B" w:rsidRDefault="00A87F2B" w:rsidP="00FD0153">
            <w:pPr>
              <w:cnfStyle w:val="100000000000" w:firstRow="1" w:lastRow="0" w:firstColumn="0" w:lastColumn="0" w:oddVBand="0" w:evenVBand="0" w:oddHBand="0" w:evenHBand="0" w:firstRowFirstColumn="0" w:firstRowLastColumn="0" w:lastRowFirstColumn="0" w:lastRowLastColumn="0"/>
            </w:pPr>
            <w:r>
              <w:t>busdox-docid-qns</w:t>
            </w:r>
          </w:p>
        </w:tc>
        <w:tc>
          <w:tcPr>
            <w:tcW w:w="3968" w:type="dxa"/>
          </w:tcPr>
          <w:p w14:paraId="3DDA399B" w14:textId="77777777" w:rsidR="00A87F2B" w:rsidRDefault="00A87F2B" w:rsidP="00FD0153">
            <w:pPr>
              <w:cnfStyle w:val="100000000000" w:firstRow="1" w:lastRow="0" w:firstColumn="0" w:lastColumn="0" w:oddVBand="0" w:evenVBand="0" w:oddHBand="0" w:evenHBand="0" w:firstRowFirstColumn="0" w:firstRowLastColumn="0" w:lastRowFirstColumn="0" w:lastRowLastColumn="0"/>
            </w:pPr>
            <w:r>
              <w:t>peppol-doctype-wildcard</w:t>
            </w:r>
          </w:p>
        </w:tc>
      </w:tr>
      <w:tr w:rsidR="009E16A3" w14:paraId="6DDFEDE0" w14:textId="77777777" w:rsidTr="009E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CB0F1" w14:textId="77777777" w:rsidR="00A87F2B" w:rsidRDefault="00E91709" w:rsidP="00FD0153">
            <w:r>
              <w:t xml:space="preserve">Value </w:t>
            </w:r>
            <w:r w:rsidR="00B87129">
              <w:t>Syntax</w:t>
            </w:r>
          </w:p>
        </w:tc>
        <w:tc>
          <w:tcPr>
            <w:tcW w:w="2384" w:type="dxa"/>
          </w:tcPr>
          <w:p w14:paraId="213CD1D0" w14:textId="36E2C2FA" w:rsidR="00A87F2B" w:rsidRDefault="00554D27" w:rsidP="00FD0153">
            <w:pPr>
              <w:cnfStyle w:val="000000100000" w:firstRow="0" w:lastRow="0" w:firstColumn="0" w:lastColumn="0" w:oddVBand="0" w:evenVBand="0" w:oddHBand="1" w:evenHBand="0" w:firstRowFirstColumn="0" w:firstRowLastColumn="0" w:lastRowFirstColumn="0" w:lastRowLastColumn="0"/>
            </w:pPr>
            <w:r>
              <w:fldChar w:fldCharType="begin"/>
            </w:r>
            <w:r w:rsidR="00B87129">
              <w:instrText xml:space="preserve"> REF _Ref52221709 \r \h </w:instrText>
            </w:r>
            <w:r>
              <w:fldChar w:fldCharType="separate"/>
            </w:r>
            <w:r w:rsidR="00EA0922">
              <w:t>POLICY 20</w:t>
            </w:r>
            <w:r>
              <w:fldChar w:fldCharType="end"/>
            </w:r>
            <w:r w:rsidR="00B87129">
              <w:t xml:space="preserve"> applies</w:t>
            </w:r>
          </w:p>
        </w:tc>
        <w:tc>
          <w:tcPr>
            <w:tcW w:w="3968" w:type="dxa"/>
          </w:tcPr>
          <w:p w14:paraId="3549DE3F" w14:textId="325DF4E8" w:rsidR="00A87F2B" w:rsidRDefault="00554D27" w:rsidP="00FD0153">
            <w:pPr>
              <w:cnfStyle w:val="000000100000" w:firstRow="0" w:lastRow="0" w:firstColumn="0" w:lastColumn="0" w:oddVBand="0" w:evenVBand="0" w:oddHBand="1" w:evenHBand="0" w:firstRowFirstColumn="0" w:firstRowLastColumn="0" w:lastRowFirstColumn="0" w:lastRowLastColumn="0"/>
            </w:pPr>
            <w:r>
              <w:fldChar w:fldCharType="begin"/>
            </w:r>
            <w:r w:rsidR="00B87129">
              <w:instrText xml:space="preserve"> REF _Ref52221709 \r \h </w:instrText>
            </w:r>
            <w:r>
              <w:fldChar w:fldCharType="separate"/>
            </w:r>
            <w:r w:rsidR="00EA0922">
              <w:t>POLICY 20</w:t>
            </w:r>
            <w:r>
              <w:fldChar w:fldCharType="end"/>
            </w:r>
            <w:r w:rsidR="00B87129">
              <w:t xml:space="preserve"> applies</w:t>
            </w:r>
          </w:p>
        </w:tc>
      </w:tr>
      <w:tr w:rsidR="009E16A3" w14:paraId="5662B487" w14:textId="77777777" w:rsidTr="009E16A3">
        <w:tc>
          <w:tcPr>
            <w:cnfStyle w:val="001000000000" w:firstRow="0" w:lastRow="0" w:firstColumn="1" w:lastColumn="0" w:oddVBand="0" w:evenVBand="0" w:oddHBand="0" w:evenHBand="0" w:firstRowFirstColumn="0" w:firstRowLastColumn="0" w:lastRowFirstColumn="0" w:lastRowLastColumn="0"/>
            <w:tcW w:w="0" w:type="auto"/>
          </w:tcPr>
          <w:p w14:paraId="42B5A628" w14:textId="77777777" w:rsidR="00A87F2B" w:rsidRDefault="00B87129" w:rsidP="00FD0153">
            <w:r>
              <w:t>Customization ID</w:t>
            </w:r>
          </w:p>
        </w:tc>
        <w:tc>
          <w:tcPr>
            <w:tcW w:w="2384" w:type="dxa"/>
          </w:tcPr>
          <w:p w14:paraId="4DB42911" w14:textId="77777777" w:rsidR="00A87F2B" w:rsidRDefault="00B87129" w:rsidP="00FD0153">
            <w:pPr>
              <w:cnfStyle w:val="000000000000" w:firstRow="0" w:lastRow="0" w:firstColumn="0" w:lastColumn="0" w:oddVBand="0" w:evenVBand="0" w:oddHBand="0" w:evenHBand="0" w:firstRowFirstColumn="0" w:firstRowLastColumn="0" w:lastRowFirstColumn="0" w:lastRowLastColumn="0"/>
            </w:pPr>
            <w:r>
              <w:t>Defined by a Peppol BIS</w:t>
            </w:r>
          </w:p>
        </w:tc>
        <w:tc>
          <w:tcPr>
            <w:tcW w:w="3968" w:type="dxa"/>
          </w:tcPr>
          <w:p w14:paraId="13985788" w14:textId="7EC0B334" w:rsidR="00A87F2B" w:rsidRDefault="007B59EE" w:rsidP="00C82A37">
            <w:pPr>
              <w:cnfStyle w:val="000000000000" w:firstRow="0" w:lastRow="0" w:firstColumn="0" w:lastColumn="0" w:oddVBand="0" w:evenVBand="0" w:oddHBand="0" w:evenHBand="0" w:firstRowFirstColumn="0" w:firstRowLastColumn="0" w:lastRowFirstColumn="0" w:lastRowLastColumn="0"/>
            </w:pPr>
            <w:r>
              <w:t>Only t</w:t>
            </w:r>
            <w:r w:rsidR="00B87129">
              <w:t xml:space="preserve">he </w:t>
            </w:r>
            <w:r w:rsidR="00FA324E">
              <w:t>R</w:t>
            </w:r>
            <w:r w:rsidR="00B87129">
              <w:t xml:space="preserve">oot </w:t>
            </w:r>
            <w:r w:rsidR="00FA324E">
              <w:t xml:space="preserve">Part </w:t>
            </w:r>
            <w:r w:rsidR="00B87129">
              <w:t>is defined by a Peppol BIS</w:t>
            </w:r>
            <w:r w:rsidR="009E16A3">
              <w:t xml:space="preserve"> </w:t>
            </w:r>
            <w:r w:rsidR="00DB58DA">
              <w:t xml:space="preserve">(see </w:t>
            </w:r>
            <w:r w:rsidR="00C82A37">
              <w:t>s</w:t>
            </w:r>
            <w:r w:rsidR="009E16A3">
              <w:t xml:space="preserve">ection </w:t>
            </w:r>
            <w:r w:rsidR="00C82A37">
              <w:fldChar w:fldCharType="begin"/>
            </w:r>
            <w:r w:rsidR="00C82A37">
              <w:instrText xml:space="preserve"> REF _Ref52228921 \r \h </w:instrText>
            </w:r>
            <w:r w:rsidR="00C82A37">
              <w:fldChar w:fldCharType="separate"/>
            </w:r>
            <w:r w:rsidR="00EA0922">
              <w:t>5.1.2</w:t>
            </w:r>
            <w:r w:rsidR="00C82A37">
              <w:fldChar w:fldCharType="end"/>
            </w:r>
            <w:r w:rsidR="009E16A3">
              <w:t xml:space="preserve"> for details)</w:t>
            </w:r>
          </w:p>
        </w:tc>
      </w:tr>
      <w:tr w:rsidR="009E16A3" w14:paraId="13DDFD16" w14:textId="77777777" w:rsidTr="009E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47AC2" w14:textId="77777777" w:rsidR="00A87F2B" w:rsidRDefault="005A6A51" w:rsidP="00FD0153">
            <w:r>
              <w:t>Receiver announces in SMP</w:t>
            </w:r>
          </w:p>
        </w:tc>
        <w:tc>
          <w:tcPr>
            <w:tcW w:w="2384" w:type="dxa"/>
          </w:tcPr>
          <w:p w14:paraId="5DD6248A" w14:textId="77777777" w:rsidR="00A87F2B" w:rsidRDefault="005A6A51" w:rsidP="00FD0153">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7B44A795" w14:textId="77777777" w:rsidR="00A87F2B" w:rsidRDefault="005A6A51" w:rsidP="005A6A51">
            <w:pPr>
              <w:cnfStyle w:val="000000100000" w:firstRow="0" w:lastRow="0" w:firstColumn="0" w:lastColumn="0" w:oddVBand="0" w:evenVBand="0" w:oddHBand="1" w:evenHBand="0" w:firstRowFirstColumn="0" w:firstRowLastColumn="0" w:lastRowFirstColumn="0" w:lastRowLastColumn="0"/>
            </w:pPr>
            <w:r>
              <w:t>The generic Document Type Identifier</w:t>
            </w:r>
          </w:p>
        </w:tc>
      </w:tr>
      <w:tr w:rsidR="009E16A3" w14:paraId="73E00939" w14:textId="77777777" w:rsidTr="009E16A3">
        <w:tc>
          <w:tcPr>
            <w:cnfStyle w:val="001000000000" w:firstRow="0" w:lastRow="0" w:firstColumn="1" w:lastColumn="0" w:oddVBand="0" w:evenVBand="0" w:oddHBand="0" w:evenHBand="0" w:firstRowFirstColumn="0" w:firstRowLastColumn="0" w:lastRowFirstColumn="0" w:lastRowLastColumn="0"/>
            <w:tcW w:w="0" w:type="auto"/>
          </w:tcPr>
          <w:p w14:paraId="4642F581" w14:textId="77777777" w:rsidR="007B59EE" w:rsidRDefault="007B59EE" w:rsidP="00BC2C94">
            <w:r>
              <w:t>Sender document type matching</w:t>
            </w:r>
          </w:p>
        </w:tc>
        <w:tc>
          <w:tcPr>
            <w:tcW w:w="2384" w:type="dxa"/>
          </w:tcPr>
          <w:p w14:paraId="11D13EC4" w14:textId="77777777" w:rsidR="007B59EE" w:rsidRDefault="007B59EE" w:rsidP="00BC2C94">
            <w:pPr>
              <w:cnfStyle w:val="000000000000" w:firstRow="0" w:lastRow="0" w:firstColumn="0" w:lastColumn="0" w:oddVBand="0" w:evenVBand="0" w:oddHBand="0" w:evenHBand="0" w:firstRowFirstColumn="0" w:firstRowLastColumn="0" w:lastRowFirstColumn="0" w:lastRowLastColumn="0"/>
            </w:pPr>
            <w:r>
              <w:t>Exact matches only</w:t>
            </w:r>
          </w:p>
        </w:tc>
        <w:tc>
          <w:tcPr>
            <w:tcW w:w="3968" w:type="dxa"/>
          </w:tcPr>
          <w:p w14:paraId="2361A412" w14:textId="77777777" w:rsidR="007B59EE" w:rsidRDefault="007B59EE" w:rsidP="00BC2C94">
            <w:pPr>
              <w:cnfStyle w:val="000000000000" w:firstRow="0" w:lastRow="0" w:firstColumn="0" w:lastColumn="0" w:oddVBand="0" w:evenVBand="0" w:oddHBand="0" w:evenHBand="0" w:firstRowFirstColumn="0" w:firstRowLastColumn="0" w:lastRowFirstColumn="0" w:lastRowLastColumn="0"/>
            </w:pPr>
            <w:r>
              <w:t>Wildcard matching</w:t>
            </w:r>
          </w:p>
        </w:tc>
      </w:tr>
      <w:tr w:rsidR="009E16A3" w14:paraId="2A1B19A2" w14:textId="77777777" w:rsidTr="009E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EC2DE" w14:textId="77777777" w:rsidR="006F4251" w:rsidRDefault="006F4251" w:rsidP="00FD0928">
            <w:r>
              <w:t xml:space="preserve">Sender provides in </w:t>
            </w:r>
            <w:r w:rsidR="00FD0928">
              <w:t>Envelope and</w:t>
            </w:r>
            <w:r w:rsidR="00FD0928">
              <w:br/>
              <w:t>Receiver receives in Envelope</w:t>
            </w:r>
          </w:p>
        </w:tc>
        <w:tc>
          <w:tcPr>
            <w:tcW w:w="2384" w:type="dxa"/>
          </w:tcPr>
          <w:p w14:paraId="3B16C5E5" w14:textId="77777777" w:rsidR="006F4251" w:rsidRDefault="006F4251" w:rsidP="006F4251">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73B2B6C8" w14:textId="77777777" w:rsidR="006F4251" w:rsidRDefault="006F4251" w:rsidP="006F4251">
            <w:pPr>
              <w:cnfStyle w:val="000000100000" w:firstRow="0" w:lastRow="0" w:firstColumn="0" w:lastColumn="0" w:oddVBand="0" w:evenVBand="0" w:oddHBand="1" w:evenHBand="0" w:firstRowFirstColumn="0" w:firstRowLastColumn="0" w:lastRowFirstColumn="0" w:lastRowLastColumn="0"/>
            </w:pPr>
            <w:r>
              <w:t>Full Document Type Identifier</w:t>
            </w:r>
          </w:p>
        </w:tc>
      </w:tr>
    </w:tbl>
    <w:p w14:paraId="6CB322CE" w14:textId="77777777" w:rsidR="00A27C15" w:rsidRDefault="00A27C15" w:rsidP="00A27C15">
      <w:pPr>
        <w:pStyle w:val="PolicyHeader"/>
      </w:pPr>
      <w:bookmarkStart w:id="90" w:name="_Ref52225115"/>
      <w:bookmarkStart w:id="91" w:name="_Ref52229230"/>
      <w:bookmarkStart w:id="92" w:name="_Toc54986015"/>
      <w:r>
        <w:t>Document Type Identifier Scheme</w:t>
      </w:r>
      <w:bookmarkEnd w:id="90"/>
      <w:bookmarkEnd w:id="91"/>
      <w:bookmarkEnd w:id="92"/>
    </w:p>
    <w:p w14:paraId="2F4B3990" w14:textId="77777777" w:rsidR="00A27C15" w:rsidRDefault="00A27C15" w:rsidP="00A27C15">
      <w:pPr>
        <w:pStyle w:val="Policy"/>
      </w:pPr>
      <w:r>
        <w:t>The Peppol Document Type Identifier Scheme to be used MUST be one of</w:t>
      </w:r>
      <w:r w:rsidR="009E16A3">
        <w:t xml:space="preserve"> the following</w:t>
      </w:r>
      <w:r>
        <w:t>:</w:t>
      </w:r>
    </w:p>
    <w:p w14:paraId="73EC258C" w14:textId="77777777" w:rsidR="00A27C15" w:rsidRDefault="00A27C15" w:rsidP="00A27C15">
      <w:pPr>
        <w:pStyle w:val="Inlinecode"/>
      </w:pPr>
      <w:r w:rsidRPr="002905A7">
        <w:t>busdox-docid-qns</w:t>
      </w:r>
    </w:p>
    <w:p w14:paraId="45695CB4" w14:textId="77777777" w:rsidR="00A27C15" w:rsidRPr="002905A7" w:rsidRDefault="00A27C15" w:rsidP="00A27C15">
      <w:pPr>
        <w:pStyle w:val="Inlinecode"/>
      </w:pPr>
      <w:r>
        <w:t>peppol-doctype-wildcard</w:t>
      </w:r>
    </w:p>
    <w:p w14:paraId="76162E25" w14:textId="77777777" w:rsidR="00A27C15" w:rsidRDefault="00A27C15" w:rsidP="00A27C15">
      <w:r>
        <w:lastRenderedPageBreak/>
        <w:t>Applies to: all Document Type Identifiers in all components</w:t>
      </w:r>
    </w:p>
    <w:p w14:paraId="4BF52997" w14:textId="77777777" w:rsidR="00A27C15" w:rsidRDefault="00A27C15" w:rsidP="00A27C15">
      <w:r>
        <w:t xml:space="preserve">Note: </w:t>
      </w:r>
      <w:r w:rsidR="009E16A3">
        <w:t>the document type</w:t>
      </w:r>
      <w:r w:rsidR="002A4DAF">
        <w:t xml:space="preserve"> identifier scheme names</w:t>
      </w:r>
      <w:r w:rsidR="009E16A3">
        <w:t xml:space="preserve"> are </w:t>
      </w:r>
      <w:r>
        <w:t>case sensitive</w:t>
      </w:r>
      <w:r w:rsidR="00047F4E">
        <w:t>.</w:t>
      </w:r>
    </w:p>
    <w:p w14:paraId="17497248" w14:textId="77777777" w:rsidR="004C78B3" w:rsidRDefault="00A27C15">
      <w:pPr>
        <w:pStyle w:val="berschrift2"/>
      </w:pPr>
      <w:bookmarkStart w:id="93" w:name="_Ref54874187"/>
      <w:bookmarkStart w:id="94" w:name="_Toc54986016"/>
      <w:r>
        <w:t>Document Type Identifier Values</w:t>
      </w:r>
      <w:bookmarkEnd w:id="93"/>
      <w:bookmarkEnd w:id="94"/>
    </w:p>
    <w:p w14:paraId="77B1E143" w14:textId="77777777" w:rsidR="00FD0153" w:rsidRPr="001F4312" w:rsidRDefault="00FD0153" w:rsidP="00FD0153">
      <w:r w:rsidRPr="001F4312">
        <w:t>The identifier format is an aggregated format that covers the following identifier concepts:</w:t>
      </w:r>
    </w:p>
    <w:p w14:paraId="7E1BAE83" w14:textId="057453AC" w:rsidR="004C78B3" w:rsidRDefault="0060323D">
      <w:pPr>
        <w:pStyle w:val="Listenabsatz"/>
        <w:numPr>
          <w:ilvl w:val="0"/>
          <w:numId w:val="13"/>
        </w:numPr>
      </w:pPr>
      <w:r w:rsidRPr="006E5CAE">
        <w:rPr>
          <w:b/>
        </w:rPr>
        <w:t xml:space="preserve">Syntax </w:t>
      </w:r>
      <w:r w:rsidR="00575459">
        <w:rPr>
          <w:b/>
        </w:rPr>
        <w:t>S</w:t>
      </w:r>
      <w:r w:rsidRPr="006E5CAE">
        <w:rPr>
          <w:b/>
        </w:rPr>
        <w:t>pecific</w:t>
      </w:r>
      <w:r w:rsidR="00A45B69" w:rsidRPr="006E5CAE">
        <w:rPr>
          <w:b/>
        </w:rPr>
        <w:t xml:space="preserve"> Identifier</w:t>
      </w:r>
      <w:r w:rsidR="00A45B69" w:rsidRPr="00A45B69">
        <w:t>:</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14:paraId="0702DC71" w14:textId="77777777" w:rsidR="004C78B3" w:rsidRDefault="00FD0153">
      <w:pPr>
        <w:pStyle w:val="Listenabsatz"/>
        <w:numPr>
          <w:ilvl w:val="0"/>
          <w:numId w:val="13"/>
        </w:numPr>
      </w:pPr>
      <w:r w:rsidRPr="006E5CAE">
        <w:rPr>
          <w:b/>
        </w:rPr>
        <w:t>Customization Identifier</w:t>
      </w:r>
      <w:r w:rsidRPr="00A45B69">
        <w:t>:</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115A30">
        <w:t>Peppol</w:t>
      </w:r>
      <w:r w:rsidR="00873CA0">
        <w:t xml:space="preserve"> </w:t>
      </w:r>
      <w:r w:rsidR="001D03EA" w:rsidRPr="00A45B69">
        <w:t xml:space="preserve">requirements </w:t>
      </w:r>
      <w:r w:rsidR="005E7875" w:rsidRPr="00A45B69">
        <w:t xml:space="preserve">are documented in </w:t>
      </w:r>
      <w:r w:rsidR="00115A30">
        <w:t>Peppol</w:t>
      </w:r>
      <w:r w:rsidR="005E7875" w:rsidRPr="00A45B69">
        <w:t xml:space="preserve">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sidRPr="006E5CAE">
        <w:rPr>
          <w:iCs/>
        </w:rPr>
        <w:t>[</w:t>
      </w:r>
      <w:r w:rsidR="00115A30" w:rsidRPr="006E5CAE">
        <w:rPr>
          <w:iCs/>
        </w:rPr>
        <w:t>Peppol</w:t>
      </w:r>
      <w:r w:rsidR="00F03CDF" w:rsidRPr="006E5CAE">
        <w:rPr>
          <w:iCs/>
        </w:rPr>
        <w:t>_PostAward]</w:t>
      </w:r>
      <w:r w:rsidR="00F03CDF" w:rsidRPr="00A45B69">
        <w:t xml:space="preserve"> </w:t>
      </w:r>
      <w:r w:rsidR="00F03CDF">
        <w:t>for details.</w:t>
      </w:r>
    </w:p>
    <w:p w14:paraId="13CF907A" w14:textId="77777777" w:rsidR="004C78B3" w:rsidRDefault="00A45B69">
      <w:pPr>
        <w:pStyle w:val="Listenabsatz"/>
        <w:numPr>
          <w:ilvl w:val="0"/>
          <w:numId w:val="13"/>
        </w:numPr>
      </w:pPr>
      <w:r w:rsidRPr="006E5CAE">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14:paraId="1CE65F5B" w14:textId="77777777" w:rsidR="00C764EF" w:rsidRDefault="00C764EF" w:rsidP="0052698A">
      <w:pPr>
        <w:pStyle w:val="PolicyHeader"/>
      </w:pPr>
      <w:bookmarkStart w:id="95" w:name="_Toc52224970"/>
      <w:bookmarkStart w:id="96" w:name="_Toc52225089"/>
      <w:bookmarkStart w:id="97" w:name="_Toc52229887"/>
      <w:bookmarkStart w:id="98" w:name="_Toc52224971"/>
      <w:bookmarkStart w:id="99" w:name="_Toc52225090"/>
      <w:bookmarkStart w:id="100" w:name="_Toc52229888"/>
      <w:bookmarkStart w:id="101" w:name="_Toc52224972"/>
      <w:bookmarkStart w:id="102" w:name="_Toc52225091"/>
      <w:bookmarkStart w:id="103" w:name="_Toc52229889"/>
      <w:bookmarkStart w:id="104" w:name="_Toc52224973"/>
      <w:bookmarkStart w:id="105" w:name="_Toc52225092"/>
      <w:bookmarkStart w:id="106" w:name="_Toc52229890"/>
      <w:bookmarkStart w:id="107" w:name="_Toc52224974"/>
      <w:bookmarkStart w:id="108" w:name="_Toc52225093"/>
      <w:bookmarkStart w:id="109" w:name="_Toc52229891"/>
      <w:bookmarkStart w:id="110" w:name="_Toc52224975"/>
      <w:bookmarkStart w:id="111" w:name="_Toc52225094"/>
      <w:bookmarkStart w:id="112" w:name="_Toc52229892"/>
      <w:bookmarkStart w:id="113" w:name="_Ref281927265"/>
      <w:bookmarkStart w:id="114" w:name="_Ref317443814"/>
      <w:bookmarkStart w:id="115" w:name="_Toc54986017"/>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1638EE">
        <w:t>Customization Identifiers</w:t>
      </w:r>
      <w:bookmarkEnd w:id="113"/>
      <w:bookmarkEnd w:id="114"/>
      <w:bookmarkEnd w:id="115"/>
    </w:p>
    <w:p w14:paraId="4CE4E107" w14:textId="77777777" w:rsidR="004C78B3" w:rsidRDefault="00E17817">
      <w:pPr>
        <w:pStyle w:val="Policy"/>
      </w:pPr>
      <w:r>
        <w:t>For “busdox-docid-qns”:</w:t>
      </w:r>
    </w:p>
    <w:p w14:paraId="0399A183" w14:textId="77777777" w:rsidR="00385C5B" w:rsidRDefault="003510EC" w:rsidP="001638EE">
      <w:pPr>
        <w:pStyle w:val="Policy"/>
      </w:pPr>
      <w:r w:rsidRPr="003510EC">
        <w:t xml:space="preserve">The Customization Identifier is defined in the relevant </w:t>
      </w:r>
      <w:r w:rsidR="00115A30">
        <w:t>Peppol</w:t>
      </w:r>
      <w:r w:rsidRPr="003510EC">
        <w:t xml:space="preserve"> BIS specification.</w:t>
      </w:r>
    </w:p>
    <w:p w14:paraId="37D5DB82" w14:textId="223FD00F" w:rsidR="003510EC" w:rsidRDefault="00385C5B" w:rsidP="001638EE">
      <w:pPr>
        <w:pStyle w:val="Policy"/>
      </w:pPr>
      <w:r>
        <w:t xml:space="preserve">A Customization Identifier MUST NOT contain </w:t>
      </w:r>
      <w:r w:rsidR="004522B5">
        <w:t>“*”</w:t>
      </w:r>
      <w:r w:rsidR="00D21F90">
        <w:t xml:space="preserve"> (ASCII 42)</w:t>
      </w:r>
      <w:r w:rsidR="004522B5">
        <w:t xml:space="preserve"> or </w:t>
      </w:r>
      <w:r>
        <w:t>whitespace characters</w:t>
      </w:r>
      <w:r w:rsidR="00D21F90">
        <w:t xml:space="preserve"> (ASCII 9, 10, 11, 12, 13, 32, 133, 160)</w:t>
      </w:r>
      <w:r>
        <w:t>.</w:t>
      </w:r>
    </w:p>
    <w:p w14:paraId="2252D78E" w14:textId="77777777"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r w:rsidR="00E17817">
        <w:t xml:space="preserve"> using the “busdox-docid-qns” Document Type Identifier Scheme.</w:t>
      </w:r>
    </w:p>
    <w:p w14:paraId="5F242772" w14:textId="77777777" w:rsidR="004C78B3" w:rsidRDefault="00307224">
      <w:pPr>
        <w:pStyle w:val="ExampleHeader"/>
      </w:pPr>
      <w:r w:rsidRPr="003F6527">
        <w:t>Example</w:t>
      </w:r>
      <w:r>
        <w:t xml:space="preserve"> 1 (from </w:t>
      </w:r>
      <w:r w:rsidR="00454A55">
        <w:t>Billing</w:t>
      </w:r>
      <w:r>
        <w:t xml:space="preserve"> BIS v</w:t>
      </w:r>
      <w:r w:rsidR="00454A55">
        <w:t>3</w:t>
      </w:r>
      <w:r>
        <w:t>)</w:t>
      </w:r>
      <w:r w:rsidR="004E0D0E">
        <w:t>:</w:t>
      </w:r>
    </w:p>
    <w:p w14:paraId="090A177C" w14:textId="77777777" w:rsidR="00307224" w:rsidRPr="003E3C6D" w:rsidRDefault="00454A55" w:rsidP="00F21AB3">
      <w:pPr>
        <w:pStyle w:val="Code"/>
        <w:shd w:val="clear" w:color="auto" w:fill="FFFFFF"/>
        <w:ind w:left="567"/>
      </w:pPr>
      <w:r w:rsidRPr="00454A55">
        <w:t>urn:cen.eu:en16931:2017#compliant#urn:fdc:peppol.eu:2017:poacc:billing:3.0</w:t>
      </w:r>
    </w:p>
    <w:p w14:paraId="6333A611" w14:textId="77777777" w:rsidR="004C78B3" w:rsidRDefault="00900A19">
      <w:pPr>
        <w:pStyle w:val="ExampleHeader"/>
      </w:pPr>
      <w:r w:rsidRPr="003F6527">
        <w:t>E</w:t>
      </w:r>
      <w:r w:rsidR="00C764EF" w:rsidRPr="003F6527">
        <w:t>xample</w:t>
      </w:r>
      <w:r w:rsidR="00307224">
        <w:t xml:space="preserve"> 2</w:t>
      </w:r>
      <w:r w:rsidR="00307224" w:rsidRPr="00307224">
        <w:t xml:space="preserve"> </w:t>
      </w:r>
      <w:r w:rsidR="00307224">
        <w:t>(from Order BIS v2)</w:t>
      </w:r>
      <w:r w:rsidR="004E0D0E">
        <w:t>:</w:t>
      </w:r>
    </w:p>
    <w:p w14:paraId="4F76D8F4" w14:textId="77777777" w:rsid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14:paraId="1D6DEF5F" w14:textId="77777777" w:rsidR="004C78B3" w:rsidRDefault="00FE4F97">
      <w:pPr>
        <w:pStyle w:val="Policy"/>
      </w:pPr>
      <w:r>
        <w:t>For “peppol-doctype-wildcard”:</w:t>
      </w:r>
    </w:p>
    <w:p w14:paraId="1D84C41D" w14:textId="5B11B879" w:rsidR="004C78B3" w:rsidRDefault="00FE4F97">
      <w:pPr>
        <w:pStyle w:val="Policy"/>
      </w:pPr>
      <w:r>
        <w:t xml:space="preserve">The Customization Identifier is assembled from the </w:t>
      </w:r>
      <w:r w:rsidR="00C37BC1">
        <w:t>“</w:t>
      </w:r>
      <w:r>
        <w:t>Scheme Parts</w:t>
      </w:r>
      <w:r w:rsidR="00C37BC1">
        <w:t>”</w:t>
      </w:r>
      <w:r>
        <w:t xml:space="preserve"> and the separator “#compliant” as </w:t>
      </w:r>
      <w:r w:rsidR="00C37BC1">
        <w:t>described</w:t>
      </w:r>
      <w:r>
        <w:t xml:space="preserve"> in chapter </w:t>
      </w:r>
      <w:r w:rsidR="00554D27">
        <w:fldChar w:fldCharType="begin"/>
      </w:r>
      <w:r>
        <w:instrText xml:space="preserve"> REF _Ref52228921 \r \h </w:instrText>
      </w:r>
      <w:r w:rsidR="00554D27">
        <w:fldChar w:fldCharType="separate"/>
      </w:r>
      <w:r w:rsidR="00EA0922">
        <w:t>5.1.2</w:t>
      </w:r>
      <w:r w:rsidR="00554D27">
        <w:fldChar w:fldCharType="end"/>
      </w:r>
      <w:r>
        <w:t>.</w:t>
      </w:r>
    </w:p>
    <w:p w14:paraId="096453A5" w14:textId="6C33AD7F" w:rsidR="004C78B3" w:rsidRDefault="00C37BC1">
      <w:pPr>
        <w:pStyle w:val="Policy"/>
      </w:pPr>
      <w:r>
        <w:t xml:space="preserve">When used in SMP registrations, the “Wildcard Indicator” as described in chapter </w:t>
      </w:r>
      <w:r w:rsidR="00554D27">
        <w:fldChar w:fldCharType="begin"/>
      </w:r>
      <w:r>
        <w:instrText xml:space="preserve"> REF _Ref52229043 \r \h </w:instrText>
      </w:r>
      <w:r w:rsidR="00554D27">
        <w:fldChar w:fldCharType="separate"/>
      </w:r>
      <w:r w:rsidR="00EA0922">
        <w:t>5.1.2</w:t>
      </w:r>
      <w:r w:rsidR="00554D27">
        <w:fldChar w:fldCharType="end"/>
      </w:r>
      <w:r>
        <w:t xml:space="preserve"> MUST be present.</w:t>
      </w:r>
    </w:p>
    <w:p w14:paraId="68E9A2E0" w14:textId="77777777" w:rsidR="004C78B3" w:rsidRDefault="00FE4F97">
      <w:r>
        <w:t>Applies to: all Document Type Identifiers in all components using the “peppol-doctype-wildcard” Document Type Identifier Scheme.</w:t>
      </w:r>
    </w:p>
    <w:p w14:paraId="661A6595" w14:textId="77777777" w:rsidR="0072185B" w:rsidRPr="003F6527" w:rsidRDefault="0072185B" w:rsidP="0072185B">
      <w:pPr>
        <w:pStyle w:val="ExampleHeader"/>
      </w:pPr>
      <w:r w:rsidRPr="003F6527">
        <w:t>Example</w:t>
      </w:r>
      <w:r>
        <w:t xml:space="preserve"> 1 (used except for SMP registrations):</w:t>
      </w:r>
    </w:p>
    <w:p w14:paraId="1DB7E8C9" w14:textId="77777777" w:rsidR="0072185B" w:rsidRPr="00FE4F97" w:rsidRDefault="0072185B" w:rsidP="0072185B">
      <w:pPr>
        <w:pStyle w:val="Code"/>
        <w:shd w:val="clear" w:color="auto" w:fill="FFFFFF"/>
        <w:ind w:left="567"/>
      </w:pPr>
      <w:r>
        <w:t>a</w:t>
      </w:r>
      <w:r w:rsidRPr="00454A55">
        <w:t>#compliant#</w:t>
      </w:r>
      <w:r>
        <w:t>b</w:t>
      </w:r>
    </w:p>
    <w:p w14:paraId="336A30D3" w14:textId="77777777" w:rsidR="00C37BC1" w:rsidRPr="003F6527" w:rsidRDefault="00C37BC1" w:rsidP="00C37BC1">
      <w:pPr>
        <w:pStyle w:val="ExampleHeader"/>
      </w:pPr>
      <w:r w:rsidRPr="003F6527">
        <w:t>Example</w:t>
      </w:r>
      <w:r w:rsidR="0072185B">
        <w:t xml:space="preserve"> 2 (used for SMP registration</w:t>
      </w:r>
      <w:r w:rsidR="00B47020">
        <w:t>s</w:t>
      </w:r>
      <w:r w:rsidR="0072185B">
        <w:t>)</w:t>
      </w:r>
      <w:r>
        <w:t>:</w:t>
      </w:r>
    </w:p>
    <w:p w14:paraId="0BDFE546" w14:textId="77777777" w:rsidR="00C37BC1" w:rsidRPr="00FE4F97" w:rsidRDefault="00C37BC1" w:rsidP="00C37BC1">
      <w:pPr>
        <w:pStyle w:val="Code"/>
        <w:shd w:val="clear" w:color="auto" w:fill="FFFFFF"/>
        <w:ind w:left="567"/>
      </w:pPr>
      <w:r>
        <w:t>a</w:t>
      </w:r>
      <w:r w:rsidRPr="00454A55">
        <w:t>#compliant#</w:t>
      </w:r>
      <w:r>
        <w:t>b</w:t>
      </w:r>
      <w:r w:rsidR="0072185B">
        <w:t>*</w:t>
      </w:r>
    </w:p>
    <w:p w14:paraId="276B6102" w14:textId="77777777" w:rsidR="003831F2" w:rsidRPr="001407A3" w:rsidRDefault="003831F2" w:rsidP="001407A3">
      <w:pPr>
        <w:pStyle w:val="PolicyHeader"/>
      </w:pPr>
      <w:bookmarkStart w:id="116" w:name="_Ref281927294"/>
      <w:bookmarkStart w:id="117" w:name="_Toc54986018"/>
      <w:r w:rsidRPr="001407A3">
        <w:lastRenderedPageBreak/>
        <w:t>Specifying Customization Identifiers in UBL documents</w:t>
      </w:r>
      <w:bookmarkEnd w:id="116"/>
      <w:bookmarkEnd w:id="117"/>
    </w:p>
    <w:p w14:paraId="5D755481" w14:textId="77777777"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14:paraId="7937BD57" w14:textId="77777777"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w:t>
      </w:r>
      <w:r w:rsidR="00115A30">
        <w:t>Peppol</w:t>
      </w:r>
      <w:r>
        <w:t xml:space="preserve"> BIS with UBL syntax mapping</w:t>
      </w:r>
    </w:p>
    <w:p w14:paraId="6A67A2B2" w14:textId="77777777" w:rsidR="004C78B3" w:rsidRDefault="00900A19">
      <w:pPr>
        <w:pStyle w:val="ExampleHeader"/>
      </w:pPr>
      <w:r w:rsidRPr="003F6527">
        <w:t>E</w:t>
      </w:r>
      <w:r w:rsidR="003831F2" w:rsidRPr="003F6527">
        <w:t>xample</w:t>
      </w:r>
      <w:r w:rsidR="00385C5B">
        <w:t xml:space="preserve"> (from Billing BIS v3)</w:t>
      </w:r>
      <w:r w:rsidR="003831F2" w:rsidRPr="003F6527">
        <w:t>:</w:t>
      </w:r>
    </w:p>
    <w:p w14:paraId="24D97CAE" w14:textId="77777777" w:rsidR="002362F2" w:rsidRPr="001407A3" w:rsidRDefault="002362F2" w:rsidP="003F6527">
      <w:pPr>
        <w:pStyle w:val="Code"/>
        <w:shd w:val="clear" w:color="auto" w:fill="FFFFFF"/>
        <w:ind w:left="567"/>
      </w:pPr>
      <w:r w:rsidRPr="001407A3">
        <w:t>&lt;cbc:CustomizationID</w:t>
      </w:r>
      <w:r>
        <w:t>&gt;</w:t>
      </w:r>
      <w:r w:rsidR="008B6927" w:rsidRPr="00454A55">
        <w:t>urn:cen.eu:en16931:2017#compliant#urn:fdc:peppol.eu:2017:poacc:billing:3.0</w:t>
      </w:r>
      <w:r w:rsidRPr="001407A3">
        <w:t>&lt;/cbc:CustomizationID&gt;</w:t>
      </w:r>
    </w:p>
    <w:p w14:paraId="4690D5E9" w14:textId="77777777" w:rsidR="00070363" w:rsidRDefault="00070363" w:rsidP="001407A3">
      <w:pPr>
        <w:pStyle w:val="PolicyHeader"/>
      </w:pPr>
      <w:bookmarkStart w:id="118" w:name="_Toc54986019"/>
      <w:r>
        <w:t>Specifying Customization Identifiers in CII Documents</w:t>
      </w:r>
      <w:bookmarkEnd w:id="118"/>
    </w:p>
    <w:p w14:paraId="3D6B160C" w14:textId="77777777"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14:paraId="5039B25C" w14:textId="77777777" w:rsidR="00036305" w:rsidRDefault="00662461" w:rsidP="00036305">
      <w:r>
        <w:t xml:space="preserve">Applies to: all business documents used in a </w:t>
      </w:r>
      <w:r w:rsidR="00115A30">
        <w:t>Peppol</w:t>
      </w:r>
      <w:r>
        <w:t xml:space="preserve"> BIS with CII syntax mapping</w:t>
      </w:r>
    </w:p>
    <w:p w14:paraId="507C51C2" w14:textId="77777777" w:rsidR="004C78B3" w:rsidRDefault="00070363">
      <w:pPr>
        <w:pStyle w:val="ExampleHeader"/>
      </w:pPr>
      <w:r>
        <w:t>CII e</w:t>
      </w:r>
      <w:r w:rsidRPr="003F6527">
        <w:t>xample</w:t>
      </w:r>
      <w:r>
        <w:t xml:space="preserve"> (from Billing BIS v3)</w:t>
      </w:r>
      <w:r w:rsidRPr="003F6527">
        <w:t>:</w:t>
      </w:r>
    </w:p>
    <w:p w14:paraId="4C594D40" w14:textId="77777777" w:rsidR="008D2559" w:rsidRDefault="00036305">
      <w:pPr>
        <w:pStyle w:val="Code"/>
        <w:shd w:val="clear" w:color="auto" w:fill="FFFFFF"/>
        <w:ind w:left="567"/>
        <w:rPr>
          <w:highlight w:val="white"/>
        </w:rPr>
      </w:pPr>
      <w:r w:rsidRPr="00036305">
        <w:rPr>
          <w:highlight w:val="white"/>
        </w:rPr>
        <w:t>&lt;rsm:ExchangedDocumentContext&gt;</w:t>
      </w:r>
    </w:p>
    <w:p w14:paraId="18F57EEC" w14:textId="77777777"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14:paraId="1D12E214" w14:textId="77777777" w:rsidR="008D2559" w:rsidRDefault="00036305">
      <w:pPr>
        <w:pStyle w:val="Code"/>
        <w:shd w:val="clear" w:color="auto" w:fill="FFFFFF"/>
        <w:ind w:left="567"/>
        <w:rPr>
          <w:highlight w:val="white"/>
        </w:rPr>
      </w:pPr>
      <w:r w:rsidRPr="00036305">
        <w:rPr>
          <w:highlight w:val="white"/>
        </w:rPr>
        <w:t xml:space="preserve">    &lt;ram:ID&gt;</w:t>
      </w:r>
    </w:p>
    <w:p w14:paraId="7877D189" w14:textId="77777777" w:rsidR="008D2559" w:rsidRDefault="00036305">
      <w:pPr>
        <w:pStyle w:val="Code"/>
        <w:shd w:val="clear" w:color="auto" w:fill="FFFFFF"/>
        <w:ind w:left="567"/>
        <w:rPr>
          <w:highlight w:val="white"/>
        </w:rPr>
      </w:pPr>
      <w:r w:rsidRPr="00036305">
        <w:rPr>
          <w:highlight w:val="white"/>
        </w:rPr>
        <w:t>urn:cen.eu:en16931:2017#compliant#urn:fdc:peppol.eu:2017:poacc:billing:3.0</w:t>
      </w:r>
    </w:p>
    <w:p w14:paraId="27AE5E6C" w14:textId="77777777" w:rsidR="008D2559" w:rsidRDefault="00036305">
      <w:pPr>
        <w:pStyle w:val="Code"/>
        <w:shd w:val="clear" w:color="auto" w:fill="FFFFFF"/>
        <w:ind w:left="567"/>
        <w:rPr>
          <w:highlight w:val="white"/>
        </w:rPr>
      </w:pPr>
      <w:r w:rsidRPr="00036305">
        <w:rPr>
          <w:highlight w:val="white"/>
        </w:rPr>
        <w:t xml:space="preserve">    &lt;/ram:ID&gt;</w:t>
      </w:r>
    </w:p>
    <w:p w14:paraId="67690D34" w14:textId="77777777"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14:paraId="442C7808" w14:textId="77777777" w:rsidR="00036305" w:rsidRPr="00036305" w:rsidRDefault="00036305" w:rsidP="00036305">
      <w:pPr>
        <w:pStyle w:val="Code"/>
        <w:shd w:val="clear" w:color="auto" w:fill="FFFFFF"/>
        <w:ind w:left="567"/>
        <w:rPr>
          <w:lang w:val="en-US"/>
        </w:rPr>
      </w:pPr>
      <w:r w:rsidRPr="00036305">
        <w:rPr>
          <w:highlight w:val="white"/>
        </w:rPr>
        <w:t>&lt;/rsm:ExchangedDocumentContext&gt;</w:t>
      </w:r>
    </w:p>
    <w:p w14:paraId="79059335" w14:textId="77777777" w:rsidR="00FD0153" w:rsidRPr="001407A3" w:rsidRDefault="00D326D2" w:rsidP="001407A3">
      <w:pPr>
        <w:pStyle w:val="PolicyHeader"/>
      </w:pPr>
      <w:bookmarkStart w:id="119" w:name="_Ref52221709"/>
      <w:bookmarkStart w:id="120" w:name="_Toc54986020"/>
      <w:r w:rsidRPr="001407A3">
        <w:t xml:space="preserve">Document </w:t>
      </w:r>
      <w:r w:rsidR="00235DA3">
        <w:t xml:space="preserve">Type </w:t>
      </w:r>
      <w:r w:rsidRPr="001407A3">
        <w:t>Identifier</w:t>
      </w:r>
      <w:r w:rsidR="00827B5A">
        <w:t xml:space="preserve"> Value </w:t>
      </w:r>
      <w:r w:rsidR="002D08B0">
        <w:t>pattern</w:t>
      </w:r>
      <w:bookmarkEnd w:id="119"/>
      <w:bookmarkEnd w:id="120"/>
    </w:p>
    <w:p w14:paraId="65ED6352" w14:textId="77777777"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14:paraId="5F081F6C" w14:textId="77777777" w:rsidR="002008EA" w:rsidRDefault="002008EA" w:rsidP="006D1F48">
      <w:pPr>
        <w:pStyle w:val="Inlinecode"/>
      </w:pPr>
      <w:r w:rsidRPr="006D1F48">
        <w:t>&lt;</w:t>
      </w:r>
      <w:r>
        <w:t>syntax specific id</w:t>
      </w:r>
      <w:r w:rsidRPr="006D1F48">
        <w:t>&gt;##&lt;customization id&gt;::&lt;version&gt;</w:t>
      </w:r>
    </w:p>
    <w:p w14:paraId="55AA5BE2" w14:textId="77777777"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14:paraId="0393CB4A" w14:textId="77777777"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14:paraId="57EA95B8" w14:textId="77777777"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14:paraId="5D7EAAC1" w14:textId="77777777"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14:paraId="5F699211" w14:textId="77777777" w:rsidR="00E21769" w:rsidRDefault="00026841" w:rsidP="00DA409B">
      <w:r>
        <w:t>Everything between</w:t>
      </w:r>
      <w:r w:rsidR="00E21769" w:rsidRPr="00E21769">
        <w:t xml:space="preserve"> </w:t>
      </w:r>
      <w:r>
        <w:t>”</w:t>
      </w:r>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14:paraId="70157BDA" w14:textId="77777777"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14:paraId="033D46B2" w14:textId="77777777" w:rsidR="008D2559" w:rsidRDefault="00036305">
      <w:pPr>
        <w:pStyle w:val="Code"/>
      </w:pPr>
      <w:r w:rsidRPr="00036305">
        <w:t>&lt;</w:t>
      </w:r>
      <w:r w:rsidR="005C7F60">
        <w:t>document</w:t>
      </w:r>
      <w:r w:rsidRPr="00036305">
        <w:t xml:space="preserve"> element namespace URI&gt;::&lt;document element local name&gt;</w:t>
      </w:r>
    </w:p>
    <w:p w14:paraId="4521BA50" w14:textId="16688031" w:rsidR="00771302" w:rsidRDefault="00771302" w:rsidP="00DA409B">
      <w:r>
        <w:t>The syntax specific id MUST NOT contain the “##” character sequence.</w:t>
      </w:r>
    </w:p>
    <w:p w14:paraId="60CDCEBD" w14:textId="164ED2CE"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FA074B">
        <w:t>C</w:t>
      </w:r>
      <w:r w:rsidR="001457FF">
        <w:t>u</w:t>
      </w:r>
      <w:r w:rsidR="002008EA">
        <w:t xml:space="preserve">stomization ID and </w:t>
      </w:r>
      <w:r w:rsidR="00771302">
        <w:t>V</w:t>
      </w:r>
      <w:r w:rsidR="002008EA">
        <w:t>ersion.</w:t>
      </w:r>
      <w:r w:rsidR="00771302">
        <w:t xml:space="preserve"> The Version MUST NOT contain the “::” character sequence.</w:t>
      </w:r>
    </w:p>
    <w:p w14:paraId="52810BB8" w14:textId="77777777" w:rsidR="00E21769" w:rsidRDefault="00E21769" w:rsidP="00DA409B">
      <w:r>
        <w:t>Therefore, the final structure of the pattern is:</w:t>
      </w:r>
    </w:p>
    <w:p w14:paraId="3BAB6145" w14:textId="77777777" w:rsidR="00036305" w:rsidRDefault="00E21769" w:rsidP="00036305">
      <w:pPr>
        <w:pStyle w:val="Code"/>
      </w:pPr>
      <w:r w:rsidRPr="006D1F48">
        <w:t>&lt;</w:t>
      </w:r>
      <w:r>
        <w:t>syntax specific id</w:t>
      </w:r>
      <w:r w:rsidRPr="006D1F48">
        <w:t>&gt;##&lt;customization id&gt;::&lt;version&gt;</w:t>
      </w:r>
    </w:p>
    <w:p w14:paraId="11A13F7F" w14:textId="3044D601" w:rsidR="00771302" w:rsidRDefault="00771302" w:rsidP="00DA409B">
      <w:r>
        <w:t>To extract the Customization ID from a Document Type Identifier value, take everything after the first “##” until, but excluding, the last “::”, as a Customization ID may contain “::”  as well as “##” character sequences.</w:t>
      </w:r>
    </w:p>
    <w:p w14:paraId="38BF5C39" w14:textId="60E02A53" w:rsidR="002008EA" w:rsidRDefault="00E22DB5" w:rsidP="00DA409B">
      <w:r w:rsidRPr="00E22DB5">
        <w:lastRenderedPageBreak/>
        <w:t xml:space="preserve">When representing </w:t>
      </w:r>
      <w:r w:rsidR="00771302">
        <w:t>D</w:t>
      </w:r>
      <w:r w:rsidRPr="00E22DB5">
        <w:t xml:space="preserve">ocument </w:t>
      </w:r>
      <w:r w:rsidR="00771302">
        <w:t>T</w:t>
      </w:r>
      <w:r>
        <w:t xml:space="preserve">ype </w:t>
      </w:r>
      <w:r w:rsidR="00771302">
        <w:t>I</w:t>
      </w:r>
      <w:r w:rsidRPr="00E22DB5">
        <w:t xml:space="preserve">dentifiers in URLs, the </w:t>
      </w:r>
      <w:r w:rsidR="007872CC">
        <w:t>D</w:t>
      </w:r>
      <w:r w:rsidRPr="00E22DB5">
        <w:t xml:space="preserve">ocument </w:t>
      </w:r>
      <w:r w:rsidR="007872CC">
        <w:t>Type I</w:t>
      </w:r>
      <w:r w:rsidRPr="00E22DB5">
        <w:t xml:space="preserve">dentifier itself will be prefixed with the </w:t>
      </w:r>
      <w:r w:rsidR="007872CC">
        <w:t>S</w:t>
      </w:r>
      <w:r w:rsidRPr="00E22DB5">
        <w:t xml:space="preserve">cheme </w:t>
      </w:r>
      <w:r w:rsidR="007872CC">
        <w:t>I</w:t>
      </w:r>
      <w:r w:rsidRPr="00E22DB5">
        <w:t>dentifier</w:t>
      </w:r>
      <w:r>
        <w:t xml:space="preserve"> (see</w:t>
      </w:r>
      <w:r w:rsidR="00C82A37">
        <w:t xml:space="preserve"> </w:t>
      </w:r>
      <w:r w:rsidR="00C82A37">
        <w:fldChar w:fldCharType="begin"/>
      </w:r>
      <w:r w:rsidR="00C82A37">
        <w:instrText xml:space="preserve"> REF _Ref52225115 \r \h </w:instrText>
      </w:r>
      <w:r w:rsidR="00C82A37">
        <w:fldChar w:fldCharType="separate"/>
      </w:r>
      <w:r w:rsidR="00EA0922">
        <w:t>POLICY 16</w:t>
      </w:r>
      <w:r w:rsidR="00C82A37">
        <w:fldChar w:fldCharType="end"/>
      </w:r>
      <w:r>
        <w:t xml:space="preserve">) following two </w:t>
      </w:r>
      <w:r w:rsidR="00633290">
        <w:t>colons</w:t>
      </w:r>
      <w:r>
        <w:t>:</w:t>
      </w:r>
    </w:p>
    <w:p w14:paraId="2041CD7A" w14:textId="77777777" w:rsidR="008D2559" w:rsidRDefault="00E22DB5">
      <w:pPr>
        <w:pStyle w:val="Code"/>
      </w:pPr>
      <w:r>
        <w:t>&lt;scheme identifier&gt;::</w:t>
      </w:r>
      <w:r w:rsidRPr="006D1F48">
        <w:t>&lt;</w:t>
      </w:r>
      <w:r>
        <w:t>syntax specific id</w:t>
      </w:r>
      <w:r w:rsidRPr="006D1F48">
        <w:t>&gt;##&lt;customization id&gt;::&lt;version&gt;</w:t>
      </w:r>
    </w:p>
    <w:p w14:paraId="177481D6" w14:textId="19C7D9EA" w:rsidR="008D2559" w:rsidRDefault="00036305">
      <w:r w:rsidRPr="00036305">
        <w:t>This string must be percent encoded if used in a URL.</w:t>
      </w:r>
    </w:p>
    <w:p w14:paraId="6BA5B147" w14:textId="77777777" w:rsidR="007B7513" w:rsidRPr="003F6527" w:rsidRDefault="007B7513" w:rsidP="007B7513">
      <w:pPr>
        <w:pStyle w:val="ExampleHeader"/>
      </w:pPr>
      <w:r w:rsidRPr="003F6527">
        <w:t>Example</w:t>
      </w:r>
      <w:r>
        <w:t xml:space="preserve"> (from Billing BIS v3)</w:t>
      </w:r>
      <w:r w:rsidRPr="003F6527">
        <w:t>:</w:t>
      </w:r>
    </w:p>
    <w:p w14:paraId="4E8ED605" w14:textId="77777777" w:rsidR="007B7513" w:rsidRPr="001407A3" w:rsidRDefault="007B7513" w:rsidP="007B7513">
      <w:r w:rsidRPr="001407A3">
        <w:t xml:space="preserve">The following example denotes </w:t>
      </w:r>
      <w:r>
        <w:t>a</w:t>
      </w:r>
      <w:r w:rsidRPr="001407A3">
        <w:t xml:space="preserve"> </w:t>
      </w:r>
      <w:r>
        <w:t>D</w:t>
      </w:r>
      <w:r w:rsidRPr="001407A3">
        <w:t xml:space="preserve">ocument </w:t>
      </w:r>
      <w:r>
        <w:t>T</w:t>
      </w:r>
      <w:r w:rsidRPr="001407A3">
        <w:t xml:space="preserve">ype </w:t>
      </w:r>
      <w:r>
        <w:t>that is</w:t>
      </w:r>
      <w:r w:rsidRPr="001407A3">
        <w:t xml:space="preserve"> a UBL </w:t>
      </w:r>
      <w:r>
        <w:t>2.1</w:t>
      </w:r>
      <w:r w:rsidRPr="001407A3">
        <w:t xml:space="preserve"> </w:t>
      </w:r>
      <w:r>
        <w:t>Invoice</w:t>
      </w:r>
      <w:r w:rsidRPr="001407A3">
        <w:t xml:space="preserve"> conforming to the </w:t>
      </w:r>
      <w:r>
        <w:t>Peppol</w:t>
      </w:r>
      <w:r w:rsidRPr="001407A3">
        <w:t xml:space="preserve"> </w:t>
      </w:r>
      <w:r>
        <w:t>Billing BIS</w:t>
      </w:r>
      <w:r w:rsidRPr="001407A3">
        <w:t xml:space="preserve"> </w:t>
      </w:r>
      <w:r>
        <w:t>v3</w:t>
      </w:r>
      <w:r w:rsidRPr="001407A3">
        <w:t>.</w:t>
      </w:r>
    </w:p>
    <w:p w14:paraId="58B566F1" w14:textId="77777777" w:rsidR="007B7513" w:rsidRDefault="007B7513" w:rsidP="007B7513">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7B7513" w:rsidRPr="002F08C0" w14:paraId="7E7B1B3E" w14:textId="77777777" w:rsidTr="00BC2C94">
        <w:tc>
          <w:tcPr>
            <w:tcW w:w="1984" w:type="dxa"/>
            <w:shd w:val="clear" w:color="auto" w:fill="auto"/>
          </w:tcPr>
          <w:p w14:paraId="423AFF52" w14:textId="77777777" w:rsidR="007B7513" w:rsidRPr="002F08C0" w:rsidRDefault="007B7513" w:rsidP="00BC2C94">
            <w:pPr>
              <w:rPr>
                <w:b/>
              </w:rPr>
            </w:pPr>
            <w:r>
              <w:rPr>
                <w:b/>
              </w:rPr>
              <w:t>Syntax specific ID</w:t>
            </w:r>
          </w:p>
        </w:tc>
        <w:tc>
          <w:tcPr>
            <w:tcW w:w="7302" w:type="dxa"/>
            <w:shd w:val="clear" w:color="auto" w:fill="auto"/>
          </w:tcPr>
          <w:p w14:paraId="6C61C979" w14:textId="77777777" w:rsidR="007B7513" w:rsidRPr="00335EEE" w:rsidRDefault="007B7513" w:rsidP="00BC2C94">
            <w:r w:rsidRPr="00335EEE">
              <w:t>urn:oasis:names:specification:ubl:schema:xsd:Invoice-2</w:t>
            </w:r>
            <w:r>
              <w:t>::Invoice</w:t>
            </w:r>
          </w:p>
        </w:tc>
      </w:tr>
      <w:tr w:rsidR="007B7513" w:rsidRPr="002F08C0" w14:paraId="2B951709" w14:textId="77777777" w:rsidTr="00BC2C94">
        <w:tc>
          <w:tcPr>
            <w:tcW w:w="1984" w:type="dxa"/>
            <w:shd w:val="clear" w:color="auto" w:fill="auto"/>
          </w:tcPr>
          <w:p w14:paraId="53D11621" w14:textId="77777777" w:rsidR="007B7513" w:rsidRDefault="007B7513" w:rsidP="00BC2C94">
            <w:pPr>
              <w:rPr>
                <w:b/>
              </w:rPr>
            </w:pPr>
            <w:r>
              <w:rPr>
                <w:b/>
              </w:rPr>
              <w:t xml:space="preserve">XML document element </w:t>
            </w:r>
            <w:r w:rsidRPr="002F08C0">
              <w:rPr>
                <w:b/>
              </w:rPr>
              <w:t>namespace</w:t>
            </w:r>
            <w:r>
              <w:rPr>
                <w:b/>
              </w:rPr>
              <w:t xml:space="preserve"> URI</w:t>
            </w:r>
          </w:p>
        </w:tc>
        <w:tc>
          <w:tcPr>
            <w:tcW w:w="7302" w:type="dxa"/>
            <w:shd w:val="clear" w:color="auto" w:fill="auto"/>
          </w:tcPr>
          <w:p w14:paraId="174ACC87" w14:textId="77777777" w:rsidR="007B7513" w:rsidRPr="002F08C0" w:rsidRDefault="007B7513" w:rsidP="00BC2C94">
            <w:r w:rsidRPr="00335EEE">
              <w:t>urn:oasis:names:specification:ubl:schema:xsd:Invoice-2</w:t>
            </w:r>
          </w:p>
        </w:tc>
      </w:tr>
      <w:tr w:rsidR="007B7513" w:rsidRPr="002F08C0" w14:paraId="2EB5AA10" w14:textId="77777777" w:rsidTr="00BC2C94">
        <w:tc>
          <w:tcPr>
            <w:tcW w:w="1984" w:type="dxa"/>
            <w:shd w:val="clear" w:color="auto" w:fill="auto"/>
          </w:tcPr>
          <w:p w14:paraId="11A16C65" w14:textId="77777777" w:rsidR="007B7513" w:rsidRDefault="007B7513" w:rsidP="00BC2C94">
            <w:pPr>
              <w:rPr>
                <w:b/>
              </w:rPr>
            </w:pPr>
            <w:r>
              <w:rPr>
                <w:b/>
              </w:rPr>
              <w:t>XML d</w:t>
            </w:r>
            <w:r w:rsidRPr="002F08C0">
              <w:rPr>
                <w:b/>
              </w:rPr>
              <w:t>ocument element local name</w:t>
            </w:r>
          </w:p>
        </w:tc>
        <w:tc>
          <w:tcPr>
            <w:tcW w:w="7302" w:type="dxa"/>
            <w:shd w:val="clear" w:color="auto" w:fill="auto"/>
          </w:tcPr>
          <w:p w14:paraId="78C8140A" w14:textId="77777777" w:rsidR="007B7513" w:rsidRPr="002F08C0" w:rsidRDefault="007B7513" w:rsidP="00BC2C94">
            <w:r>
              <w:t>Invoice</w:t>
            </w:r>
          </w:p>
        </w:tc>
      </w:tr>
      <w:tr w:rsidR="007B7513" w:rsidRPr="002F08C0" w14:paraId="31D5E2EC" w14:textId="77777777" w:rsidTr="00BC2C94">
        <w:tc>
          <w:tcPr>
            <w:tcW w:w="1984" w:type="dxa"/>
            <w:shd w:val="clear" w:color="auto" w:fill="auto"/>
          </w:tcPr>
          <w:p w14:paraId="0A49E6FB" w14:textId="77777777" w:rsidR="007B7513" w:rsidRPr="002F08C0" w:rsidRDefault="007B7513" w:rsidP="00BC2C94">
            <w:pPr>
              <w:rPr>
                <w:b/>
              </w:rPr>
            </w:pPr>
            <w:r w:rsidRPr="002F08C0">
              <w:rPr>
                <w:b/>
              </w:rPr>
              <w:t>Customization ID</w:t>
            </w:r>
          </w:p>
        </w:tc>
        <w:tc>
          <w:tcPr>
            <w:tcW w:w="7302" w:type="dxa"/>
            <w:shd w:val="clear" w:color="auto" w:fill="auto"/>
          </w:tcPr>
          <w:p w14:paraId="502EE361" w14:textId="77777777" w:rsidR="007B7513" w:rsidRPr="002F08C0" w:rsidRDefault="007B7513" w:rsidP="00BC2C94">
            <w:r w:rsidRPr="00335EEE">
              <w:t>urn:cen.eu:en16931:2017#compliant#urn:fdc:peppol.eu:2017:poacc:billing:3.0</w:t>
            </w:r>
          </w:p>
        </w:tc>
      </w:tr>
      <w:tr w:rsidR="007B7513" w:rsidRPr="002F08C0" w14:paraId="156315FF" w14:textId="77777777" w:rsidTr="00BC2C94">
        <w:tc>
          <w:tcPr>
            <w:tcW w:w="1984" w:type="dxa"/>
            <w:shd w:val="clear" w:color="auto" w:fill="auto"/>
          </w:tcPr>
          <w:p w14:paraId="756F33AD" w14:textId="77777777" w:rsidR="007B7513" w:rsidRPr="002F08C0" w:rsidRDefault="007B7513" w:rsidP="00BC2C94">
            <w:pPr>
              <w:rPr>
                <w:b/>
              </w:rPr>
            </w:pPr>
            <w:r w:rsidRPr="002F08C0">
              <w:rPr>
                <w:b/>
              </w:rPr>
              <w:t>Version</w:t>
            </w:r>
          </w:p>
        </w:tc>
        <w:tc>
          <w:tcPr>
            <w:tcW w:w="7302" w:type="dxa"/>
            <w:shd w:val="clear" w:color="auto" w:fill="auto"/>
          </w:tcPr>
          <w:p w14:paraId="461E59AD" w14:textId="77777777" w:rsidR="007B7513" w:rsidRPr="002F08C0" w:rsidRDefault="007B7513" w:rsidP="00BC2C94">
            <w:r>
              <w:t>2.1</w:t>
            </w:r>
          </w:p>
        </w:tc>
      </w:tr>
    </w:tbl>
    <w:p w14:paraId="154F8A71" w14:textId="63B619AF" w:rsidR="004C78B3" w:rsidRDefault="00547A34">
      <w:pPr>
        <w:pStyle w:val="ExampleHeader"/>
      </w:pPr>
      <w:r w:rsidRPr="003F6527">
        <w:t>Example</w:t>
      </w:r>
      <w:r w:rsidR="00335EEE">
        <w:t xml:space="preserve"> (</w:t>
      </w:r>
      <w:r w:rsidR="007B7513">
        <w:t xml:space="preserve">using a </w:t>
      </w:r>
      <w:r w:rsidR="00171C3F">
        <w:t>W</w:t>
      </w:r>
      <w:r w:rsidR="007B7513">
        <w:t>ildcard Customization ID</w:t>
      </w:r>
      <w:r w:rsidR="00335EEE">
        <w:t>)</w:t>
      </w:r>
      <w:r w:rsidRPr="003F6527">
        <w:t>:</w:t>
      </w:r>
    </w:p>
    <w:p w14:paraId="277ECA5F" w14:textId="77777777"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7B7513">
        <w:t xml:space="preserve">for usage in an SMP registration </w:t>
      </w:r>
      <w:r w:rsidR="00335EEE">
        <w:t>that is</w:t>
      </w:r>
      <w:r w:rsidRPr="001407A3">
        <w:t xml:space="preserve"> a UBL </w:t>
      </w:r>
      <w:r w:rsidR="00E832FB">
        <w:t>2.1</w:t>
      </w:r>
      <w:r w:rsidRPr="001407A3">
        <w:t xml:space="preserve"> </w:t>
      </w:r>
      <w:r w:rsidR="00335EEE">
        <w:t>Invoice</w:t>
      </w:r>
      <w:r w:rsidRPr="001407A3">
        <w:t xml:space="preserve"> conforming to </w:t>
      </w:r>
      <w:r w:rsidR="007B7513">
        <w:t xml:space="preserve">an example Customization </w:t>
      </w:r>
      <w:r w:rsidR="0040562F">
        <w:t>ID</w:t>
      </w:r>
      <w:r w:rsidRPr="001407A3">
        <w:t>.</w:t>
      </w:r>
    </w:p>
    <w:p w14:paraId="462676A1" w14:textId="77777777" w:rsidR="008D2559" w:rsidRDefault="00335EEE">
      <w:pPr>
        <w:pStyle w:val="Code"/>
        <w:shd w:val="clear" w:color="auto" w:fill="FFFFFF"/>
        <w:ind w:left="567"/>
      </w:pPr>
      <w:r w:rsidRPr="00335EEE">
        <w:t>urn:oasis:names:specification:ubl:schema:xsd:Invoice-2::Invoice##</w:t>
      </w:r>
      <w:r w:rsidR="007B7513">
        <w:t>a</w:t>
      </w:r>
      <w:r w:rsidRPr="00335EEE">
        <w:t>#compliant#</w:t>
      </w:r>
      <w:r w:rsidR="007B7513">
        <w:t>b*</w:t>
      </w:r>
      <w:r w:rsidRPr="00335EEE">
        <w:t>::2.1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2F08C0" w14:paraId="6146B0B1" w14:textId="77777777" w:rsidTr="00335EEE">
        <w:tc>
          <w:tcPr>
            <w:tcW w:w="1984" w:type="dxa"/>
            <w:shd w:val="clear" w:color="auto" w:fill="auto"/>
          </w:tcPr>
          <w:p w14:paraId="4CA1C957" w14:textId="77777777" w:rsidR="00A9548F" w:rsidRPr="002F08C0" w:rsidRDefault="00A9548F" w:rsidP="002F08C0">
            <w:pPr>
              <w:rPr>
                <w:b/>
              </w:rPr>
            </w:pPr>
            <w:r>
              <w:rPr>
                <w:b/>
              </w:rPr>
              <w:t>Syntax specific ID</w:t>
            </w:r>
          </w:p>
        </w:tc>
        <w:tc>
          <w:tcPr>
            <w:tcW w:w="7302" w:type="dxa"/>
            <w:shd w:val="clear" w:color="auto" w:fill="auto"/>
          </w:tcPr>
          <w:p w14:paraId="75B5FA0D" w14:textId="77777777" w:rsidR="00A9548F" w:rsidRPr="00335EEE" w:rsidRDefault="00A9548F" w:rsidP="00A9548F">
            <w:r w:rsidRPr="00335EEE">
              <w:t>urn:oasis:names:specification:ubl:schema:xsd:Invoice-2</w:t>
            </w:r>
            <w:r>
              <w:t>::Invoice</w:t>
            </w:r>
          </w:p>
        </w:tc>
      </w:tr>
      <w:tr w:rsidR="001407A3" w:rsidRPr="002F08C0" w14:paraId="65890F5F" w14:textId="77777777" w:rsidTr="00335EEE">
        <w:tc>
          <w:tcPr>
            <w:tcW w:w="1984" w:type="dxa"/>
            <w:shd w:val="clear" w:color="auto" w:fill="auto"/>
          </w:tcPr>
          <w:p w14:paraId="6FF56CC3" w14:textId="77777777"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14:paraId="355A5559" w14:textId="77777777" w:rsidR="001407A3" w:rsidRPr="002F08C0" w:rsidRDefault="00335EEE" w:rsidP="002F08C0">
            <w:r w:rsidRPr="00335EEE">
              <w:t>urn:oasis:names:specification:ubl:schema:xsd:Invoice-2</w:t>
            </w:r>
          </w:p>
        </w:tc>
      </w:tr>
      <w:tr w:rsidR="001407A3" w:rsidRPr="002F08C0" w14:paraId="4F616C98" w14:textId="77777777" w:rsidTr="00335EEE">
        <w:tc>
          <w:tcPr>
            <w:tcW w:w="1984" w:type="dxa"/>
            <w:shd w:val="clear" w:color="auto" w:fill="auto"/>
          </w:tcPr>
          <w:p w14:paraId="561F99C2" w14:textId="77777777"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14:paraId="155A970C" w14:textId="77777777" w:rsidR="001407A3" w:rsidRPr="002F08C0" w:rsidRDefault="00335EEE" w:rsidP="002F08C0">
            <w:r>
              <w:t>Invoice</w:t>
            </w:r>
          </w:p>
        </w:tc>
      </w:tr>
      <w:tr w:rsidR="001407A3" w:rsidRPr="002F08C0" w14:paraId="661371D5" w14:textId="77777777" w:rsidTr="00335EEE">
        <w:tc>
          <w:tcPr>
            <w:tcW w:w="1984" w:type="dxa"/>
            <w:shd w:val="clear" w:color="auto" w:fill="auto"/>
          </w:tcPr>
          <w:p w14:paraId="678FD6C3" w14:textId="77777777" w:rsidR="001407A3" w:rsidRPr="002F08C0" w:rsidRDefault="001407A3" w:rsidP="00335EEE">
            <w:pPr>
              <w:rPr>
                <w:b/>
              </w:rPr>
            </w:pPr>
            <w:r w:rsidRPr="002F08C0">
              <w:rPr>
                <w:b/>
              </w:rPr>
              <w:t>Customization ID</w:t>
            </w:r>
          </w:p>
        </w:tc>
        <w:tc>
          <w:tcPr>
            <w:tcW w:w="7302" w:type="dxa"/>
            <w:shd w:val="clear" w:color="auto" w:fill="auto"/>
          </w:tcPr>
          <w:p w14:paraId="142EE4FD" w14:textId="77777777" w:rsidR="002362F2" w:rsidRPr="002F08C0" w:rsidRDefault="007B7513" w:rsidP="002F08C0">
            <w:r>
              <w:t>a</w:t>
            </w:r>
            <w:r w:rsidRPr="00335EEE">
              <w:t>#compliant#</w:t>
            </w:r>
            <w:r>
              <w:t>b*</w:t>
            </w:r>
          </w:p>
        </w:tc>
      </w:tr>
      <w:tr w:rsidR="001407A3" w:rsidRPr="002F08C0" w14:paraId="3186ABC0" w14:textId="77777777" w:rsidTr="00335EEE">
        <w:tc>
          <w:tcPr>
            <w:tcW w:w="1984" w:type="dxa"/>
            <w:shd w:val="clear" w:color="auto" w:fill="auto"/>
          </w:tcPr>
          <w:p w14:paraId="1302F3DD" w14:textId="77777777" w:rsidR="001407A3" w:rsidRPr="002F08C0" w:rsidRDefault="001407A3" w:rsidP="002F08C0">
            <w:pPr>
              <w:rPr>
                <w:b/>
              </w:rPr>
            </w:pPr>
            <w:r w:rsidRPr="002F08C0">
              <w:rPr>
                <w:b/>
              </w:rPr>
              <w:t>Version</w:t>
            </w:r>
          </w:p>
        </w:tc>
        <w:tc>
          <w:tcPr>
            <w:tcW w:w="7302" w:type="dxa"/>
            <w:shd w:val="clear" w:color="auto" w:fill="auto"/>
          </w:tcPr>
          <w:p w14:paraId="735225F2" w14:textId="77777777" w:rsidR="001407A3" w:rsidRPr="002F08C0" w:rsidRDefault="00D60C76" w:rsidP="002362F2">
            <w:r>
              <w:t>2.1</w:t>
            </w:r>
          </w:p>
        </w:tc>
      </w:tr>
    </w:tbl>
    <w:p w14:paraId="1677C1E4" w14:textId="77777777" w:rsidR="003D64C4" w:rsidRPr="001407A3" w:rsidRDefault="003D64C4" w:rsidP="003D64C4">
      <w:pPr>
        <w:pStyle w:val="PolicyHeader"/>
      </w:pPr>
      <w:bookmarkStart w:id="121" w:name="_Toc54986021"/>
      <w:r w:rsidRPr="001407A3">
        <w:t xml:space="preserve">Specifying </w:t>
      </w:r>
      <w:r>
        <w:t>Document</w:t>
      </w:r>
      <w:r w:rsidRPr="001407A3">
        <w:t xml:space="preserve"> </w:t>
      </w:r>
      <w:r w:rsidR="00235DA3">
        <w:t xml:space="preserve">Type </w:t>
      </w:r>
      <w:r w:rsidRPr="001407A3">
        <w:t xml:space="preserve">Identifiers in </w:t>
      </w:r>
      <w:r>
        <w:t>SMP documents</w:t>
      </w:r>
      <w:bookmarkEnd w:id="121"/>
    </w:p>
    <w:p w14:paraId="0B55F2D7" w14:textId="1D355EF6"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3A6D36">
        <w:t>one of the values listed in</w:t>
      </w:r>
      <w:r w:rsidR="00741D87">
        <w:t xml:space="preserve"> </w:t>
      </w:r>
      <w:r w:rsidR="00554D27">
        <w:fldChar w:fldCharType="begin"/>
      </w:r>
      <w:r w:rsidR="00741D87">
        <w:instrText xml:space="preserve"> REF _Ref52229230 \r \h </w:instrText>
      </w:r>
      <w:r w:rsidR="00554D27">
        <w:fldChar w:fldCharType="separate"/>
      </w:r>
      <w:r w:rsidR="00EA0922">
        <w:t>POLICY 16</w:t>
      </w:r>
      <w:r w:rsidR="00554D27">
        <w:fldChar w:fldCharType="end"/>
      </w:r>
      <w:r>
        <w:t xml:space="preserve"> and the element value must be the </w:t>
      </w:r>
      <w:r w:rsidR="008C58D8">
        <w:t xml:space="preserve">Document Type Identifier Value </w:t>
      </w:r>
      <w:r>
        <w:t>itself.</w:t>
      </w:r>
    </w:p>
    <w:p w14:paraId="7B51DF9E" w14:textId="77777777" w:rsidR="00DA409B" w:rsidRDefault="00B26C62" w:rsidP="00DA409B">
      <w:r>
        <w:t xml:space="preserve">Applies to: </w:t>
      </w:r>
      <w:r w:rsidR="00D320B0">
        <w:t xml:space="preserve">all </w:t>
      </w:r>
      <w:r>
        <w:t>XML documents used in the SMP</w:t>
      </w:r>
    </w:p>
    <w:p w14:paraId="0EFCB579" w14:textId="02A28EBB" w:rsidR="00E923F0" w:rsidRPr="003F6527" w:rsidRDefault="00E923F0" w:rsidP="00E923F0">
      <w:pPr>
        <w:pStyle w:val="ExampleHeader"/>
      </w:pPr>
      <w:r w:rsidRPr="003F6527">
        <w:t>Example</w:t>
      </w:r>
      <w:r>
        <w:t xml:space="preserve"> (</w:t>
      </w:r>
      <w:r w:rsidR="00722D25">
        <w:t>using busdox-docid-qns</w:t>
      </w:r>
      <w:r>
        <w:t>)</w:t>
      </w:r>
      <w:r w:rsidRPr="003F6527">
        <w:t>:</w:t>
      </w:r>
    </w:p>
    <w:p w14:paraId="0FCAAD37" w14:textId="77777777" w:rsidR="00E923F0" w:rsidRDefault="00E923F0" w:rsidP="00E923F0">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14:paraId="6D63CAAE" w14:textId="77777777" w:rsidR="00E923F0" w:rsidRDefault="00E923F0" w:rsidP="00E923F0">
      <w:pPr>
        <w:pStyle w:val="Code"/>
        <w:shd w:val="clear" w:color="auto" w:fill="FFFFFF"/>
        <w:ind w:left="567"/>
      </w:pPr>
      <w:r w:rsidRPr="00335EEE">
        <w:lastRenderedPageBreak/>
        <w:t>urn:oasis:names:specification:ubl:schema:xsd:Invoice-2::Invoice##urn:cen.eu:en16931:2017#compliant#urn:fdc:peppol.eu:2017:poacc:billing:3.0::2.1</w:t>
      </w:r>
    </w:p>
    <w:p w14:paraId="28635BCA" w14:textId="77777777" w:rsidR="00E923F0" w:rsidRDefault="00E923F0" w:rsidP="00E923F0">
      <w:pPr>
        <w:pStyle w:val="Code"/>
        <w:shd w:val="clear" w:color="auto" w:fill="FFFFFF"/>
        <w:ind w:left="567"/>
      </w:pPr>
      <w:r w:rsidRPr="00667607">
        <w:t>&lt;/</w:t>
      </w:r>
      <w:r>
        <w:t>Document</w:t>
      </w:r>
      <w:r w:rsidRPr="00667607">
        <w:t>Identifier&gt;</w:t>
      </w:r>
    </w:p>
    <w:p w14:paraId="06C5217D" w14:textId="77777777" w:rsidR="004C78B3" w:rsidRDefault="003D64C4">
      <w:pPr>
        <w:pStyle w:val="ExampleHeader"/>
      </w:pPr>
      <w:r w:rsidRPr="003F6527">
        <w:t>Example</w:t>
      </w:r>
      <w:r w:rsidR="00EB031F">
        <w:t xml:space="preserve"> (</w:t>
      </w:r>
      <w:r w:rsidR="00E923F0">
        <w:t>using peppol-doctype-wildcard</w:t>
      </w:r>
      <w:r w:rsidR="00EB031F">
        <w:t>)</w:t>
      </w:r>
      <w:r w:rsidRPr="003F6527">
        <w:t>:</w:t>
      </w:r>
    </w:p>
    <w:p w14:paraId="53A2685D" w14:textId="77777777" w:rsidR="00D320B0" w:rsidRDefault="006C61E2" w:rsidP="003F6527">
      <w:pPr>
        <w:pStyle w:val="Code"/>
        <w:shd w:val="clear" w:color="auto" w:fill="FFFFFF"/>
        <w:ind w:left="567"/>
      </w:pPr>
      <w:r w:rsidRPr="00667607">
        <w:t>&lt;</w:t>
      </w:r>
      <w:r>
        <w:t>Document</w:t>
      </w:r>
      <w:r w:rsidRPr="00667607">
        <w:t>Identifier scheme="</w:t>
      </w:r>
      <w:r w:rsidR="00E923F0">
        <w:t>peppol-doctype-wildcard</w:t>
      </w:r>
      <w:r w:rsidRPr="00667607">
        <w:t>"&gt;</w:t>
      </w:r>
    </w:p>
    <w:p w14:paraId="188A9B38" w14:textId="77777777" w:rsidR="00D320B0" w:rsidRDefault="00D320B0" w:rsidP="003F6527">
      <w:pPr>
        <w:pStyle w:val="Code"/>
        <w:shd w:val="clear" w:color="auto" w:fill="FFFFFF"/>
        <w:ind w:left="567"/>
      </w:pPr>
      <w:r w:rsidRPr="00335EEE">
        <w:t>urn:oasis:names:specification:ubl:schema:xsd:Invoice-2::Invoice##</w:t>
      </w:r>
      <w:r w:rsidR="00E923F0">
        <w:t>a</w:t>
      </w:r>
      <w:r w:rsidRPr="00335EEE">
        <w:t>#compliant#</w:t>
      </w:r>
      <w:r w:rsidR="00E923F0">
        <w:t>b</w:t>
      </w:r>
      <w:r w:rsidR="00FD72FC">
        <w:t>*</w:t>
      </w:r>
      <w:r w:rsidRPr="00335EEE">
        <w:t>::2.1</w:t>
      </w:r>
    </w:p>
    <w:p w14:paraId="1871683F" w14:textId="77777777" w:rsidR="0094310A" w:rsidRDefault="006C61E2" w:rsidP="003F6527">
      <w:pPr>
        <w:pStyle w:val="Code"/>
        <w:shd w:val="clear" w:color="auto" w:fill="FFFFFF"/>
        <w:ind w:left="567"/>
      </w:pPr>
      <w:r w:rsidRPr="00667607">
        <w:t>&lt;/</w:t>
      </w:r>
      <w:r>
        <w:t>Document</w:t>
      </w:r>
      <w:r w:rsidRPr="00667607">
        <w:t>Identifier&gt;</w:t>
      </w:r>
    </w:p>
    <w:p w14:paraId="51B8F581" w14:textId="77777777" w:rsidR="004C78B3" w:rsidRDefault="00FD72FC">
      <w:r>
        <w:t>Note: the Wildcard Indicator (“*”</w:t>
      </w:r>
      <w:r w:rsidR="00426965">
        <w:t xml:space="preserve">) is </w:t>
      </w:r>
      <w:r>
        <w:t>required for Customization IDs in SMP registrations using the “peppol-doctype-wildcard” Document Type Identifier Scheme.</w:t>
      </w:r>
    </w:p>
    <w:p w14:paraId="3FAF2DAE" w14:textId="77777777" w:rsidR="00D856AA" w:rsidRPr="001407A3" w:rsidRDefault="00D856AA" w:rsidP="00D856AA">
      <w:pPr>
        <w:pStyle w:val="PolicyHeader"/>
      </w:pPr>
      <w:bookmarkStart w:id="122" w:name="_Toc485137445"/>
      <w:bookmarkStart w:id="123" w:name="_Toc496043153"/>
      <w:bookmarkStart w:id="124" w:name="_Toc496043299"/>
      <w:bookmarkStart w:id="125" w:name="_Toc526776300"/>
      <w:bookmarkStart w:id="126" w:name="_Document_Type_Identifier"/>
      <w:bookmarkStart w:id="127" w:name="_Toc54986022"/>
      <w:bookmarkStart w:id="128" w:name="_Toc316247569"/>
      <w:bookmarkEnd w:id="122"/>
      <w:bookmarkEnd w:id="123"/>
      <w:bookmarkEnd w:id="124"/>
      <w:bookmarkEnd w:id="125"/>
      <w:bookmarkEnd w:id="126"/>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127"/>
    </w:p>
    <w:p w14:paraId="3E78418E" w14:textId="4FC70F09" w:rsidR="00B60F2D" w:rsidRDefault="00036305">
      <w:pPr>
        <w:pStyle w:val="Policy"/>
      </w:pPr>
      <w:bookmarkStart w:id="129" w:name="_Hlk535305524"/>
      <w:r w:rsidRPr="00036305">
        <w:t xml:space="preserve">When the </w:t>
      </w:r>
      <w:r w:rsidR="00FA56B2">
        <w:t>“</w:t>
      </w:r>
      <w:r w:rsidRPr="00036305">
        <w:t>//BusinessScope/Scope/Type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//BusinessScope/Scope/Identifier</w:t>
      </w:r>
      <w:r w:rsidR="00FA56B2">
        <w:t>”</w:t>
      </w:r>
      <w:r w:rsidRPr="00036305">
        <w:t xml:space="preserve"> element must be </w:t>
      </w:r>
      <w:r w:rsidR="003A6D36">
        <w:t>one of the</w:t>
      </w:r>
      <w:r w:rsidR="00B60F2D">
        <w:t xml:space="preserve"> following</w:t>
      </w:r>
      <w:r w:rsidR="003A6D36">
        <w:t xml:space="preserve"> values </w:t>
      </w:r>
      <w:r w:rsidR="00B60F2D">
        <w:t>(as per</w:t>
      </w:r>
      <w:r w:rsidRPr="00036305">
        <w:t xml:space="preserve"> </w:t>
      </w:r>
      <w:r w:rsidR="00554D27">
        <w:fldChar w:fldCharType="begin"/>
      </w:r>
      <w:r w:rsidR="00741D87">
        <w:instrText xml:space="preserve"> REF _Ref52229230 \r \h </w:instrText>
      </w:r>
      <w:r w:rsidR="00554D27">
        <w:fldChar w:fldCharType="separate"/>
      </w:r>
      <w:r w:rsidR="00EA0922">
        <w:t>POLICY 16</w:t>
      </w:r>
      <w:r w:rsidR="00554D27">
        <w:fldChar w:fldCharType="end"/>
      </w:r>
      <w:r w:rsidR="00B60F2D">
        <w:t>):</w:t>
      </w:r>
    </w:p>
    <w:p w14:paraId="2677BA28" w14:textId="77777777" w:rsidR="00B60F2D" w:rsidRPr="00C82A37" w:rsidRDefault="00B60F2D" w:rsidP="00B60F2D">
      <w:pPr>
        <w:pStyle w:val="Policy"/>
        <w:numPr>
          <w:ilvl w:val="0"/>
          <w:numId w:val="26"/>
        </w:numPr>
        <w:ind w:left="426" w:hanging="426"/>
        <w:rPr>
          <w:rFonts w:ascii="Courier New" w:hAnsi="Courier New" w:cs="Courier New"/>
        </w:rPr>
      </w:pPr>
      <w:r w:rsidRPr="00C82A37">
        <w:rPr>
          <w:rFonts w:ascii="Courier New" w:hAnsi="Courier New" w:cs="Courier New"/>
        </w:rPr>
        <w:t>busdox-docid-qns</w:t>
      </w:r>
    </w:p>
    <w:p w14:paraId="5A2D54A4" w14:textId="77777777" w:rsidR="00B60F2D" w:rsidRPr="00C82A37" w:rsidRDefault="00C82A37" w:rsidP="00B60F2D">
      <w:pPr>
        <w:pStyle w:val="Policy"/>
        <w:numPr>
          <w:ilvl w:val="0"/>
          <w:numId w:val="26"/>
        </w:numPr>
        <w:ind w:left="426" w:hanging="426"/>
        <w:rPr>
          <w:rFonts w:ascii="Courier New" w:hAnsi="Courier New" w:cs="Courier New"/>
        </w:rPr>
      </w:pPr>
      <w:r w:rsidRPr="00C82A37">
        <w:rPr>
          <w:rFonts w:ascii="Courier New" w:hAnsi="Courier New" w:cs="Courier New"/>
        </w:rPr>
        <w:t>peppol-doctype-wildcard</w:t>
      </w:r>
    </w:p>
    <w:p w14:paraId="1814F5B1" w14:textId="77777777" w:rsidR="00B60F2D" w:rsidRDefault="00B60F2D">
      <w:pPr>
        <w:pStyle w:val="Policy"/>
      </w:pPr>
      <w:r>
        <w:t>AND</w:t>
      </w:r>
    </w:p>
    <w:p w14:paraId="7722402B" w14:textId="77777777" w:rsidR="008D2559" w:rsidRDefault="00036305">
      <w:pPr>
        <w:pStyle w:val="Policy"/>
      </w:pPr>
      <w:r w:rsidRPr="00036305">
        <w:t xml:space="preserve">the value of the element </w:t>
      </w:r>
      <w:r w:rsidR="00FA56B2">
        <w:t>“</w:t>
      </w:r>
      <w:r w:rsidRPr="00036305">
        <w:t>//BusinessScope/Scope/InstanceIdentifier</w:t>
      </w:r>
      <w:r w:rsidR="00FA56B2">
        <w:t>”</w:t>
      </w:r>
      <w:r w:rsidRPr="00036305">
        <w:t xml:space="preserve"> must be the </w:t>
      </w:r>
      <w:r w:rsidR="008C58D8">
        <w:t>D</w:t>
      </w:r>
      <w:r w:rsidR="008C58D8" w:rsidRPr="00036305">
        <w:t xml:space="preserve">ocument </w:t>
      </w:r>
      <w:r w:rsidR="008C58D8">
        <w:t>T</w:t>
      </w:r>
      <w:r w:rsidR="008C58D8" w:rsidRPr="00036305">
        <w:t xml:space="preserve">ype </w:t>
      </w:r>
      <w:r w:rsidR="008C58D8">
        <w:t>I</w:t>
      </w:r>
      <w:r w:rsidR="008C58D8" w:rsidRPr="00036305">
        <w:t xml:space="preserve">dentifier </w:t>
      </w:r>
      <w:r w:rsidR="008C58D8">
        <w:t xml:space="preserve">Value </w:t>
      </w:r>
      <w:r w:rsidRPr="00036305">
        <w:t>itself.</w:t>
      </w:r>
    </w:p>
    <w:p w14:paraId="7804ACA6" w14:textId="77777777" w:rsidR="00D856AA" w:rsidRDefault="00D856AA" w:rsidP="00D856AA">
      <w:r>
        <w:t xml:space="preserve">Applies to: </w:t>
      </w:r>
      <w:r w:rsidR="00FA56B2">
        <w:t xml:space="preserve">all instances of the </w:t>
      </w:r>
      <w:r w:rsidR="00115A30">
        <w:t>Peppol</w:t>
      </w:r>
      <w:r w:rsidR="00AF1DA4">
        <w:t xml:space="preserve"> Business </w:t>
      </w:r>
      <w:r w:rsidR="005B2CF7">
        <w:t xml:space="preserve">Message </w:t>
      </w:r>
      <w:r w:rsidR="00AF1DA4">
        <w:t>Envelope</w:t>
      </w:r>
      <w:r w:rsidR="005B2CF7">
        <w:t xml:space="preserve"> (SBDH)</w:t>
      </w:r>
    </w:p>
    <w:p w14:paraId="66606665" w14:textId="5510DC56" w:rsidR="004C78B3" w:rsidRDefault="00D856AA">
      <w:pPr>
        <w:pStyle w:val="ExampleHeader"/>
      </w:pPr>
      <w:r w:rsidRPr="003F6527">
        <w:t>Example</w:t>
      </w:r>
      <w:r w:rsidR="000F2195">
        <w:t xml:space="preserve"> (</w:t>
      </w:r>
      <w:r w:rsidR="004522B5">
        <w:t>using busdox-docid-qns</w:t>
      </w:r>
      <w:r w:rsidR="000F2195">
        <w:t>)</w:t>
      </w:r>
      <w:r w:rsidRPr="003F6527">
        <w:t>:</w:t>
      </w:r>
    </w:p>
    <w:p w14:paraId="1B4527E8" w14:textId="77777777" w:rsidR="0047417F" w:rsidRDefault="0047417F" w:rsidP="0047417F">
      <w:pPr>
        <w:pStyle w:val="Code"/>
        <w:shd w:val="clear" w:color="auto" w:fill="FFFFFF"/>
        <w:ind w:left="567"/>
      </w:pPr>
      <w:r>
        <w:t>&lt;BusinessScope&gt;</w:t>
      </w:r>
    </w:p>
    <w:p w14:paraId="4718A262" w14:textId="77777777" w:rsidR="0047417F" w:rsidRDefault="0047417F" w:rsidP="0047417F">
      <w:pPr>
        <w:pStyle w:val="Code"/>
        <w:shd w:val="clear" w:color="auto" w:fill="FFFFFF"/>
        <w:ind w:left="567"/>
      </w:pPr>
      <w:r>
        <w:t xml:space="preserve">  &lt;Scope&gt;</w:t>
      </w:r>
    </w:p>
    <w:p w14:paraId="171A5ECC" w14:textId="77777777" w:rsidR="00FA56B2" w:rsidRDefault="0047417F" w:rsidP="0047417F">
      <w:pPr>
        <w:pStyle w:val="Code"/>
        <w:shd w:val="clear" w:color="auto" w:fill="FFFFFF"/>
        <w:ind w:left="567"/>
      </w:pPr>
      <w:r>
        <w:t xml:space="preserve">    &lt;Type&gt;DOCUMENTID&lt;/Type&gt;</w:t>
      </w:r>
    </w:p>
    <w:p w14:paraId="69B37FBD" w14:textId="77777777" w:rsidR="00FA56B2" w:rsidRDefault="00FA56B2" w:rsidP="0047417F">
      <w:pPr>
        <w:pStyle w:val="Code"/>
        <w:shd w:val="clear" w:color="auto" w:fill="FFFFFF"/>
        <w:ind w:left="567"/>
      </w:pPr>
      <w:r>
        <w:t xml:space="preserve">    </w:t>
      </w:r>
      <w:r w:rsidR="0047417F">
        <w:t>&lt;InstanceIdentifier&gt;</w:t>
      </w:r>
    </w:p>
    <w:p w14:paraId="26386861" w14:textId="77777777" w:rsidR="0047417F" w:rsidRDefault="000F2195" w:rsidP="0047417F">
      <w:pPr>
        <w:pStyle w:val="Code"/>
        <w:shd w:val="clear" w:color="auto" w:fill="FFFFFF"/>
        <w:ind w:left="567"/>
      </w:pPr>
      <w:r w:rsidRPr="00335EEE">
        <w:t>urn:oasis:names:specification:ubl:schema:xsd:Invoice-2::Invoice##urn:cen.eu:en16931:2017#compliant#urn:fdc:peppol.eu:2017:poacc:billing:3.0::2.1</w:t>
      </w:r>
      <w:r w:rsidR="0047417F">
        <w:t>&lt;/InstanceIdentifier&gt;</w:t>
      </w:r>
    </w:p>
    <w:p w14:paraId="5D09083C" w14:textId="77777777" w:rsidR="0047417F" w:rsidRDefault="0047417F" w:rsidP="0047417F">
      <w:pPr>
        <w:pStyle w:val="Code"/>
        <w:shd w:val="clear" w:color="auto" w:fill="FFFFFF"/>
        <w:ind w:left="567"/>
      </w:pPr>
      <w:r>
        <w:t xml:space="preserve">    &lt;Identifier&gt;busdox-docid-qns&lt;/Identifier&gt;</w:t>
      </w:r>
    </w:p>
    <w:p w14:paraId="3E8DCC13" w14:textId="77777777" w:rsidR="0047417F" w:rsidRDefault="0047417F" w:rsidP="0047417F">
      <w:pPr>
        <w:pStyle w:val="Code"/>
        <w:shd w:val="clear" w:color="auto" w:fill="FFFFFF"/>
        <w:ind w:left="567"/>
      </w:pPr>
      <w:r>
        <w:t xml:space="preserve">  &lt;/Scope&gt;</w:t>
      </w:r>
    </w:p>
    <w:p w14:paraId="60DACC6B" w14:textId="77777777" w:rsidR="00D856AA" w:rsidRDefault="0047417F">
      <w:pPr>
        <w:pStyle w:val="Code"/>
        <w:shd w:val="clear" w:color="auto" w:fill="FFFFFF"/>
        <w:ind w:left="567"/>
      </w:pPr>
      <w:r>
        <w:t>&lt;/BusinessScope&gt;</w:t>
      </w:r>
    </w:p>
    <w:p w14:paraId="44E104B4" w14:textId="77777777" w:rsidR="004C78B3" w:rsidRDefault="00B06BBC">
      <w:r>
        <w:t>Note: the order of elements is defined by the Standard Business Document Header XML Schema.</w:t>
      </w:r>
    </w:p>
    <w:p w14:paraId="077E5372" w14:textId="77777777" w:rsidR="00E21AF8" w:rsidRPr="003F6527" w:rsidRDefault="00E21AF8" w:rsidP="00E21AF8">
      <w:pPr>
        <w:pStyle w:val="ExampleHeader"/>
      </w:pPr>
      <w:r w:rsidRPr="003F6527">
        <w:t>Example</w:t>
      </w:r>
      <w:r>
        <w:t xml:space="preserve"> (using peppol-doctype-wildcard)</w:t>
      </w:r>
      <w:r w:rsidRPr="003F6527">
        <w:t>:</w:t>
      </w:r>
    </w:p>
    <w:p w14:paraId="1453FF07" w14:textId="77777777" w:rsidR="00E21AF8" w:rsidRDefault="00E21AF8" w:rsidP="00E21AF8">
      <w:pPr>
        <w:pStyle w:val="Code"/>
        <w:shd w:val="clear" w:color="auto" w:fill="FFFFFF"/>
        <w:ind w:left="567"/>
      </w:pPr>
      <w:r>
        <w:t>&lt;BusinessScope&gt;</w:t>
      </w:r>
    </w:p>
    <w:p w14:paraId="756B7560" w14:textId="77777777" w:rsidR="00E21AF8" w:rsidRDefault="00E21AF8" w:rsidP="00E21AF8">
      <w:pPr>
        <w:pStyle w:val="Code"/>
        <w:shd w:val="clear" w:color="auto" w:fill="FFFFFF"/>
        <w:ind w:left="567"/>
      </w:pPr>
      <w:r>
        <w:t xml:space="preserve">  &lt;Scope&gt;</w:t>
      </w:r>
    </w:p>
    <w:p w14:paraId="3682C8CE" w14:textId="77777777" w:rsidR="00E21AF8" w:rsidRDefault="00E21AF8" w:rsidP="00E21AF8">
      <w:pPr>
        <w:pStyle w:val="Code"/>
        <w:shd w:val="clear" w:color="auto" w:fill="FFFFFF"/>
        <w:ind w:left="567"/>
      </w:pPr>
      <w:r>
        <w:t xml:space="preserve">    &lt;Type&gt;DOCUMENTID&lt;/Type&gt;</w:t>
      </w:r>
    </w:p>
    <w:p w14:paraId="525E5416" w14:textId="77777777" w:rsidR="00E21AF8" w:rsidRDefault="00E21AF8" w:rsidP="00E21AF8">
      <w:pPr>
        <w:pStyle w:val="Code"/>
        <w:shd w:val="clear" w:color="auto" w:fill="FFFFFF"/>
        <w:ind w:left="567"/>
      </w:pPr>
      <w:r>
        <w:t xml:space="preserve">    &lt;InstanceIdentifier&gt;</w:t>
      </w:r>
    </w:p>
    <w:p w14:paraId="07CCB440" w14:textId="77777777" w:rsidR="00E21AF8" w:rsidRDefault="00E21AF8" w:rsidP="00E21AF8">
      <w:pPr>
        <w:pStyle w:val="Code"/>
        <w:shd w:val="clear" w:color="auto" w:fill="FFFFFF"/>
        <w:ind w:left="567"/>
      </w:pPr>
      <w:r w:rsidRPr="00335EEE">
        <w:t>urn:oasis:names:specification:ubl:schema:xsd:Invoice-2::Invoice##</w:t>
      </w:r>
      <w:r>
        <w:t>a</w:t>
      </w:r>
      <w:r w:rsidRPr="00335EEE">
        <w:t>#compliant#</w:t>
      </w:r>
      <w:r>
        <w:t>b</w:t>
      </w:r>
      <w:r w:rsidRPr="00335EEE">
        <w:t>::2.1</w:t>
      </w:r>
      <w:r>
        <w:t>&lt;/InstanceIdentifier&gt;</w:t>
      </w:r>
    </w:p>
    <w:p w14:paraId="532BB013" w14:textId="77777777" w:rsidR="00E21AF8" w:rsidRDefault="00E21AF8" w:rsidP="00E21AF8">
      <w:pPr>
        <w:pStyle w:val="Code"/>
        <w:shd w:val="clear" w:color="auto" w:fill="FFFFFF"/>
        <w:ind w:left="567"/>
      </w:pPr>
      <w:r>
        <w:t xml:space="preserve">    &lt;Identifier&gt;peppol-doctype-wildcard&lt;/Identifier&gt;</w:t>
      </w:r>
    </w:p>
    <w:p w14:paraId="4E0EA4EA" w14:textId="77777777" w:rsidR="00E21AF8" w:rsidRDefault="00E21AF8" w:rsidP="00E21AF8">
      <w:pPr>
        <w:pStyle w:val="Code"/>
        <w:shd w:val="clear" w:color="auto" w:fill="FFFFFF"/>
        <w:ind w:left="567"/>
      </w:pPr>
      <w:r>
        <w:t xml:space="preserve">  &lt;/Scope&gt;</w:t>
      </w:r>
    </w:p>
    <w:p w14:paraId="22D980F2" w14:textId="77777777" w:rsidR="004C78B3" w:rsidRDefault="00E21AF8">
      <w:pPr>
        <w:pStyle w:val="Code"/>
        <w:shd w:val="clear" w:color="auto" w:fill="FFFFFF"/>
        <w:ind w:left="567"/>
      </w:pPr>
      <w:r>
        <w:t>&lt;/BusinessScope&gt;</w:t>
      </w:r>
    </w:p>
    <w:p w14:paraId="0D3498E3" w14:textId="77777777" w:rsidR="008D2559" w:rsidRDefault="00FA56B2">
      <w:r>
        <w:t>Note: the order of elements is defined by the Standard Business Document Header XML Schema.</w:t>
      </w:r>
    </w:p>
    <w:p w14:paraId="35D9EF31" w14:textId="77777777" w:rsidR="00B06BBC" w:rsidRDefault="00B06BBC">
      <w:r>
        <w:t>Note: the Wildcard Indicator must not be used in the SBDH.</w:t>
      </w:r>
    </w:p>
    <w:p w14:paraId="04BA0385" w14:textId="77777777" w:rsidR="008D2559" w:rsidRDefault="006C4743">
      <w:pPr>
        <w:pStyle w:val="PolicyHeader"/>
      </w:pPr>
      <w:bookmarkStart w:id="130" w:name="_Toc535439537"/>
      <w:bookmarkStart w:id="131" w:name="_Toc54986023"/>
      <w:bookmarkEnd w:id="129"/>
      <w:bookmarkEnd w:id="130"/>
      <w:r w:rsidRPr="00E15FB4">
        <w:t xml:space="preserve">Document </w:t>
      </w:r>
      <w:r w:rsidR="00235DA3" w:rsidRPr="00E15FB4">
        <w:t>Type Identifier</w:t>
      </w:r>
      <w:r w:rsidRPr="00E15FB4">
        <w:t xml:space="preserve"> </w:t>
      </w:r>
      <w:r w:rsidR="00A56BD2" w:rsidRPr="00E15FB4">
        <w:t>Values</w:t>
      </w:r>
      <w:bookmarkEnd w:id="128"/>
      <w:bookmarkEnd w:id="131"/>
    </w:p>
    <w:p w14:paraId="6F25BB30" w14:textId="77777777" w:rsidR="00827B5A" w:rsidRDefault="00827B5A" w:rsidP="002D08B0">
      <w:pPr>
        <w:pStyle w:val="Policy"/>
      </w:pPr>
      <w:r w:rsidRPr="00827B5A">
        <w:t xml:space="preserve">All valid </w:t>
      </w:r>
      <w:r w:rsidR="002D08B0">
        <w:t>Document Type</w:t>
      </w:r>
      <w:r w:rsidRPr="00827B5A">
        <w:t xml:space="preserve"> Identifier Values are defined in [</w:t>
      </w:r>
      <w:r w:rsidR="00115A30">
        <w:t>Peppol</w:t>
      </w:r>
      <w:r w:rsidRPr="00827B5A">
        <w:t>_CodeList].</w:t>
      </w:r>
    </w:p>
    <w:p w14:paraId="158B1148" w14:textId="77777777" w:rsidR="002D08B0" w:rsidRDefault="002D08B0" w:rsidP="00EB7DC6">
      <w:r>
        <w:lastRenderedPageBreak/>
        <w:t>Applies to: all Document Type Identifiers in all components</w:t>
      </w:r>
    </w:p>
    <w:p w14:paraId="1322BFEA" w14:textId="77777777" w:rsidR="00273344" w:rsidRPr="001F4312" w:rsidRDefault="004E1D48" w:rsidP="00EB7DC6">
      <w:r w:rsidRPr="00A71CFB">
        <w:t xml:space="preserve">Rows </w:t>
      </w:r>
      <w:r w:rsidR="002E3934">
        <w:t>in [</w:t>
      </w:r>
      <w:r w:rsidR="00115A30">
        <w:t>Peppol</w:t>
      </w:r>
      <w:r w:rsidR="002E3934">
        <w:t xml:space="preserve">_CodeList] </w:t>
      </w:r>
      <w:r w:rsidRPr="00A71CFB">
        <w:t>marked as "deprecated" should not be used for newly issued documents.</w:t>
      </w:r>
      <w:r w:rsidR="002D08B0">
        <w:t xml:space="preserve"> </w:t>
      </w:r>
      <w:r w:rsidR="008A7128" w:rsidRPr="001F4312">
        <w:t xml:space="preserve">It is important to note that this is a dynamic list. Over time new services will be added. Developers should take this into account when designing and implementing solutions for </w:t>
      </w:r>
      <w:r w:rsidR="00115A30">
        <w:t>Peppol</w:t>
      </w:r>
      <w:r w:rsidR="008A7128" w:rsidRPr="001F4312">
        <w:t xml:space="preserve"> services.</w:t>
      </w:r>
    </w:p>
    <w:p w14:paraId="372935CC" w14:textId="77777777" w:rsidR="004225A4" w:rsidRDefault="004225A4" w:rsidP="00E15FB4">
      <w:pPr>
        <w:pStyle w:val="berschrift1"/>
      </w:pPr>
      <w:bookmarkStart w:id="132" w:name="_Toc316247570"/>
      <w:bookmarkStart w:id="133" w:name="_Toc54986024"/>
      <w:r w:rsidRPr="00E15FB4">
        <w:lastRenderedPageBreak/>
        <w:t xml:space="preserve">Policy </w:t>
      </w:r>
      <w:r w:rsidR="00377E1D">
        <w:t xml:space="preserve">for </w:t>
      </w:r>
      <w:r w:rsidR="00115A30">
        <w:t>Peppol</w:t>
      </w:r>
      <w:r w:rsidR="00377E1D">
        <w:t xml:space="preserve"> Process </w:t>
      </w:r>
      <w:bookmarkEnd w:id="132"/>
      <w:r w:rsidR="00377E1D">
        <w:t>Identifiers</w:t>
      </w:r>
      <w:bookmarkEnd w:id="133"/>
    </w:p>
    <w:p w14:paraId="43019905" w14:textId="77777777"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w:t>
      </w:r>
      <w:r w:rsidR="00115A30">
        <w:t>Peppol</w:t>
      </w:r>
      <w:r w:rsidR="00775DB5" w:rsidRPr="00EC738F">
        <w:t xml:space="preserve"> BIS specification</w:t>
      </w:r>
      <w:r w:rsidR="00775DB5">
        <w:t xml:space="preserve"> as “profile identifier”</w:t>
      </w:r>
      <w:r w:rsidR="00775DB5" w:rsidRPr="00EC738F">
        <w:t>.</w:t>
      </w:r>
    </w:p>
    <w:p w14:paraId="2F581A5A" w14:textId="555DBB2F" w:rsidR="006D1F48" w:rsidRPr="006D1F48" w:rsidRDefault="006D1F48" w:rsidP="006D1F48">
      <w:r>
        <w:t xml:space="preserve">As outlined in </w:t>
      </w:r>
      <w:r w:rsidR="00554D27">
        <w:fldChar w:fldCharType="begin"/>
      </w:r>
      <w:r w:rsidR="00B26C62">
        <w:instrText xml:space="preserve"> REF _Ref317490234 \r \h </w:instrText>
      </w:r>
      <w:r w:rsidR="00554D27">
        <w:fldChar w:fldCharType="separate"/>
      </w:r>
      <w:r w:rsidR="00EA0922">
        <w:t>POLICY 2</w:t>
      </w:r>
      <w:r w:rsidR="00554D27">
        <w:fldChar w:fldCharType="end"/>
      </w:r>
      <w:r>
        <w:t xml:space="preserve"> </w:t>
      </w:r>
      <w:r w:rsidR="00115A30">
        <w:t>Peppol</w:t>
      </w:r>
      <w:r>
        <w:t xml:space="preserve"> process identifiers have to be treated case sensitive.</w:t>
      </w:r>
    </w:p>
    <w:p w14:paraId="61F7B7C0" w14:textId="77777777" w:rsidR="004225A4" w:rsidRPr="001407A3" w:rsidRDefault="00E97FD2" w:rsidP="004225A4">
      <w:pPr>
        <w:pStyle w:val="PolicyHeader"/>
      </w:pPr>
      <w:bookmarkStart w:id="134" w:name="_Ref281927369"/>
      <w:bookmarkStart w:id="135" w:name="_Toc54986025"/>
      <w:r>
        <w:t>Process Identifier S</w:t>
      </w:r>
      <w:r w:rsidR="004225A4">
        <w:t>cheme</w:t>
      </w:r>
      <w:bookmarkEnd w:id="134"/>
      <w:bookmarkEnd w:id="135"/>
    </w:p>
    <w:p w14:paraId="77511E68" w14:textId="77777777" w:rsidR="004225A4" w:rsidRDefault="004225A4" w:rsidP="004225A4">
      <w:pPr>
        <w:pStyle w:val="Policy"/>
      </w:pPr>
      <w:r>
        <w:t xml:space="preserve">The </w:t>
      </w:r>
      <w:r w:rsidR="00115A30">
        <w:t>Peppol</w:t>
      </w:r>
      <w:r>
        <w:t xml:space="preserve"> </w:t>
      </w:r>
      <w:r w:rsidR="009B1E23">
        <w:t>P</w:t>
      </w:r>
      <w:r>
        <w:t xml:space="preserve">rocess </w:t>
      </w:r>
      <w:r w:rsidR="009B1E23">
        <w:t>I</w:t>
      </w:r>
      <w:r>
        <w:t xml:space="preserve">dentifier </w:t>
      </w:r>
      <w:r w:rsidR="00E97FD2">
        <w:t>S</w:t>
      </w:r>
      <w:r>
        <w:t xml:space="preserve">cheme </w:t>
      </w:r>
      <w:r w:rsidR="009B1E23">
        <w:t>is</w:t>
      </w:r>
      <w:r w:rsidR="002816AA">
        <w:t>:</w:t>
      </w:r>
    </w:p>
    <w:p w14:paraId="7E087DEE" w14:textId="77777777" w:rsidR="004225A4" w:rsidRPr="001407A3" w:rsidRDefault="004225A4" w:rsidP="006D1F48">
      <w:pPr>
        <w:pStyle w:val="Inlinecode"/>
      </w:pPr>
      <w:r>
        <w:t>cenbii-procid-ubl</w:t>
      </w:r>
    </w:p>
    <w:p w14:paraId="26D400EF" w14:textId="77777777" w:rsidR="00DA409B" w:rsidRDefault="00B26C62" w:rsidP="00DA409B">
      <w:r>
        <w:t xml:space="preserve">Applies to: all </w:t>
      </w:r>
      <w:r w:rsidR="0038411E">
        <w:t>P</w:t>
      </w:r>
      <w:r>
        <w:t xml:space="preserve">rocess </w:t>
      </w:r>
      <w:r w:rsidR="0038411E">
        <w:t>I</w:t>
      </w:r>
      <w:r>
        <w:t>dentifiers in all component</w:t>
      </w:r>
      <w:r w:rsidR="002A3ECC">
        <w:t>s</w:t>
      </w:r>
    </w:p>
    <w:p w14:paraId="2E3492D6" w14:textId="77777777" w:rsidR="001870DB" w:rsidRDefault="001870DB" w:rsidP="00DA409B">
      <w:r>
        <w:t>Note: this scheme identifier is always case sensitive</w:t>
      </w:r>
    </w:p>
    <w:p w14:paraId="31F1F68E" w14:textId="77777777" w:rsidR="004225A4" w:rsidRDefault="004225A4" w:rsidP="004225A4">
      <w:pPr>
        <w:pStyle w:val="PolicyHeader"/>
      </w:pPr>
      <w:bookmarkStart w:id="136" w:name="_Toc54986026"/>
      <w:r>
        <w:t>Process Identifier</w:t>
      </w:r>
      <w:r w:rsidR="00E97FD2">
        <w:t xml:space="preserve"> </w:t>
      </w:r>
      <w:r w:rsidR="0047136B">
        <w:t>V</w:t>
      </w:r>
      <w:r w:rsidR="00E97FD2">
        <w:t>alue</w:t>
      </w:r>
      <w:bookmarkEnd w:id="136"/>
    </w:p>
    <w:p w14:paraId="2A8C851F" w14:textId="77777777" w:rsidR="00A70EFD" w:rsidRDefault="00A70EFD" w:rsidP="004225A4">
      <w:pPr>
        <w:pStyle w:val="Policy"/>
      </w:pPr>
      <w:r>
        <w:t>All valid Process Identifier Values are defined in [</w:t>
      </w:r>
      <w:r w:rsidR="00115A30">
        <w:t>Peppol</w:t>
      </w:r>
      <w:r>
        <w:t>_CodeList].</w:t>
      </w:r>
    </w:p>
    <w:p w14:paraId="6BDBC070" w14:textId="088FD167" w:rsidR="00E97FD2" w:rsidRDefault="00E97FD2" w:rsidP="004225A4">
      <w:pPr>
        <w:pStyle w:val="Policy"/>
      </w:pPr>
      <w:r>
        <w:t>Process Identifier Values MUST NOT contain whitespace characters</w:t>
      </w:r>
      <w:r w:rsidR="00D21F90">
        <w:t xml:space="preserve"> (ASCII 9, 10, 11, 12, 13, 32, 133, 160)</w:t>
      </w:r>
      <w:r>
        <w:t>.</w:t>
      </w:r>
    </w:p>
    <w:p w14:paraId="68728225" w14:textId="77777777" w:rsidR="00691638" w:rsidRDefault="008312A1" w:rsidP="004225A4">
      <w:r>
        <w:t>Applies to: all P</w:t>
      </w:r>
      <w:r w:rsidR="00B26C62">
        <w:t xml:space="preserve">rocess </w:t>
      </w:r>
      <w:r>
        <w:t>I</w:t>
      </w:r>
      <w:r w:rsidR="00B26C62">
        <w:t>dentifiers in all component</w:t>
      </w:r>
      <w:r w:rsidR="002A3ECC">
        <w:t>s</w:t>
      </w:r>
    </w:p>
    <w:p w14:paraId="0BF7B038" w14:textId="77777777" w:rsidR="004C78B3" w:rsidRDefault="004225A4">
      <w:pPr>
        <w:pStyle w:val="ExampleHeader"/>
      </w:pPr>
      <w:r w:rsidRPr="003F6527">
        <w:t>Example</w:t>
      </w:r>
      <w:r w:rsidR="004E0D0E">
        <w:t xml:space="preserve"> 1</w:t>
      </w:r>
      <w:r w:rsidR="00C746CA">
        <w:t xml:space="preserve"> (from Billing BIS v3)</w:t>
      </w:r>
      <w:r w:rsidRPr="003F6527">
        <w:t>:</w:t>
      </w:r>
    </w:p>
    <w:p w14:paraId="3830019A" w14:textId="77777777" w:rsidR="00DA409B" w:rsidRDefault="00C746CA" w:rsidP="00B26C62">
      <w:pPr>
        <w:pStyle w:val="Code"/>
        <w:shd w:val="clear" w:color="auto" w:fill="FFFFFF"/>
        <w:ind w:left="567"/>
      </w:pPr>
      <w:r>
        <w:t>urn:fdc:peppol.eu:2017:poacc:billing:01:1.0</w:t>
      </w:r>
    </w:p>
    <w:p w14:paraId="24BA3FB2" w14:textId="77777777" w:rsidR="004C78B3" w:rsidRDefault="0030114D">
      <w:pPr>
        <w:pStyle w:val="ExampleHeader"/>
      </w:pPr>
      <w:r w:rsidRPr="003F6527">
        <w:t>Example</w:t>
      </w:r>
      <w:r>
        <w:t xml:space="preserve"> 2</w:t>
      </w:r>
      <w:r w:rsidR="00C746CA">
        <w:t xml:space="preserve"> (from Order BIS v2)</w:t>
      </w:r>
      <w:r w:rsidRPr="003F6527">
        <w:t>:</w:t>
      </w:r>
    </w:p>
    <w:p w14:paraId="182A65D6" w14:textId="77777777" w:rsidR="009934E8" w:rsidRDefault="00C746CA" w:rsidP="00B26C62">
      <w:pPr>
        <w:pStyle w:val="Code"/>
        <w:shd w:val="clear" w:color="auto" w:fill="FFFFFF"/>
        <w:ind w:left="567"/>
      </w:pPr>
      <w:r w:rsidRPr="00C746CA">
        <w:t>urn:www.cenbii.eu:profile:bii03:ver2.0</w:t>
      </w:r>
    </w:p>
    <w:p w14:paraId="2D9171E0" w14:textId="77777777" w:rsidR="002D08B0" w:rsidRPr="002D08B0" w:rsidRDefault="002D08B0" w:rsidP="002D08B0">
      <w:r w:rsidRPr="00A71CFB">
        <w:t xml:space="preserve">Rows </w:t>
      </w:r>
      <w:r>
        <w:t>in [</w:t>
      </w:r>
      <w:r w:rsidR="00115A30">
        <w:t>Peppol</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14:paraId="3FCA5B84" w14:textId="77777777" w:rsidR="004B35DF" w:rsidRDefault="004B35DF" w:rsidP="004B35DF">
      <w:pPr>
        <w:pStyle w:val="PolicyHeader"/>
      </w:pPr>
      <w:bookmarkStart w:id="137" w:name="_Toc54986027"/>
      <w:r>
        <w:t xml:space="preserve">Specifying Process Identifiers in </w:t>
      </w:r>
      <w:r w:rsidR="005B2CF7">
        <w:t>the</w:t>
      </w:r>
      <w:r>
        <w:t xml:space="preserve"> Envelope</w:t>
      </w:r>
      <w:r w:rsidR="005B2CF7">
        <w:t xml:space="preserve"> (SBDH)</w:t>
      </w:r>
      <w:bookmarkEnd w:id="137"/>
    </w:p>
    <w:p w14:paraId="5125B92F" w14:textId="2586770F" w:rsidR="008D2559" w:rsidRDefault="00036305">
      <w:pPr>
        <w:pStyle w:val="Policy"/>
      </w:pPr>
      <w:r w:rsidRPr="00036305">
        <w:t xml:space="preserve">When the </w:t>
      </w:r>
      <w:r w:rsidR="00C44A9C">
        <w:t>“</w:t>
      </w:r>
      <w:r w:rsidRPr="00036305">
        <w:t>//BusinessScope/Scope/Type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//BusinessScope/Scope/Identifier</w:t>
      </w:r>
      <w:r w:rsidR="00C44A9C">
        <w:t>”</w:t>
      </w:r>
      <w:r w:rsidRPr="00036305">
        <w:t xml:space="preserve"> element must be “cenbii-procid-ubl” (see </w:t>
      </w:r>
      <w:r w:rsidR="00D976BB">
        <w:fldChar w:fldCharType="begin"/>
      </w:r>
      <w:r w:rsidR="00D976BB">
        <w:instrText xml:space="preserve"> REF _Ref281927369 \r \h  \* MERGEFORMAT </w:instrText>
      </w:r>
      <w:r w:rsidR="00D976BB">
        <w:fldChar w:fldCharType="separate"/>
      </w:r>
      <w:r w:rsidR="00EA0922">
        <w:t>POLICY 24</w:t>
      </w:r>
      <w:r w:rsidR="00D976BB">
        <w:fldChar w:fldCharType="end"/>
      </w:r>
      <w:r w:rsidRPr="00036305">
        <w:t xml:space="preserve">) and the value of the element </w:t>
      </w:r>
      <w:r w:rsidR="00C44A9C">
        <w:t>“</w:t>
      </w:r>
      <w:r w:rsidRPr="00036305">
        <w:t>//BusinessScope/Scope/InstanceIdentifier</w:t>
      </w:r>
      <w:r w:rsidR="00C44A9C">
        <w:t>”</w:t>
      </w:r>
      <w:r w:rsidRPr="00036305">
        <w:t xml:space="preserve"> must be the process identifier itself.</w:t>
      </w:r>
    </w:p>
    <w:p w14:paraId="2F3E1EEF" w14:textId="77777777" w:rsidR="004B35DF" w:rsidRDefault="004B35DF" w:rsidP="004B35DF">
      <w:r>
        <w:t xml:space="preserve">Applies to: </w:t>
      </w:r>
      <w:r w:rsidR="00C44A9C">
        <w:t xml:space="preserve">all instances of the </w:t>
      </w:r>
      <w:r w:rsidR="00115A30">
        <w:t>Peppol</w:t>
      </w:r>
      <w:r>
        <w:t xml:space="preserve"> Business </w:t>
      </w:r>
      <w:r w:rsidR="005B2CF7">
        <w:t xml:space="preserve">Message </w:t>
      </w:r>
      <w:r>
        <w:t>Envelope</w:t>
      </w:r>
      <w:r w:rsidR="005B2CF7">
        <w:t xml:space="preserve"> (SBDH)</w:t>
      </w:r>
    </w:p>
    <w:p w14:paraId="7D358F03" w14:textId="77777777" w:rsidR="004C78B3" w:rsidRDefault="004B35DF">
      <w:pPr>
        <w:pStyle w:val="ExampleHeader"/>
      </w:pPr>
      <w:r w:rsidRPr="00A27C15">
        <w:t>Example:</w:t>
      </w:r>
    </w:p>
    <w:p w14:paraId="0ABC5E47" w14:textId="77777777" w:rsidR="004B35DF" w:rsidRDefault="004B35DF" w:rsidP="004B35DF">
      <w:pPr>
        <w:pStyle w:val="Code"/>
        <w:shd w:val="clear" w:color="auto" w:fill="FFFFFF"/>
        <w:ind w:left="567"/>
      </w:pPr>
      <w:r>
        <w:t>&lt;BusinessScope&gt;</w:t>
      </w:r>
    </w:p>
    <w:p w14:paraId="77798AC1" w14:textId="77777777" w:rsidR="004B35DF" w:rsidRDefault="004B35DF" w:rsidP="004B35DF">
      <w:pPr>
        <w:pStyle w:val="Code"/>
        <w:shd w:val="clear" w:color="auto" w:fill="FFFFFF"/>
        <w:ind w:left="567"/>
      </w:pPr>
      <w:r>
        <w:t xml:space="preserve">  &lt;Scope&gt;</w:t>
      </w:r>
    </w:p>
    <w:p w14:paraId="0CCCFA77" w14:textId="77777777" w:rsidR="00C44A9C" w:rsidRDefault="004B35DF" w:rsidP="004B35DF">
      <w:pPr>
        <w:pStyle w:val="Code"/>
        <w:shd w:val="clear" w:color="auto" w:fill="FFFFFF"/>
        <w:ind w:left="567"/>
      </w:pPr>
      <w:r>
        <w:t xml:space="preserve">    &lt;Type&gt;</w:t>
      </w:r>
      <w:r w:rsidR="00036305" w:rsidRPr="00036305">
        <w:t>PROCESSID&lt;/Type&gt;</w:t>
      </w:r>
    </w:p>
    <w:p w14:paraId="2EB14D85" w14:textId="77777777" w:rsidR="00C44A9C" w:rsidRDefault="00C44A9C" w:rsidP="004B35DF">
      <w:pPr>
        <w:pStyle w:val="Code"/>
        <w:shd w:val="clear" w:color="auto" w:fill="FFFFFF"/>
        <w:ind w:left="567"/>
      </w:pPr>
      <w:r>
        <w:t xml:space="preserve">    </w:t>
      </w:r>
      <w:r w:rsidR="00036305" w:rsidRPr="00036305">
        <w:t>&lt;InstanceIdentifier&gt;</w:t>
      </w:r>
    </w:p>
    <w:p w14:paraId="62F7BA2F" w14:textId="77777777" w:rsidR="004B35DF" w:rsidRPr="005123D1" w:rsidRDefault="00036305" w:rsidP="004B35DF">
      <w:pPr>
        <w:pStyle w:val="Code"/>
        <w:shd w:val="clear" w:color="auto" w:fill="FFFFFF"/>
        <w:ind w:left="567"/>
      </w:pPr>
      <w:r w:rsidRPr="00036305">
        <w:t>urn:www.cenbii.eu:profile:bii04:ver1.0&lt;/InstanceIdentifier&gt;</w:t>
      </w:r>
    </w:p>
    <w:p w14:paraId="54AE993B" w14:textId="77777777" w:rsidR="004B35DF" w:rsidRDefault="00036305" w:rsidP="004B35DF">
      <w:pPr>
        <w:pStyle w:val="Code"/>
        <w:shd w:val="clear" w:color="auto" w:fill="FFFFFF"/>
        <w:ind w:left="567"/>
      </w:pPr>
      <w:r w:rsidRPr="00036305">
        <w:t xml:space="preserve">    &lt;Identifier&gt;cenbii-procid-ubl&lt;/Identifier</w:t>
      </w:r>
      <w:r w:rsidR="004B35DF">
        <w:t>&gt;</w:t>
      </w:r>
    </w:p>
    <w:p w14:paraId="49394573" w14:textId="77777777" w:rsidR="004B35DF" w:rsidRDefault="004B35DF" w:rsidP="004B35DF">
      <w:pPr>
        <w:pStyle w:val="Code"/>
        <w:shd w:val="clear" w:color="auto" w:fill="FFFFFF"/>
        <w:ind w:left="567"/>
      </w:pPr>
      <w:r>
        <w:t xml:space="preserve">  &lt;/Scope&gt;</w:t>
      </w:r>
    </w:p>
    <w:p w14:paraId="352A1E86" w14:textId="77777777" w:rsidR="004B35DF" w:rsidRDefault="004B35DF" w:rsidP="004B35DF">
      <w:pPr>
        <w:pStyle w:val="Code"/>
        <w:shd w:val="clear" w:color="auto" w:fill="FFFFFF"/>
        <w:ind w:left="567"/>
      </w:pPr>
      <w:r>
        <w:t>&lt;/BusinessScope&gt;</w:t>
      </w:r>
    </w:p>
    <w:p w14:paraId="2BE1DB0A" w14:textId="77777777" w:rsidR="00036305" w:rsidRPr="00036305" w:rsidRDefault="00C44A9C" w:rsidP="00036305">
      <w:r>
        <w:t>Note: the order of elements is defined by the Standard Business Document Header XML Schema.</w:t>
      </w:r>
    </w:p>
    <w:p w14:paraId="129CD8BD" w14:textId="77777777" w:rsidR="00667607" w:rsidRPr="001407A3" w:rsidRDefault="00667607" w:rsidP="00667607">
      <w:pPr>
        <w:pStyle w:val="PolicyHeader"/>
      </w:pPr>
      <w:bookmarkStart w:id="138" w:name="_Toc54986028"/>
      <w:r w:rsidRPr="001407A3">
        <w:t xml:space="preserve">Specifying </w:t>
      </w:r>
      <w:r>
        <w:t>Process</w:t>
      </w:r>
      <w:r w:rsidRPr="001407A3">
        <w:t xml:space="preserve"> Identifiers in </w:t>
      </w:r>
      <w:r>
        <w:t>SMP</w:t>
      </w:r>
      <w:r w:rsidR="00E61519">
        <w:t xml:space="preserve"> documents</w:t>
      </w:r>
      <w:bookmarkEnd w:id="138"/>
    </w:p>
    <w:p w14:paraId="263396CA" w14:textId="2FF54C5F"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554D27">
        <w:fldChar w:fldCharType="begin"/>
      </w:r>
      <w:r w:rsidR="00E61519">
        <w:instrText xml:space="preserve"> REF _Ref281927369 \r \h </w:instrText>
      </w:r>
      <w:r w:rsidR="00554D27">
        <w:fldChar w:fldCharType="separate"/>
      </w:r>
      <w:r w:rsidR="00EA0922">
        <w:t>POLICY 24</w:t>
      </w:r>
      <w:r w:rsidR="00554D27">
        <w:fldChar w:fldCharType="end"/>
      </w:r>
      <w:r w:rsidR="00E61519">
        <w:t>) and the element value must be the process identifier itself.</w:t>
      </w:r>
    </w:p>
    <w:p w14:paraId="242C8BD7" w14:textId="77777777" w:rsidR="003F6527" w:rsidRDefault="00B26C62" w:rsidP="00667607">
      <w:r>
        <w:lastRenderedPageBreak/>
        <w:t>Applies to: XML documents used in the SMP</w:t>
      </w:r>
    </w:p>
    <w:p w14:paraId="5BFD8362" w14:textId="77777777" w:rsidR="004C78B3" w:rsidRDefault="00900A19">
      <w:pPr>
        <w:pStyle w:val="ExampleHeader"/>
      </w:pPr>
      <w:r w:rsidRPr="003F6527">
        <w:t>E</w:t>
      </w:r>
      <w:r w:rsidR="00667607" w:rsidRPr="003F6527">
        <w:t>xample</w:t>
      </w:r>
      <w:r w:rsidR="004E0D0E">
        <w:t xml:space="preserve"> 1 (</w:t>
      </w:r>
      <w:r w:rsidR="003C7500" w:rsidRPr="003F4ADF">
        <w:t>CEN/BII</w:t>
      </w:r>
      <w:r w:rsidR="004E0D0E">
        <w:t>)</w:t>
      </w:r>
      <w:r w:rsidR="003C7500" w:rsidRPr="003F4ADF">
        <w:t>:</w:t>
      </w:r>
    </w:p>
    <w:p w14:paraId="27A61CFF" w14:textId="77777777" w:rsidR="00667607" w:rsidRDefault="00667607" w:rsidP="003F6527">
      <w:pPr>
        <w:pStyle w:val="Code"/>
        <w:shd w:val="clear" w:color="auto" w:fill="FFFFFF"/>
        <w:ind w:left="567"/>
      </w:pPr>
      <w:r w:rsidRPr="00667607">
        <w:t>&lt;ProcessIdentifier scheme="cenbii-procid-ubl"</w:t>
      </w:r>
      <w:r w:rsidR="00A27C15">
        <w:br/>
      </w:r>
      <w:r w:rsidRPr="00667607">
        <w:t>&gt;urn:www.cenbii.eu:profile:bii03:ver1.0&lt;/ProcessIdentifier&gt;</w:t>
      </w:r>
    </w:p>
    <w:p w14:paraId="2AB326AC" w14:textId="77777777" w:rsidR="004C78B3" w:rsidRDefault="004E0D0E">
      <w:pPr>
        <w:pStyle w:val="ExampleHeader"/>
      </w:pPr>
      <w:r w:rsidRPr="003F6527">
        <w:t>Example</w:t>
      </w:r>
      <w:r>
        <w:t xml:space="preserve"> 2 (</w:t>
      </w:r>
      <w:r w:rsidRPr="00DE6EDD">
        <w:t>CEN/BII</w:t>
      </w:r>
      <w:r>
        <w:t>2)</w:t>
      </w:r>
      <w:r w:rsidRPr="00DE6EDD">
        <w:t>:</w:t>
      </w:r>
    </w:p>
    <w:p w14:paraId="35DF6BA0" w14:textId="77777777" w:rsidR="009934E8" w:rsidRPr="001407A3" w:rsidRDefault="009934E8" w:rsidP="003F6527">
      <w:pPr>
        <w:pStyle w:val="Code"/>
        <w:shd w:val="clear" w:color="auto" w:fill="FFFFFF"/>
        <w:ind w:left="567"/>
      </w:pPr>
      <w:r w:rsidRPr="00667607">
        <w:t>&lt;ProcessIdentifier scheme="cenbii-procid-ubl"</w:t>
      </w:r>
      <w:r w:rsidR="00A27C15">
        <w:br/>
      </w:r>
      <w:r w:rsidRPr="00667607">
        <w:t>&gt;urn:www.cenbii.eu:profile:bii03:ver</w:t>
      </w:r>
      <w:r>
        <w:t>2</w:t>
      </w:r>
      <w:r w:rsidRPr="00667607">
        <w:t>.0&lt;/ProcessIdentifier&gt;</w:t>
      </w:r>
    </w:p>
    <w:p w14:paraId="5730BC7B" w14:textId="77777777" w:rsidR="008D4811" w:rsidRPr="00E15FB4" w:rsidRDefault="008D4811" w:rsidP="00E15FB4">
      <w:pPr>
        <w:pStyle w:val="berschrift1"/>
      </w:pPr>
      <w:bookmarkStart w:id="139" w:name="_Toc54986029"/>
      <w:r w:rsidRPr="00E15FB4">
        <w:lastRenderedPageBreak/>
        <w:t xml:space="preserve">Policy on Identifying Transport Profiles in </w:t>
      </w:r>
      <w:r w:rsidR="00115A30">
        <w:t>Peppol</w:t>
      </w:r>
      <w:bookmarkEnd w:id="139"/>
    </w:p>
    <w:p w14:paraId="03BB8EFB" w14:textId="77777777" w:rsidR="008D4811" w:rsidRPr="00E15FB4" w:rsidRDefault="008D4811" w:rsidP="00E15FB4">
      <w:pPr>
        <w:pStyle w:val="berschrift2"/>
      </w:pPr>
      <w:bookmarkStart w:id="140" w:name="_Toc54986030"/>
      <w:r w:rsidRPr="00E15FB4">
        <w:t>SMP</w:t>
      </w:r>
      <w:bookmarkEnd w:id="140"/>
    </w:p>
    <w:p w14:paraId="4D68F3EC" w14:textId="77777777" w:rsidR="008D4811" w:rsidRDefault="002A3ECC" w:rsidP="008D4811">
      <w:r>
        <w:t xml:space="preserve">The </w:t>
      </w:r>
      <w:r w:rsidR="00115A30">
        <w:t>Peppol</w:t>
      </w:r>
      <w:r>
        <w:t xml:space="preserve">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14:paraId="4E627C2D" w14:textId="77777777" w:rsidR="00953680" w:rsidRPr="001407A3" w:rsidRDefault="00D27B0D" w:rsidP="00953680">
      <w:pPr>
        <w:pStyle w:val="PolicyHeader"/>
      </w:pPr>
      <w:bookmarkStart w:id="141" w:name="_Toc54986031"/>
      <w:r>
        <w:t>Transport Profile Values</w:t>
      </w:r>
      <w:bookmarkEnd w:id="141"/>
    </w:p>
    <w:p w14:paraId="3342A337" w14:textId="77777777" w:rsidR="00953680" w:rsidRPr="001407A3" w:rsidRDefault="00953680" w:rsidP="00953680">
      <w:pPr>
        <w:pStyle w:val="Policy"/>
      </w:pPr>
      <w:r w:rsidRPr="00C43EFC">
        <w:t xml:space="preserve">All valid </w:t>
      </w:r>
      <w:r>
        <w:t xml:space="preserve">Transport Profile </w:t>
      </w:r>
      <w:r w:rsidRPr="00C43EFC">
        <w:t>Values are defined in [</w:t>
      </w:r>
      <w:r w:rsidR="00115A30">
        <w:t>Peppol</w:t>
      </w:r>
      <w:r w:rsidRPr="00C43EFC">
        <w:t>_CodeList].</w:t>
      </w:r>
    </w:p>
    <w:p w14:paraId="1E7C38CB" w14:textId="77777777" w:rsidR="00953680" w:rsidRDefault="00953680" w:rsidP="00953680">
      <w:r>
        <w:t>Applies to: all XML documents used in the SMP</w:t>
      </w:r>
    </w:p>
    <w:p w14:paraId="1E9B85FC" w14:textId="77777777" w:rsidR="006634D0" w:rsidRPr="006634D0" w:rsidRDefault="006634D0" w:rsidP="00953680">
      <w:r w:rsidRPr="00A71CFB">
        <w:t xml:space="preserve">Rows </w:t>
      </w:r>
      <w:r>
        <w:t>in [</w:t>
      </w:r>
      <w:r w:rsidR="00115A30">
        <w:t>Peppol</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14:paraId="4F6FDDE7" w14:textId="77777777" w:rsidR="008D4811" w:rsidRPr="001407A3" w:rsidRDefault="008D4811" w:rsidP="008D4811">
      <w:pPr>
        <w:pStyle w:val="PolicyHeader"/>
      </w:pPr>
      <w:bookmarkStart w:id="142" w:name="_Toc54986032"/>
      <w:r w:rsidRPr="001407A3">
        <w:t xml:space="preserve">Specifying </w:t>
      </w:r>
      <w:r>
        <w:t xml:space="preserve">Transport Profiles </w:t>
      </w:r>
      <w:r w:rsidRPr="001407A3">
        <w:t xml:space="preserve">in </w:t>
      </w:r>
      <w:r>
        <w:t>SMP documents</w:t>
      </w:r>
      <w:bookmarkEnd w:id="142"/>
    </w:p>
    <w:p w14:paraId="11A0BA17" w14:textId="77777777"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14:paraId="5E0FCFA8" w14:textId="77777777"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14:paraId="1F9E4EED" w14:textId="77777777" w:rsidR="008D4811" w:rsidRPr="00F96311" w:rsidRDefault="008D4811" w:rsidP="008D4811">
      <w:r>
        <w:t xml:space="preserve">Applies to: </w:t>
      </w:r>
      <w:r w:rsidR="00493F33">
        <w:t xml:space="preserve">all </w:t>
      </w:r>
      <w:r>
        <w:t xml:space="preserve">XML documents used in the </w:t>
      </w:r>
      <w:r w:rsidRPr="00F96311">
        <w:t>SMP</w:t>
      </w:r>
    </w:p>
    <w:p w14:paraId="1746AD59" w14:textId="77777777" w:rsidR="004C78B3" w:rsidRDefault="005C6AB6">
      <w:pPr>
        <w:pStyle w:val="ExampleHeader"/>
      </w:pPr>
      <w:r w:rsidRPr="003F6527">
        <w:t>Example</w:t>
      </w:r>
      <w:r>
        <w:t xml:space="preserve"> 1</w:t>
      </w:r>
      <w:r w:rsidR="00CD6338">
        <w:t xml:space="preserve"> (AS2</w:t>
      </w:r>
      <w:r w:rsidR="00A27C15">
        <w:t xml:space="preserve"> profile v1</w:t>
      </w:r>
      <w:r w:rsidR="00CD6338">
        <w:t>)</w:t>
      </w:r>
      <w:r w:rsidRPr="003F6527">
        <w:t>:</w:t>
      </w:r>
    </w:p>
    <w:p w14:paraId="0D74DB3E" w14:textId="77777777"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14:paraId="570B9DEF" w14:textId="77777777" w:rsidR="005C6AB6" w:rsidRDefault="005C6AB6" w:rsidP="005C6AB6">
      <w:pPr>
        <w:pStyle w:val="Code"/>
        <w:shd w:val="clear" w:color="auto" w:fill="FFFFFF"/>
        <w:ind w:left="567"/>
      </w:pPr>
      <w:r>
        <w:t xml:space="preserve">  ...</w:t>
      </w:r>
    </w:p>
    <w:p w14:paraId="73B6AD71" w14:textId="77777777" w:rsidR="005C6AB6" w:rsidRPr="001407A3" w:rsidRDefault="005C6AB6" w:rsidP="005C6AB6">
      <w:pPr>
        <w:pStyle w:val="Code"/>
        <w:shd w:val="clear" w:color="auto" w:fill="FFFFFF"/>
        <w:ind w:left="567"/>
      </w:pPr>
      <w:r w:rsidRPr="00667607">
        <w:t>&lt;/</w:t>
      </w:r>
      <w:r>
        <w:t>Endpoint</w:t>
      </w:r>
      <w:r w:rsidRPr="00667607">
        <w:t>&gt;</w:t>
      </w:r>
    </w:p>
    <w:p w14:paraId="4228BD2A" w14:textId="77777777" w:rsidR="004C78B3" w:rsidRDefault="005C6AB6">
      <w:pPr>
        <w:pStyle w:val="ExampleHeader"/>
      </w:pPr>
      <w:r w:rsidRPr="003F6527">
        <w:t>Example</w:t>
      </w:r>
      <w:r>
        <w:t xml:space="preserve"> 2</w:t>
      </w:r>
      <w:r w:rsidR="00CD6338">
        <w:t xml:space="preserve"> (AS4 profile v2)</w:t>
      </w:r>
      <w:r w:rsidRPr="003F6527">
        <w:t>:</w:t>
      </w:r>
    </w:p>
    <w:p w14:paraId="2FEDCA80" w14:textId="77777777"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14:paraId="507E6CF6" w14:textId="77777777" w:rsidR="005C6AB6" w:rsidRDefault="005C6AB6" w:rsidP="005C6AB6">
      <w:pPr>
        <w:pStyle w:val="Code"/>
        <w:shd w:val="clear" w:color="auto" w:fill="FFFFFF"/>
        <w:ind w:left="567"/>
      </w:pPr>
      <w:r>
        <w:t xml:space="preserve">  ...</w:t>
      </w:r>
    </w:p>
    <w:p w14:paraId="1D26F8C1" w14:textId="77777777" w:rsidR="005C6AB6" w:rsidRPr="001407A3" w:rsidRDefault="005C6AB6" w:rsidP="005C6AB6">
      <w:pPr>
        <w:pStyle w:val="Code"/>
        <w:shd w:val="clear" w:color="auto" w:fill="FFFFFF"/>
        <w:ind w:left="567"/>
      </w:pPr>
      <w:r w:rsidRPr="00667607">
        <w:t>&lt;/</w:t>
      </w:r>
      <w:r>
        <w:t>Endpoint</w:t>
      </w:r>
      <w:r w:rsidRPr="00667607">
        <w:t>&gt;</w:t>
      </w:r>
    </w:p>
    <w:p w14:paraId="7B21C05A" w14:textId="77777777" w:rsidR="003809D0" w:rsidRPr="00E15FB4" w:rsidRDefault="003809D0" w:rsidP="00E15FB4">
      <w:pPr>
        <w:pStyle w:val="berschrift1"/>
      </w:pPr>
      <w:bookmarkStart w:id="143" w:name="_Toc316247573"/>
      <w:bookmarkStart w:id="144" w:name="_Toc54986033"/>
      <w:r w:rsidRPr="00E15FB4">
        <w:lastRenderedPageBreak/>
        <w:t>Governance</w:t>
      </w:r>
      <w:r w:rsidR="00CB3950" w:rsidRPr="00E15FB4">
        <w:t xml:space="preserve"> of this Policy</w:t>
      </w:r>
      <w:bookmarkEnd w:id="143"/>
      <w:bookmarkEnd w:id="144"/>
    </w:p>
    <w:p w14:paraId="58DD3E65" w14:textId="77777777"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14:paraId="3AAF92B7" w14:textId="77777777"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w:t>
      </w:r>
      <w:r w:rsidR="00115A30">
        <w:t>Peppol</w:t>
      </w:r>
      <w:r w:rsidR="005B695D">
        <w:t xml:space="preserve"> Transport Infrastructure Coordinating Community (TICC)</w:t>
      </w:r>
      <w:r>
        <w:t>.</w:t>
      </w:r>
    </w:p>
    <w:p w14:paraId="7C9C5124" w14:textId="77777777"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14:paraId="13E1CA0B" w14:textId="77777777" w:rsidR="00A72582" w:rsidRDefault="00A72582" w:rsidP="00BF0A1A">
      <w:pPr>
        <w:numPr>
          <w:ilvl w:val="0"/>
          <w:numId w:val="7"/>
        </w:numPr>
      </w:pPr>
      <w:r>
        <w:t>It should be verified, whether an inclusion in the official ISO 6523 code list is possible</w:t>
      </w:r>
    </w:p>
    <w:p w14:paraId="5810B421" w14:textId="77777777"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14:paraId="13DB2F4E" w14:textId="77777777"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14:paraId="5AB28A97" w14:textId="77777777" w:rsidR="003F105F" w:rsidRPr="001F4312" w:rsidRDefault="003F105F" w:rsidP="00BF0A1A">
      <w:pPr>
        <w:numPr>
          <w:ilvl w:val="0"/>
          <w:numId w:val="7"/>
        </w:numPr>
      </w:pPr>
      <w:r w:rsidRPr="001F4312">
        <w:t>Nationally defined schemes</w:t>
      </w:r>
    </w:p>
    <w:p w14:paraId="0E7BB918" w14:textId="77777777"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14:paraId="3B789952" w14:textId="77777777"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w:t>
      </w:r>
      <w:r w:rsidR="00115A30">
        <w:t>Peppol</w:t>
      </w:r>
      <w:r w:rsidR="003809D0" w:rsidRPr="00546B07">
        <w:t xml:space="preserve">.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14:paraId="1C9EC332" w14:textId="77777777"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11B317EE" w14:textId="2DC6D471"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w:t>
      </w:r>
      <w:r w:rsidR="00115A30">
        <w:t>Peppol</w:t>
      </w:r>
      <w:r w:rsidRPr="006132BB">
        <w:t xml:space="preserve"> sustainability programme.</w:t>
      </w:r>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B0156" w14:textId="77777777" w:rsidR="00E21E96" w:rsidRDefault="00E21E96" w:rsidP="009858FE">
      <w:r>
        <w:separator/>
      </w:r>
    </w:p>
  </w:endnote>
  <w:endnote w:type="continuationSeparator" w:id="0">
    <w:p w14:paraId="050A7186" w14:textId="77777777" w:rsidR="00E21E96" w:rsidRDefault="00E21E96"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5426B" w14:textId="77777777" w:rsidR="00597548" w:rsidRDefault="00597548" w:rsidP="00ED5962">
    <w:pPr>
      <w:pBdr>
        <w:top w:val="single" w:sz="4" w:space="1" w:color="auto"/>
      </w:pBdr>
      <w:tabs>
        <w:tab w:val="center" w:pos="4820"/>
        <w:tab w:val="right" w:pos="9639"/>
      </w:tabs>
      <w:rPr>
        <w:rFonts w:cs="Arial"/>
        <w:noProof/>
        <w:lang w:eastAsia="en-GB"/>
      </w:rPr>
    </w:pPr>
  </w:p>
  <w:p w14:paraId="3A81FCDB" w14:textId="77777777" w:rsidR="00597548" w:rsidRPr="00A929BA" w:rsidRDefault="00597548" w:rsidP="004047D9">
    <w:pPr>
      <w:pBdr>
        <w:top w:val="single" w:sz="4" w:space="1" w:color="auto"/>
      </w:pBdr>
      <w:tabs>
        <w:tab w:val="center" w:pos="4820"/>
        <w:tab w:val="right" w:pos="9639"/>
      </w:tabs>
      <w:jc w:val="center"/>
    </w:pPr>
    <w:r>
      <w:rPr>
        <w:rFonts w:cs="Arial"/>
        <w:noProof/>
        <w:lang w:eastAsia="en-GB"/>
      </w:rPr>
      <w:tab/>
    </w:r>
    <w:r>
      <w:rPr>
        <w:noProof/>
        <w:lang w:val="de-AT"/>
      </w:rPr>
      <w:drawing>
        <wp:inline distT="0" distB="0" distL="0" distR="0" wp14:anchorId="03F83A80" wp14:editId="64E8F9E5">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6A8DE" w14:textId="77777777" w:rsidR="00597548" w:rsidRDefault="00597548" w:rsidP="00230577">
    <w:pPr>
      <w:jc w:val="center"/>
    </w:pPr>
    <w:r>
      <w:rPr>
        <w:noProof/>
        <w:lang w:val="de-AT"/>
      </w:rPr>
      <w:drawing>
        <wp:anchor distT="0" distB="0" distL="114300" distR="114300" simplePos="0" relativeHeight="251664384" behindDoc="0" locked="0" layoutInCell="1" allowOverlap="1" wp14:anchorId="58C7A546" wp14:editId="7E1C5B86">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97576" w14:textId="77777777" w:rsidR="00E21E96" w:rsidRDefault="00E21E96" w:rsidP="009858FE">
      <w:r>
        <w:separator/>
      </w:r>
    </w:p>
  </w:footnote>
  <w:footnote w:type="continuationSeparator" w:id="0">
    <w:p w14:paraId="019C1410" w14:textId="77777777" w:rsidR="00E21E96" w:rsidRDefault="00E21E96" w:rsidP="009858FE">
      <w:r>
        <w:continuationSeparator/>
      </w:r>
    </w:p>
  </w:footnote>
  <w:footnote w:id="1">
    <w:p w14:paraId="20F00F81" w14:textId="77777777" w:rsidR="00597548" w:rsidRDefault="00597548" w:rsidP="00E91975">
      <w:r>
        <w:rPr>
          <w:rStyle w:val="Funotenzeichen"/>
        </w:rPr>
        <w:footnoteRef/>
      </w:r>
      <w:r>
        <w:t xml:space="preserve"> </w:t>
      </w:r>
      <w:r w:rsidRPr="00BB581A">
        <w:rPr>
          <w:lang w:val="en-US"/>
        </w:rPr>
        <w:t xml:space="preserve">English: </w:t>
      </w:r>
      <w:r>
        <w:t>Agency for Public Management and eGovernment</w:t>
      </w:r>
    </w:p>
  </w:footnote>
  <w:footnote w:id="2">
    <w:p w14:paraId="348F8A07" w14:textId="77777777" w:rsidR="00597548" w:rsidRDefault="00597548" w:rsidP="00E91975">
      <w:r>
        <w:rPr>
          <w:rStyle w:val="Funotenzeichen"/>
        </w:rPr>
        <w:footnoteRef/>
      </w:r>
      <w:r>
        <w:t xml:space="preserve"> </w:t>
      </w:r>
      <w:r>
        <w:rPr>
          <w:lang w:val="en-US"/>
        </w:rPr>
        <w:t>English: Danish Business Authority</w:t>
      </w:r>
    </w:p>
  </w:footnote>
  <w:footnote w:id="3">
    <w:p w14:paraId="01AEF0EF" w14:textId="77777777" w:rsidR="00597548" w:rsidRDefault="00597548" w:rsidP="00E91975">
      <w:r>
        <w:rPr>
          <w:rStyle w:val="Funotenzeichen"/>
        </w:rPr>
        <w:footnoteRef/>
      </w:r>
      <w:r w:rsidRPr="00543A39">
        <w:rPr>
          <w:rFonts w:cs="Arial"/>
          <w:lang w:val="en-US"/>
        </w:rPr>
        <w:t xml:space="preserve"> English: Austrian Federal Computing Centre </w:t>
      </w:r>
    </w:p>
  </w:footnote>
  <w:footnote w:id="4">
    <w:p w14:paraId="2F5DB1C1" w14:textId="77777777" w:rsidR="00597548" w:rsidRPr="005B2CF7" w:rsidRDefault="00597548">
      <w:pPr>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3879040B" w14:textId="77777777" w:rsidR="00597548" w:rsidRPr="005B2CF7" w:rsidRDefault="00597548">
      <w:pPr>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159CFD0E" w14:textId="77777777" w:rsidR="00597548" w:rsidRPr="00A05E6A" w:rsidRDefault="00597548">
      <w:r w:rsidRPr="00A05E6A">
        <w:rPr>
          <w:rStyle w:val="Funotenzeichen"/>
        </w:rPr>
        <w:footnoteRef/>
      </w:r>
      <w:r w:rsidRPr="00A05E6A">
        <w:t xml:space="preserve"> Note: the endpoint URL is not the same as the Endpoint ID in the business document.</w:t>
      </w:r>
    </w:p>
  </w:footnote>
  <w:footnote w:id="7">
    <w:p w14:paraId="42A4BA82" w14:textId="77777777" w:rsidR="00597548" w:rsidRPr="00B862AB" w:rsidRDefault="00597548" w:rsidP="00DF282A">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4493DE73" w14:textId="77777777" w:rsidR="00597548" w:rsidRPr="00B862AB" w:rsidRDefault="00597548" w:rsidP="00DF282A">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77C9B7B8" w14:textId="77777777" w:rsidR="00597548" w:rsidRPr="00B862AB" w:rsidRDefault="00597548" w:rsidP="00DF282A">
      <w:r w:rsidRPr="00B862AB">
        <w:rPr>
          <w:rStyle w:val="Funotenzeichen"/>
        </w:rPr>
        <w:footnoteRef/>
      </w:r>
      <w:r w:rsidRPr="00B862AB">
        <w:t xml:space="preserve"> CEN/BII terminology</w:t>
      </w:r>
    </w:p>
  </w:footnote>
  <w:footnote w:id="10">
    <w:p w14:paraId="1099F4CC" w14:textId="77777777" w:rsidR="00597548" w:rsidRPr="00B862AB" w:rsidRDefault="00597548" w:rsidP="00DF282A">
      <w:r w:rsidRPr="00B862AB">
        <w:rPr>
          <w:rStyle w:val="Funotenzeichen"/>
        </w:rPr>
        <w:footnoteRef/>
      </w:r>
      <w:r w:rsidRPr="00B862AB">
        <w:t xml:space="preserve"> ISO 9735 Service Code List (0007) terminology</w:t>
      </w:r>
    </w:p>
  </w:footnote>
  <w:footnote w:id="11">
    <w:p w14:paraId="7D50FFC3" w14:textId="77777777" w:rsidR="00597548" w:rsidRPr="00B862AB" w:rsidRDefault="00597548" w:rsidP="00DF282A">
      <w:r w:rsidRPr="00B862AB">
        <w:rPr>
          <w:rStyle w:val="Funotenzeichen"/>
        </w:rPr>
        <w:footnoteRef/>
      </w:r>
      <w:r w:rsidRPr="00B862AB">
        <w:t xml:space="preserve"> ISO 6523 terminology</w:t>
      </w:r>
    </w:p>
  </w:footnote>
  <w:footnote w:id="12">
    <w:p w14:paraId="2770CAE3" w14:textId="77777777" w:rsidR="00597548" w:rsidRPr="00B862AB" w:rsidRDefault="00597548" w:rsidP="00DF282A">
      <w:r w:rsidRPr="00B862AB">
        <w:rPr>
          <w:rStyle w:val="Funotenzeichen"/>
        </w:rPr>
        <w:footnoteRef/>
      </w:r>
      <w:r w:rsidRPr="00B862AB">
        <w:t xml:space="preserve"> OASIS ebCore terminology</w:t>
      </w:r>
    </w:p>
  </w:footnote>
  <w:footnote w:id="13">
    <w:p w14:paraId="2D24216F" w14:textId="77777777" w:rsidR="00597548" w:rsidRPr="002B121F" w:rsidRDefault="00597548">
      <w:r>
        <w:rPr>
          <w:rStyle w:val="Funotenzeichen"/>
        </w:rPr>
        <w:footnoteRef/>
      </w:r>
      <w:r>
        <w:t xml:space="preserve"> Based on the unreserved characters of [RFC3986]</w:t>
      </w:r>
    </w:p>
  </w:footnote>
  <w:footnote w:id="14">
    <w:p w14:paraId="5E23774A" w14:textId="77777777" w:rsidR="00597548" w:rsidRPr="00B862AB" w:rsidRDefault="00597548" w:rsidP="00834A1D">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14:paraId="11A4352A" w14:textId="77777777" w:rsidR="00597548" w:rsidRPr="00B862AB" w:rsidRDefault="00597548">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14:paraId="63985995" w14:textId="77777777" w:rsidR="00597548" w:rsidRPr="00B862AB" w:rsidRDefault="00597548">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14:paraId="66B19459" w14:textId="77777777" w:rsidR="00597548" w:rsidRPr="00B862AB" w:rsidRDefault="00597548" w:rsidP="007E22AC">
      <w:r w:rsidRPr="00B862AB">
        <w:rPr>
          <w:rStyle w:val="Funotenzeichen"/>
        </w:rPr>
        <w:footnoteRef/>
      </w:r>
      <w:r w:rsidRPr="00B862AB">
        <w:t xml:space="preserve"> </w:t>
      </w:r>
      <w:r>
        <w:t xml:space="preserve">Case changes may be done but are not required, as the underlying DNS system is case insensitive. </w:t>
      </w:r>
    </w:p>
  </w:footnote>
  <w:footnote w:id="18">
    <w:p w14:paraId="459517C3" w14:textId="77777777" w:rsidR="00597548" w:rsidRPr="004B7358" w:rsidRDefault="00597548">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BB06" w14:textId="77777777" w:rsidR="00597548" w:rsidRPr="00543A39" w:rsidRDefault="00597548"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14:anchorId="72BD105B" wp14:editId="5A297848">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68AA86D" w14:textId="77777777" w:rsidR="00597548" w:rsidRPr="00543A39" w:rsidRDefault="00597548"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8.25pt;height:273.75pt" o:bullet="t">
        <v:imagedata r:id="rId1" o:title=""/>
      </v:shape>
    </w:pict>
  </w:numPicBullet>
  <w:numPicBullet w:numPicBulletId="1">
    <w:pict>
      <v:shape id="_x0000_i1059" type="#_x0000_t75" style="width:309.75pt;height:273.75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67E0809"/>
    <w:multiLevelType w:val="hybridMultilevel"/>
    <w:tmpl w:val="95601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318637A"/>
    <w:multiLevelType w:val="hybridMultilevel"/>
    <w:tmpl w:val="39F2774A"/>
    <w:lvl w:ilvl="0" w:tplc="FA9A69B2">
      <w:start w:val="1"/>
      <w:numFmt w:val="decimal"/>
      <w:pStyle w:val="PolicyHeader"/>
      <w:lvlText w:val="POLICY %1"/>
      <w:lvlJc w:val="left"/>
      <w:pPr>
        <w:ind w:left="36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A9F29D9"/>
    <w:multiLevelType w:val="hybridMultilevel"/>
    <w:tmpl w:val="3BDCEC0C"/>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9"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6B72143"/>
    <w:multiLevelType w:val="hybridMultilevel"/>
    <w:tmpl w:val="2160E3F6"/>
    <w:lvl w:ilvl="0" w:tplc="582E623C">
      <w:numFmt w:val="bullet"/>
      <w:lvlText w:val=""/>
      <w:lvlJc w:val="left"/>
      <w:pPr>
        <w:ind w:left="717" w:hanging="360"/>
      </w:pPr>
      <w:rPr>
        <w:rFonts w:ascii="Symbol" w:eastAsiaTheme="minorHAnsi" w:hAnsi="Symbol" w:cstheme="minorBidi"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1"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5E4D0D0C"/>
    <w:multiLevelType w:val="hybridMultilevel"/>
    <w:tmpl w:val="5A504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017251"/>
    <w:multiLevelType w:val="hybridMultilevel"/>
    <w:tmpl w:val="A14EE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5673B07"/>
    <w:multiLevelType w:val="hybridMultilevel"/>
    <w:tmpl w:val="D8B2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1"/>
  </w:num>
  <w:num w:numId="4">
    <w:abstractNumId w:val="24"/>
  </w:num>
  <w:num w:numId="5">
    <w:abstractNumId w:val="9"/>
  </w:num>
  <w:num w:numId="6">
    <w:abstractNumId w:val="5"/>
    <w:lvlOverride w:ilvl="0">
      <w:startOverride w:val="1"/>
    </w:lvlOverride>
  </w:num>
  <w:num w:numId="7">
    <w:abstractNumId w:val="14"/>
  </w:num>
  <w:num w:numId="8">
    <w:abstractNumId w:val="11"/>
  </w:num>
  <w:num w:numId="9">
    <w:abstractNumId w:val="7"/>
  </w:num>
  <w:num w:numId="10">
    <w:abstractNumId w:val="6"/>
  </w:num>
  <w:num w:numId="11">
    <w:abstractNumId w:val="25"/>
  </w:num>
  <w:num w:numId="12">
    <w:abstractNumId w:val="20"/>
  </w:num>
  <w:num w:numId="13">
    <w:abstractNumId w:val="13"/>
  </w:num>
  <w:num w:numId="14">
    <w:abstractNumId w:val="18"/>
  </w:num>
  <w:num w:numId="15">
    <w:abstractNumId w:val="5"/>
  </w:num>
  <w:num w:numId="16">
    <w:abstractNumId w:val="0"/>
  </w:num>
  <w:num w:numId="17">
    <w:abstractNumId w:val="17"/>
  </w:num>
  <w:num w:numId="18">
    <w:abstractNumId w:val="26"/>
  </w:num>
  <w:num w:numId="19">
    <w:abstractNumId w:val="1"/>
  </w:num>
  <w:num w:numId="20">
    <w:abstractNumId w:val="12"/>
  </w:num>
  <w:num w:numId="21">
    <w:abstractNumId w:val="23"/>
  </w:num>
  <w:num w:numId="22">
    <w:abstractNumId w:val="4"/>
  </w:num>
  <w:num w:numId="23">
    <w:abstractNumId w:val="10"/>
  </w:num>
  <w:num w:numId="24">
    <w:abstractNumId w:val="8"/>
  </w:num>
  <w:num w:numId="25">
    <w:abstractNumId w:val="16"/>
  </w:num>
  <w:num w:numId="26">
    <w:abstractNumId w:val="15"/>
  </w:num>
  <w:num w:numId="27">
    <w:abstractNumId w:val="22"/>
  </w:num>
  <w:num w:numId="2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997"/>
    <w:rsid w:val="00034A58"/>
    <w:rsid w:val="00035D9B"/>
    <w:rsid w:val="000362DD"/>
    <w:rsid w:val="00036305"/>
    <w:rsid w:val="000363E1"/>
    <w:rsid w:val="0004051B"/>
    <w:rsid w:val="00042025"/>
    <w:rsid w:val="000427D7"/>
    <w:rsid w:val="000431FC"/>
    <w:rsid w:val="00045822"/>
    <w:rsid w:val="000476CB"/>
    <w:rsid w:val="00047F4E"/>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A3CC2"/>
    <w:rsid w:val="000B0166"/>
    <w:rsid w:val="000B5606"/>
    <w:rsid w:val="000C388E"/>
    <w:rsid w:val="000C61A5"/>
    <w:rsid w:val="000C6231"/>
    <w:rsid w:val="000D03AE"/>
    <w:rsid w:val="000D226E"/>
    <w:rsid w:val="000D3DF1"/>
    <w:rsid w:val="000D3E30"/>
    <w:rsid w:val="000E04E6"/>
    <w:rsid w:val="000E0DE6"/>
    <w:rsid w:val="000E1D52"/>
    <w:rsid w:val="000E658C"/>
    <w:rsid w:val="000E7F16"/>
    <w:rsid w:val="000F04D8"/>
    <w:rsid w:val="000F11B1"/>
    <w:rsid w:val="000F2195"/>
    <w:rsid w:val="000F21E1"/>
    <w:rsid w:val="000F2DA9"/>
    <w:rsid w:val="000F653A"/>
    <w:rsid w:val="000F78F2"/>
    <w:rsid w:val="000F7B57"/>
    <w:rsid w:val="00101A6B"/>
    <w:rsid w:val="00107744"/>
    <w:rsid w:val="001114A9"/>
    <w:rsid w:val="00111BED"/>
    <w:rsid w:val="00112E79"/>
    <w:rsid w:val="001147C8"/>
    <w:rsid w:val="0011528D"/>
    <w:rsid w:val="00115A30"/>
    <w:rsid w:val="00124800"/>
    <w:rsid w:val="00127DA8"/>
    <w:rsid w:val="00127E28"/>
    <w:rsid w:val="00134C22"/>
    <w:rsid w:val="001356A9"/>
    <w:rsid w:val="00135E61"/>
    <w:rsid w:val="001400D2"/>
    <w:rsid w:val="001407A3"/>
    <w:rsid w:val="00143FBE"/>
    <w:rsid w:val="001443F6"/>
    <w:rsid w:val="00144841"/>
    <w:rsid w:val="00145050"/>
    <w:rsid w:val="001457FF"/>
    <w:rsid w:val="00145C7C"/>
    <w:rsid w:val="00147319"/>
    <w:rsid w:val="00153D26"/>
    <w:rsid w:val="0015765D"/>
    <w:rsid w:val="00157C28"/>
    <w:rsid w:val="00160E2B"/>
    <w:rsid w:val="001638B4"/>
    <w:rsid w:val="001638EE"/>
    <w:rsid w:val="001647D8"/>
    <w:rsid w:val="0016744F"/>
    <w:rsid w:val="00167486"/>
    <w:rsid w:val="00170A6E"/>
    <w:rsid w:val="00171C3F"/>
    <w:rsid w:val="0017546C"/>
    <w:rsid w:val="001764ED"/>
    <w:rsid w:val="00176954"/>
    <w:rsid w:val="00176B14"/>
    <w:rsid w:val="00176CAA"/>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35BF"/>
    <w:rsid w:val="001F4312"/>
    <w:rsid w:val="001F705E"/>
    <w:rsid w:val="001F721C"/>
    <w:rsid w:val="002008EA"/>
    <w:rsid w:val="002037B5"/>
    <w:rsid w:val="00203AF2"/>
    <w:rsid w:val="00206408"/>
    <w:rsid w:val="00206EC0"/>
    <w:rsid w:val="002106F1"/>
    <w:rsid w:val="00210DC7"/>
    <w:rsid w:val="002112B9"/>
    <w:rsid w:val="002134FE"/>
    <w:rsid w:val="00213CED"/>
    <w:rsid w:val="002142B2"/>
    <w:rsid w:val="00215244"/>
    <w:rsid w:val="00217273"/>
    <w:rsid w:val="00222BA8"/>
    <w:rsid w:val="002272C3"/>
    <w:rsid w:val="002279CE"/>
    <w:rsid w:val="00230577"/>
    <w:rsid w:val="00233A52"/>
    <w:rsid w:val="002346D1"/>
    <w:rsid w:val="00235DA3"/>
    <w:rsid w:val="002362F2"/>
    <w:rsid w:val="00244367"/>
    <w:rsid w:val="00247BFD"/>
    <w:rsid w:val="00251E80"/>
    <w:rsid w:val="00252C48"/>
    <w:rsid w:val="002543F1"/>
    <w:rsid w:val="00256474"/>
    <w:rsid w:val="00257FB1"/>
    <w:rsid w:val="00260D95"/>
    <w:rsid w:val="00261271"/>
    <w:rsid w:val="00261760"/>
    <w:rsid w:val="00262880"/>
    <w:rsid w:val="00263AC8"/>
    <w:rsid w:val="00263B85"/>
    <w:rsid w:val="002644FE"/>
    <w:rsid w:val="00264BA0"/>
    <w:rsid w:val="00264E53"/>
    <w:rsid w:val="00265992"/>
    <w:rsid w:val="00272B17"/>
    <w:rsid w:val="00273344"/>
    <w:rsid w:val="00274BFE"/>
    <w:rsid w:val="00275CF5"/>
    <w:rsid w:val="002816AA"/>
    <w:rsid w:val="00281C65"/>
    <w:rsid w:val="00282925"/>
    <w:rsid w:val="00282B10"/>
    <w:rsid w:val="002905A7"/>
    <w:rsid w:val="00295F34"/>
    <w:rsid w:val="002961BB"/>
    <w:rsid w:val="00297E46"/>
    <w:rsid w:val="002A2124"/>
    <w:rsid w:val="002A3762"/>
    <w:rsid w:val="002A3ECC"/>
    <w:rsid w:val="002A4DAF"/>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21A"/>
    <w:rsid w:val="002E2EA1"/>
    <w:rsid w:val="002E38E6"/>
    <w:rsid w:val="002E3934"/>
    <w:rsid w:val="002E3E4D"/>
    <w:rsid w:val="002E6040"/>
    <w:rsid w:val="002E78ED"/>
    <w:rsid w:val="002F08C0"/>
    <w:rsid w:val="002F2D47"/>
    <w:rsid w:val="002F349C"/>
    <w:rsid w:val="002F42F3"/>
    <w:rsid w:val="002F4FC6"/>
    <w:rsid w:val="002F5EE8"/>
    <w:rsid w:val="002F6B4D"/>
    <w:rsid w:val="002F6B5F"/>
    <w:rsid w:val="0030114D"/>
    <w:rsid w:val="00301D86"/>
    <w:rsid w:val="0030213E"/>
    <w:rsid w:val="0030381F"/>
    <w:rsid w:val="003042D4"/>
    <w:rsid w:val="003047CE"/>
    <w:rsid w:val="00307224"/>
    <w:rsid w:val="003141D1"/>
    <w:rsid w:val="003148A5"/>
    <w:rsid w:val="00315074"/>
    <w:rsid w:val="00315942"/>
    <w:rsid w:val="00315B04"/>
    <w:rsid w:val="0031736C"/>
    <w:rsid w:val="0031786F"/>
    <w:rsid w:val="00321EE9"/>
    <w:rsid w:val="00333C78"/>
    <w:rsid w:val="00334AAB"/>
    <w:rsid w:val="00334D72"/>
    <w:rsid w:val="003350A0"/>
    <w:rsid w:val="00335451"/>
    <w:rsid w:val="00335DC4"/>
    <w:rsid w:val="00335EEE"/>
    <w:rsid w:val="003423D1"/>
    <w:rsid w:val="003438F9"/>
    <w:rsid w:val="003443CB"/>
    <w:rsid w:val="00345F3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37CA"/>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A6D36"/>
    <w:rsid w:val="003B2BC4"/>
    <w:rsid w:val="003B5132"/>
    <w:rsid w:val="003C2AC5"/>
    <w:rsid w:val="003C2C23"/>
    <w:rsid w:val="003C3C25"/>
    <w:rsid w:val="003C5599"/>
    <w:rsid w:val="003C702A"/>
    <w:rsid w:val="003C7500"/>
    <w:rsid w:val="003D17D1"/>
    <w:rsid w:val="003D58BF"/>
    <w:rsid w:val="003D64C4"/>
    <w:rsid w:val="003E3C6D"/>
    <w:rsid w:val="003E3DD3"/>
    <w:rsid w:val="003E4921"/>
    <w:rsid w:val="003F039D"/>
    <w:rsid w:val="003F105F"/>
    <w:rsid w:val="003F35AC"/>
    <w:rsid w:val="003F46B3"/>
    <w:rsid w:val="003F4ADF"/>
    <w:rsid w:val="003F638A"/>
    <w:rsid w:val="003F6527"/>
    <w:rsid w:val="003F6A4B"/>
    <w:rsid w:val="004022A4"/>
    <w:rsid w:val="00402CCC"/>
    <w:rsid w:val="00402E6A"/>
    <w:rsid w:val="00403825"/>
    <w:rsid w:val="004039F1"/>
    <w:rsid w:val="004047D9"/>
    <w:rsid w:val="004054AC"/>
    <w:rsid w:val="0040562F"/>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6965"/>
    <w:rsid w:val="00427E69"/>
    <w:rsid w:val="004300D3"/>
    <w:rsid w:val="0043046B"/>
    <w:rsid w:val="00430934"/>
    <w:rsid w:val="0044033D"/>
    <w:rsid w:val="004407F0"/>
    <w:rsid w:val="00443436"/>
    <w:rsid w:val="00443B90"/>
    <w:rsid w:val="00444DEE"/>
    <w:rsid w:val="004522B5"/>
    <w:rsid w:val="0045244E"/>
    <w:rsid w:val="00454A55"/>
    <w:rsid w:val="00455E1E"/>
    <w:rsid w:val="0045662D"/>
    <w:rsid w:val="00456B8F"/>
    <w:rsid w:val="00465246"/>
    <w:rsid w:val="0047136B"/>
    <w:rsid w:val="004713CB"/>
    <w:rsid w:val="00471800"/>
    <w:rsid w:val="0047244D"/>
    <w:rsid w:val="0047339D"/>
    <w:rsid w:val="004739C1"/>
    <w:rsid w:val="0047417F"/>
    <w:rsid w:val="0047482D"/>
    <w:rsid w:val="0047614E"/>
    <w:rsid w:val="00476438"/>
    <w:rsid w:val="004822DB"/>
    <w:rsid w:val="00483A49"/>
    <w:rsid w:val="00484A65"/>
    <w:rsid w:val="004865E9"/>
    <w:rsid w:val="0049202E"/>
    <w:rsid w:val="00493021"/>
    <w:rsid w:val="00493F33"/>
    <w:rsid w:val="00494294"/>
    <w:rsid w:val="004A6153"/>
    <w:rsid w:val="004B0C2B"/>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C78B3"/>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05DBC"/>
    <w:rsid w:val="005123D1"/>
    <w:rsid w:val="00514984"/>
    <w:rsid w:val="00517B4C"/>
    <w:rsid w:val="00521B64"/>
    <w:rsid w:val="0052698A"/>
    <w:rsid w:val="00536236"/>
    <w:rsid w:val="0053746D"/>
    <w:rsid w:val="0054021D"/>
    <w:rsid w:val="0054220E"/>
    <w:rsid w:val="005425A8"/>
    <w:rsid w:val="005426E7"/>
    <w:rsid w:val="00543A39"/>
    <w:rsid w:val="00544D67"/>
    <w:rsid w:val="005452D0"/>
    <w:rsid w:val="00546B07"/>
    <w:rsid w:val="00547A34"/>
    <w:rsid w:val="00550152"/>
    <w:rsid w:val="00554639"/>
    <w:rsid w:val="00554D27"/>
    <w:rsid w:val="00556DC5"/>
    <w:rsid w:val="00557441"/>
    <w:rsid w:val="00557DFE"/>
    <w:rsid w:val="00557E8B"/>
    <w:rsid w:val="00560435"/>
    <w:rsid w:val="00564799"/>
    <w:rsid w:val="00565CDF"/>
    <w:rsid w:val="00567012"/>
    <w:rsid w:val="00570948"/>
    <w:rsid w:val="00573FC7"/>
    <w:rsid w:val="005742E0"/>
    <w:rsid w:val="00575459"/>
    <w:rsid w:val="00577E57"/>
    <w:rsid w:val="00582554"/>
    <w:rsid w:val="00582FA9"/>
    <w:rsid w:val="00584B2D"/>
    <w:rsid w:val="00586A83"/>
    <w:rsid w:val="00586AC6"/>
    <w:rsid w:val="00592153"/>
    <w:rsid w:val="00593673"/>
    <w:rsid w:val="00594057"/>
    <w:rsid w:val="00595276"/>
    <w:rsid w:val="00597548"/>
    <w:rsid w:val="00597A9E"/>
    <w:rsid w:val="005A0B45"/>
    <w:rsid w:val="005A2BC3"/>
    <w:rsid w:val="005A343F"/>
    <w:rsid w:val="005A3505"/>
    <w:rsid w:val="005A49DC"/>
    <w:rsid w:val="005A6A51"/>
    <w:rsid w:val="005B2CF7"/>
    <w:rsid w:val="005B5E49"/>
    <w:rsid w:val="005B695D"/>
    <w:rsid w:val="005B72A5"/>
    <w:rsid w:val="005C1035"/>
    <w:rsid w:val="005C5CE6"/>
    <w:rsid w:val="005C6A17"/>
    <w:rsid w:val="005C6AB6"/>
    <w:rsid w:val="005C6CA9"/>
    <w:rsid w:val="005C7F60"/>
    <w:rsid w:val="005D0438"/>
    <w:rsid w:val="005D23A0"/>
    <w:rsid w:val="005D2496"/>
    <w:rsid w:val="005D24ED"/>
    <w:rsid w:val="005D3FE9"/>
    <w:rsid w:val="005D48CF"/>
    <w:rsid w:val="005E1D0F"/>
    <w:rsid w:val="005E2480"/>
    <w:rsid w:val="005E540D"/>
    <w:rsid w:val="005E58E0"/>
    <w:rsid w:val="005E7875"/>
    <w:rsid w:val="005E7C7F"/>
    <w:rsid w:val="005F0923"/>
    <w:rsid w:val="005F1CA1"/>
    <w:rsid w:val="005F3129"/>
    <w:rsid w:val="005F3400"/>
    <w:rsid w:val="005F5331"/>
    <w:rsid w:val="005F57EB"/>
    <w:rsid w:val="006022AD"/>
    <w:rsid w:val="0060323D"/>
    <w:rsid w:val="00605A0C"/>
    <w:rsid w:val="0060600A"/>
    <w:rsid w:val="0060635F"/>
    <w:rsid w:val="00606A36"/>
    <w:rsid w:val="00606D91"/>
    <w:rsid w:val="0060755B"/>
    <w:rsid w:val="0060776E"/>
    <w:rsid w:val="00607F16"/>
    <w:rsid w:val="00610C97"/>
    <w:rsid w:val="00611C61"/>
    <w:rsid w:val="00611FE8"/>
    <w:rsid w:val="00612100"/>
    <w:rsid w:val="00612E9D"/>
    <w:rsid w:val="006132BB"/>
    <w:rsid w:val="00616F70"/>
    <w:rsid w:val="006172B2"/>
    <w:rsid w:val="006175AB"/>
    <w:rsid w:val="00621109"/>
    <w:rsid w:val="00625308"/>
    <w:rsid w:val="0062539B"/>
    <w:rsid w:val="00630C92"/>
    <w:rsid w:val="00630F86"/>
    <w:rsid w:val="00631A8C"/>
    <w:rsid w:val="00632AC0"/>
    <w:rsid w:val="00633290"/>
    <w:rsid w:val="0063503F"/>
    <w:rsid w:val="00636012"/>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C628D"/>
    <w:rsid w:val="006D03C8"/>
    <w:rsid w:val="006D1F48"/>
    <w:rsid w:val="006D34D4"/>
    <w:rsid w:val="006D52A0"/>
    <w:rsid w:val="006D5ADB"/>
    <w:rsid w:val="006D5DB3"/>
    <w:rsid w:val="006D5ED0"/>
    <w:rsid w:val="006E0D85"/>
    <w:rsid w:val="006E0E51"/>
    <w:rsid w:val="006E50F9"/>
    <w:rsid w:val="006E568E"/>
    <w:rsid w:val="006E5CAE"/>
    <w:rsid w:val="006E6113"/>
    <w:rsid w:val="006F2DCD"/>
    <w:rsid w:val="006F4251"/>
    <w:rsid w:val="0070096E"/>
    <w:rsid w:val="00701C7C"/>
    <w:rsid w:val="0070575D"/>
    <w:rsid w:val="00705AAF"/>
    <w:rsid w:val="007061C5"/>
    <w:rsid w:val="00711CF3"/>
    <w:rsid w:val="0071360C"/>
    <w:rsid w:val="00714052"/>
    <w:rsid w:val="00715FE0"/>
    <w:rsid w:val="00720C9F"/>
    <w:rsid w:val="0072185B"/>
    <w:rsid w:val="00721FE0"/>
    <w:rsid w:val="00722D25"/>
    <w:rsid w:val="007233B8"/>
    <w:rsid w:val="00741CB9"/>
    <w:rsid w:val="00741D87"/>
    <w:rsid w:val="00745621"/>
    <w:rsid w:val="00747C53"/>
    <w:rsid w:val="007524F6"/>
    <w:rsid w:val="0075392D"/>
    <w:rsid w:val="0075723F"/>
    <w:rsid w:val="007602B4"/>
    <w:rsid w:val="00760DFD"/>
    <w:rsid w:val="00761304"/>
    <w:rsid w:val="00762FFA"/>
    <w:rsid w:val="00763295"/>
    <w:rsid w:val="00766752"/>
    <w:rsid w:val="00766E99"/>
    <w:rsid w:val="007675BB"/>
    <w:rsid w:val="0076778E"/>
    <w:rsid w:val="00767FF7"/>
    <w:rsid w:val="00771302"/>
    <w:rsid w:val="007713E6"/>
    <w:rsid w:val="00772BA1"/>
    <w:rsid w:val="00775DB5"/>
    <w:rsid w:val="0077699D"/>
    <w:rsid w:val="00780F76"/>
    <w:rsid w:val="007815BE"/>
    <w:rsid w:val="00782E88"/>
    <w:rsid w:val="00783860"/>
    <w:rsid w:val="007852AB"/>
    <w:rsid w:val="00786ED5"/>
    <w:rsid w:val="007872CC"/>
    <w:rsid w:val="00790777"/>
    <w:rsid w:val="00790E66"/>
    <w:rsid w:val="00791371"/>
    <w:rsid w:val="007926BA"/>
    <w:rsid w:val="00792AD2"/>
    <w:rsid w:val="007936C9"/>
    <w:rsid w:val="00793AE4"/>
    <w:rsid w:val="0079779C"/>
    <w:rsid w:val="007A18C6"/>
    <w:rsid w:val="007A1D9B"/>
    <w:rsid w:val="007A27EC"/>
    <w:rsid w:val="007A2F88"/>
    <w:rsid w:val="007A5A0A"/>
    <w:rsid w:val="007A7165"/>
    <w:rsid w:val="007B1920"/>
    <w:rsid w:val="007B217B"/>
    <w:rsid w:val="007B2440"/>
    <w:rsid w:val="007B3206"/>
    <w:rsid w:val="007B59EE"/>
    <w:rsid w:val="007B7513"/>
    <w:rsid w:val="007C552D"/>
    <w:rsid w:val="007D316A"/>
    <w:rsid w:val="007D41BF"/>
    <w:rsid w:val="007D6BF5"/>
    <w:rsid w:val="007E0F71"/>
    <w:rsid w:val="007E22AC"/>
    <w:rsid w:val="007E2BF2"/>
    <w:rsid w:val="007E3BEE"/>
    <w:rsid w:val="007E4E20"/>
    <w:rsid w:val="007E4E72"/>
    <w:rsid w:val="007E76B8"/>
    <w:rsid w:val="007E7C6A"/>
    <w:rsid w:val="007F0170"/>
    <w:rsid w:val="007F0C9E"/>
    <w:rsid w:val="007F13D0"/>
    <w:rsid w:val="007F1656"/>
    <w:rsid w:val="007F227B"/>
    <w:rsid w:val="007F2FFB"/>
    <w:rsid w:val="007F3169"/>
    <w:rsid w:val="007F4C4A"/>
    <w:rsid w:val="007F6150"/>
    <w:rsid w:val="008067EE"/>
    <w:rsid w:val="008079AC"/>
    <w:rsid w:val="00811AD9"/>
    <w:rsid w:val="00814F0E"/>
    <w:rsid w:val="0081733B"/>
    <w:rsid w:val="0082373C"/>
    <w:rsid w:val="00825112"/>
    <w:rsid w:val="00826A4A"/>
    <w:rsid w:val="008272F2"/>
    <w:rsid w:val="00827A5E"/>
    <w:rsid w:val="00827B5A"/>
    <w:rsid w:val="008312A1"/>
    <w:rsid w:val="00834A1D"/>
    <w:rsid w:val="00834AC0"/>
    <w:rsid w:val="00837558"/>
    <w:rsid w:val="00840301"/>
    <w:rsid w:val="00840E57"/>
    <w:rsid w:val="0084512E"/>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77D26"/>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2BA7"/>
    <w:rsid w:val="008B5D1C"/>
    <w:rsid w:val="008B68FA"/>
    <w:rsid w:val="008B6927"/>
    <w:rsid w:val="008C0BE0"/>
    <w:rsid w:val="008C21AA"/>
    <w:rsid w:val="008C2AA0"/>
    <w:rsid w:val="008C3084"/>
    <w:rsid w:val="008C3157"/>
    <w:rsid w:val="008C54B9"/>
    <w:rsid w:val="008C58D8"/>
    <w:rsid w:val="008C5F09"/>
    <w:rsid w:val="008D027E"/>
    <w:rsid w:val="008D2559"/>
    <w:rsid w:val="008D36FE"/>
    <w:rsid w:val="008D4811"/>
    <w:rsid w:val="008D4B08"/>
    <w:rsid w:val="008D548C"/>
    <w:rsid w:val="008E17C9"/>
    <w:rsid w:val="008E38E1"/>
    <w:rsid w:val="008E4860"/>
    <w:rsid w:val="008F0645"/>
    <w:rsid w:val="008F082C"/>
    <w:rsid w:val="008F23B6"/>
    <w:rsid w:val="008F2A00"/>
    <w:rsid w:val="008F3152"/>
    <w:rsid w:val="008F3E08"/>
    <w:rsid w:val="008F66F0"/>
    <w:rsid w:val="008F6A20"/>
    <w:rsid w:val="00900A19"/>
    <w:rsid w:val="00900D47"/>
    <w:rsid w:val="00901724"/>
    <w:rsid w:val="00901D44"/>
    <w:rsid w:val="00912517"/>
    <w:rsid w:val="00913E37"/>
    <w:rsid w:val="00914147"/>
    <w:rsid w:val="00914720"/>
    <w:rsid w:val="0091678B"/>
    <w:rsid w:val="00916F1F"/>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3825"/>
    <w:rsid w:val="00974B89"/>
    <w:rsid w:val="009766D5"/>
    <w:rsid w:val="00976E19"/>
    <w:rsid w:val="0097706D"/>
    <w:rsid w:val="009804B9"/>
    <w:rsid w:val="009846B9"/>
    <w:rsid w:val="00984C72"/>
    <w:rsid w:val="0098504C"/>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B4F8A"/>
    <w:rsid w:val="009C15B7"/>
    <w:rsid w:val="009C16BF"/>
    <w:rsid w:val="009C26A5"/>
    <w:rsid w:val="009C28A6"/>
    <w:rsid w:val="009C2B70"/>
    <w:rsid w:val="009C3F56"/>
    <w:rsid w:val="009C429B"/>
    <w:rsid w:val="009C5DE0"/>
    <w:rsid w:val="009C67BE"/>
    <w:rsid w:val="009C7957"/>
    <w:rsid w:val="009D3C8E"/>
    <w:rsid w:val="009E03CE"/>
    <w:rsid w:val="009E0B1F"/>
    <w:rsid w:val="009E16A3"/>
    <w:rsid w:val="009E196F"/>
    <w:rsid w:val="009E2766"/>
    <w:rsid w:val="009E44C9"/>
    <w:rsid w:val="009E4746"/>
    <w:rsid w:val="009E49E1"/>
    <w:rsid w:val="009E78E7"/>
    <w:rsid w:val="009F4391"/>
    <w:rsid w:val="009F57D9"/>
    <w:rsid w:val="009F780E"/>
    <w:rsid w:val="00A021B4"/>
    <w:rsid w:val="00A028D4"/>
    <w:rsid w:val="00A0460D"/>
    <w:rsid w:val="00A05E6A"/>
    <w:rsid w:val="00A0723C"/>
    <w:rsid w:val="00A07265"/>
    <w:rsid w:val="00A07665"/>
    <w:rsid w:val="00A076F2"/>
    <w:rsid w:val="00A10240"/>
    <w:rsid w:val="00A109AD"/>
    <w:rsid w:val="00A13D74"/>
    <w:rsid w:val="00A17013"/>
    <w:rsid w:val="00A2024A"/>
    <w:rsid w:val="00A20E93"/>
    <w:rsid w:val="00A23FDD"/>
    <w:rsid w:val="00A27C15"/>
    <w:rsid w:val="00A31C5E"/>
    <w:rsid w:val="00A32386"/>
    <w:rsid w:val="00A33494"/>
    <w:rsid w:val="00A3781C"/>
    <w:rsid w:val="00A40195"/>
    <w:rsid w:val="00A40396"/>
    <w:rsid w:val="00A40E8E"/>
    <w:rsid w:val="00A41558"/>
    <w:rsid w:val="00A45B69"/>
    <w:rsid w:val="00A46519"/>
    <w:rsid w:val="00A46A0E"/>
    <w:rsid w:val="00A51E69"/>
    <w:rsid w:val="00A53825"/>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522C"/>
    <w:rsid w:val="00A87C85"/>
    <w:rsid w:val="00A87F2B"/>
    <w:rsid w:val="00A9119A"/>
    <w:rsid w:val="00A9149E"/>
    <w:rsid w:val="00A929BA"/>
    <w:rsid w:val="00A933FB"/>
    <w:rsid w:val="00A94493"/>
    <w:rsid w:val="00A9515F"/>
    <w:rsid w:val="00A9548F"/>
    <w:rsid w:val="00A9704A"/>
    <w:rsid w:val="00AA2704"/>
    <w:rsid w:val="00AB24F5"/>
    <w:rsid w:val="00AB478F"/>
    <w:rsid w:val="00AB6906"/>
    <w:rsid w:val="00AB7A7E"/>
    <w:rsid w:val="00AC11EB"/>
    <w:rsid w:val="00AC27B6"/>
    <w:rsid w:val="00AC28C2"/>
    <w:rsid w:val="00AC2CAA"/>
    <w:rsid w:val="00AC32EC"/>
    <w:rsid w:val="00AC3F6B"/>
    <w:rsid w:val="00AC5DA8"/>
    <w:rsid w:val="00AD0376"/>
    <w:rsid w:val="00AD27CA"/>
    <w:rsid w:val="00AD720C"/>
    <w:rsid w:val="00AD7772"/>
    <w:rsid w:val="00AD7BA9"/>
    <w:rsid w:val="00AE040E"/>
    <w:rsid w:val="00AE10F5"/>
    <w:rsid w:val="00AE2638"/>
    <w:rsid w:val="00AE36DF"/>
    <w:rsid w:val="00AE5B4F"/>
    <w:rsid w:val="00AE6B08"/>
    <w:rsid w:val="00AF1DA4"/>
    <w:rsid w:val="00AF3E41"/>
    <w:rsid w:val="00AF6AD2"/>
    <w:rsid w:val="00AF6C96"/>
    <w:rsid w:val="00B06BBC"/>
    <w:rsid w:val="00B10582"/>
    <w:rsid w:val="00B10EE8"/>
    <w:rsid w:val="00B17624"/>
    <w:rsid w:val="00B2140E"/>
    <w:rsid w:val="00B23CD2"/>
    <w:rsid w:val="00B23E07"/>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47020"/>
    <w:rsid w:val="00B50D62"/>
    <w:rsid w:val="00B52135"/>
    <w:rsid w:val="00B56755"/>
    <w:rsid w:val="00B57515"/>
    <w:rsid w:val="00B60F2D"/>
    <w:rsid w:val="00B617CC"/>
    <w:rsid w:val="00B61A2A"/>
    <w:rsid w:val="00B64F83"/>
    <w:rsid w:val="00B6569E"/>
    <w:rsid w:val="00B7135A"/>
    <w:rsid w:val="00B748CA"/>
    <w:rsid w:val="00B74D20"/>
    <w:rsid w:val="00B75439"/>
    <w:rsid w:val="00B75510"/>
    <w:rsid w:val="00B75E38"/>
    <w:rsid w:val="00B77D39"/>
    <w:rsid w:val="00B80E12"/>
    <w:rsid w:val="00B837B6"/>
    <w:rsid w:val="00B862AB"/>
    <w:rsid w:val="00B86EB1"/>
    <w:rsid w:val="00B87129"/>
    <w:rsid w:val="00B90C0E"/>
    <w:rsid w:val="00B95515"/>
    <w:rsid w:val="00B95BB4"/>
    <w:rsid w:val="00B96A62"/>
    <w:rsid w:val="00B9736D"/>
    <w:rsid w:val="00BA1D27"/>
    <w:rsid w:val="00BA3BFE"/>
    <w:rsid w:val="00BA6A93"/>
    <w:rsid w:val="00BB581A"/>
    <w:rsid w:val="00BB6701"/>
    <w:rsid w:val="00BB7D66"/>
    <w:rsid w:val="00BC074C"/>
    <w:rsid w:val="00BC09E4"/>
    <w:rsid w:val="00BC2C94"/>
    <w:rsid w:val="00BC3820"/>
    <w:rsid w:val="00BC397B"/>
    <w:rsid w:val="00BC44BB"/>
    <w:rsid w:val="00BD15DA"/>
    <w:rsid w:val="00BD30B4"/>
    <w:rsid w:val="00BE2AE1"/>
    <w:rsid w:val="00BE721F"/>
    <w:rsid w:val="00BE7B03"/>
    <w:rsid w:val="00BF0326"/>
    <w:rsid w:val="00BF0A1A"/>
    <w:rsid w:val="00BF0CAE"/>
    <w:rsid w:val="00C0047C"/>
    <w:rsid w:val="00C06447"/>
    <w:rsid w:val="00C06C8F"/>
    <w:rsid w:val="00C11B1F"/>
    <w:rsid w:val="00C13844"/>
    <w:rsid w:val="00C146F0"/>
    <w:rsid w:val="00C21085"/>
    <w:rsid w:val="00C21136"/>
    <w:rsid w:val="00C214A2"/>
    <w:rsid w:val="00C21DDD"/>
    <w:rsid w:val="00C21E64"/>
    <w:rsid w:val="00C22C34"/>
    <w:rsid w:val="00C25156"/>
    <w:rsid w:val="00C267D7"/>
    <w:rsid w:val="00C31ECC"/>
    <w:rsid w:val="00C325C1"/>
    <w:rsid w:val="00C32D43"/>
    <w:rsid w:val="00C3596C"/>
    <w:rsid w:val="00C37BC1"/>
    <w:rsid w:val="00C40D56"/>
    <w:rsid w:val="00C42414"/>
    <w:rsid w:val="00C42B76"/>
    <w:rsid w:val="00C4356C"/>
    <w:rsid w:val="00C43D9B"/>
    <w:rsid w:val="00C43EFC"/>
    <w:rsid w:val="00C44A9C"/>
    <w:rsid w:val="00C46AC7"/>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2F00"/>
    <w:rsid w:val="00C7372E"/>
    <w:rsid w:val="00C74154"/>
    <w:rsid w:val="00C746CA"/>
    <w:rsid w:val="00C75102"/>
    <w:rsid w:val="00C764EF"/>
    <w:rsid w:val="00C766B4"/>
    <w:rsid w:val="00C778EC"/>
    <w:rsid w:val="00C77DBC"/>
    <w:rsid w:val="00C82A37"/>
    <w:rsid w:val="00C956DF"/>
    <w:rsid w:val="00C95718"/>
    <w:rsid w:val="00CA0BBC"/>
    <w:rsid w:val="00CA6BD5"/>
    <w:rsid w:val="00CB2B47"/>
    <w:rsid w:val="00CB3932"/>
    <w:rsid w:val="00CB3950"/>
    <w:rsid w:val="00CB4039"/>
    <w:rsid w:val="00CB53FE"/>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203"/>
    <w:rsid w:val="00D14439"/>
    <w:rsid w:val="00D1657E"/>
    <w:rsid w:val="00D17582"/>
    <w:rsid w:val="00D21465"/>
    <w:rsid w:val="00D21F90"/>
    <w:rsid w:val="00D2204B"/>
    <w:rsid w:val="00D236E7"/>
    <w:rsid w:val="00D256B4"/>
    <w:rsid w:val="00D27B0D"/>
    <w:rsid w:val="00D320B0"/>
    <w:rsid w:val="00D326D2"/>
    <w:rsid w:val="00D33235"/>
    <w:rsid w:val="00D337D1"/>
    <w:rsid w:val="00D41FC4"/>
    <w:rsid w:val="00D42D47"/>
    <w:rsid w:val="00D431A5"/>
    <w:rsid w:val="00D434C9"/>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9487A"/>
    <w:rsid w:val="00D954D3"/>
    <w:rsid w:val="00D976BB"/>
    <w:rsid w:val="00DA0ABB"/>
    <w:rsid w:val="00DA3317"/>
    <w:rsid w:val="00DA409B"/>
    <w:rsid w:val="00DA4735"/>
    <w:rsid w:val="00DA4E3B"/>
    <w:rsid w:val="00DA7411"/>
    <w:rsid w:val="00DA779F"/>
    <w:rsid w:val="00DB1346"/>
    <w:rsid w:val="00DB2636"/>
    <w:rsid w:val="00DB439B"/>
    <w:rsid w:val="00DB58DA"/>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1A1"/>
    <w:rsid w:val="00DF149A"/>
    <w:rsid w:val="00DF1758"/>
    <w:rsid w:val="00DF282A"/>
    <w:rsid w:val="00DF2BD1"/>
    <w:rsid w:val="00DF37B5"/>
    <w:rsid w:val="00DF4F61"/>
    <w:rsid w:val="00DF585E"/>
    <w:rsid w:val="00DF6245"/>
    <w:rsid w:val="00E00E20"/>
    <w:rsid w:val="00E0121F"/>
    <w:rsid w:val="00E02A23"/>
    <w:rsid w:val="00E04BE3"/>
    <w:rsid w:val="00E058AB"/>
    <w:rsid w:val="00E15FB4"/>
    <w:rsid w:val="00E16E4D"/>
    <w:rsid w:val="00E17817"/>
    <w:rsid w:val="00E17B9D"/>
    <w:rsid w:val="00E21769"/>
    <w:rsid w:val="00E21AF8"/>
    <w:rsid w:val="00E21E96"/>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4606E"/>
    <w:rsid w:val="00E51ABF"/>
    <w:rsid w:val="00E52C91"/>
    <w:rsid w:val="00E53DBD"/>
    <w:rsid w:val="00E57ABF"/>
    <w:rsid w:val="00E60AEB"/>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709"/>
    <w:rsid w:val="00E91975"/>
    <w:rsid w:val="00E923F0"/>
    <w:rsid w:val="00E93B0A"/>
    <w:rsid w:val="00E93CA2"/>
    <w:rsid w:val="00E93DCA"/>
    <w:rsid w:val="00E97FD2"/>
    <w:rsid w:val="00EA0922"/>
    <w:rsid w:val="00EA22B4"/>
    <w:rsid w:val="00EA4AC3"/>
    <w:rsid w:val="00EA5035"/>
    <w:rsid w:val="00EA5B88"/>
    <w:rsid w:val="00EA7479"/>
    <w:rsid w:val="00EB031F"/>
    <w:rsid w:val="00EB0BF1"/>
    <w:rsid w:val="00EB1F2B"/>
    <w:rsid w:val="00EB39E3"/>
    <w:rsid w:val="00EB75A8"/>
    <w:rsid w:val="00EB7DC6"/>
    <w:rsid w:val="00EC09F0"/>
    <w:rsid w:val="00EC1070"/>
    <w:rsid w:val="00EC186E"/>
    <w:rsid w:val="00EC2284"/>
    <w:rsid w:val="00EC3094"/>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6CB"/>
    <w:rsid w:val="00EE5B97"/>
    <w:rsid w:val="00EE66D4"/>
    <w:rsid w:val="00F00D52"/>
    <w:rsid w:val="00F03592"/>
    <w:rsid w:val="00F03CDF"/>
    <w:rsid w:val="00F03E05"/>
    <w:rsid w:val="00F0580A"/>
    <w:rsid w:val="00F063AD"/>
    <w:rsid w:val="00F10CB8"/>
    <w:rsid w:val="00F13ECF"/>
    <w:rsid w:val="00F15C7D"/>
    <w:rsid w:val="00F21AB3"/>
    <w:rsid w:val="00F3129D"/>
    <w:rsid w:val="00F312C6"/>
    <w:rsid w:val="00F3218D"/>
    <w:rsid w:val="00F323FB"/>
    <w:rsid w:val="00F33393"/>
    <w:rsid w:val="00F3365E"/>
    <w:rsid w:val="00F33D28"/>
    <w:rsid w:val="00F35D3F"/>
    <w:rsid w:val="00F36032"/>
    <w:rsid w:val="00F43F29"/>
    <w:rsid w:val="00F45C87"/>
    <w:rsid w:val="00F46B3F"/>
    <w:rsid w:val="00F475A3"/>
    <w:rsid w:val="00F540F4"/>
    <w:rsid w:val="00F5471A"/>
    <w:rsid w:val="00F55490"/>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3478"/>
    <w:rsid w:val="00F84121"/>
    <w:rsid w:val="00F92D42"/>
    <w:rsid w:val="00F9337D"/>
    <w:rsid w:val="00F96311"/>
    <w:rsid w:val="00F979E8"/>
    <w:rsid w:val="00FA074B"/>
    <w:rsid w:val="00FA1415"/>
    <w:rsid w:val="00FA1420"/>
    <w:rsid w:val="00FA180C"/>
    <w:rsid w:val="00FA324E"/>
    <w:rsid w:val="00FA3522"/>
    <w:rsid w:val="00FA528F"/>
    <w:rsid w:val="00FA56B2"/>
    <w:rsid w:val="00FA579D"/>
    <w:rsid w:val="00FA7988"/>
    <w:rsid w:val="00FB0594"/>
    <w:rsid w:val="00FB1D25"/>
    <w:rsid w:val="00FB4A72"/>
    <w:rsid w:val="00FB56E2"/>
    <w:rsid w:val="00FC6441"/>
    <w:rsid w:val="00FC7D27"/>
    <w:rsid w:val="00FD00DF"/>
    <w:rsid w:val="00FD0153"/>
    <w:rsid w:val="00FD0928"/>
    <w:rsid w:val="00FD17E8"/>
    <w:rsid w:val="00FD51B0"/>
    <w:rsid w:val="00FD72FC"/>
    <w:rsid w:val="00FE0D87"/>
    <w:rsid w:val="00FE241E"/>
    <w:rsid w:val="00FE35EA"/>
    <w:rsid w:val="00FE4F97"/>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530C5"/>
  <w15:docId w15:val="{C5204D02-E1B8-402C-A517-880A4F78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1709"/>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Paragraph">
    <w:name w:val="P Paragraph"/>
    <w:basedOn w:val="Standard"/>
    <w:link w:val="PParagraphChar"/>
    <w:qFormat/>
    <w:rsid w:val="00274BFE"/>
    <w:pPr>
      <w:spacing w:before="120" w:line="276" w:lineRule="auto"/>
      <w:ind w:left="357"/>
    </w:pPr>
    <w:rPr>
      <w:rFonts w:ascii="Arial" w:eastAsiaTheme="minorHAnsi" w:hAnsi="Arial" w:cstheme="minorBidi"/>
      <w:color w:val="00326D"/>
      <w:lang w:eastAsia="en-US"/>
    </w:rPr>
  </w:style>
  <w:style w:type="character" w:customStyle="1" w:styleId="PParagraphChar">
    <w:name w:val="P Paragraph Char"/>
    <w:basedOn w:val="Absatz-Standardschriftart"/>
    <w:link w:val="PParagraph"/>
    <w:rsid w:val="00274BFE"/>
    <w:rPr>
      <w:rFonts w:ascii="Arial" w:eastAsiaTheme="minorHAnsi" w:hAnsi="Arial" w:cstheme="minorBidi"/>
      <w:color w:val="00326D"/>
      <w:sz w:val="22"/>
      <w:szCs w:val="22"/>
      <w:lang w:val="en-GB" w:eastAsia="en-US"/>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character" w:customStyle="1" w:styleId="PolicyZchn">
    <w:name w:val="Policy Zchn"/>
    <w:link w:val="Policy"/>
    <w:rsid w:val="006D1F48"/>
    <w:rPr>
      <w:sz w:val="22"/>
      <w:szCs w:val="22"/>
      <w:shd w:val="clear" w:color="auto" w:fill="D9D9D9"/>
      <w:lang w:val="en-GB"/>
    </w:rPr>
  </w:style>
  <w:style w:type="character" w:styleId="Fett">
    <w:name w:val="Strong"/>
    <w:uiPriority w:val="22"/>
    <w:qFormat/>
    <w:rsid w:val="001F4312"/>
    <w:rPr>
      <w:b/>
      <w:b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6C628D"/>
    <w:pPr>
      <w:numPr>
        <w:ilvl w:val="0"/>
        <w:numId w:val="9"/>
      </w:numPr>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Akzent11">
    <w:name w:val="Mittlere Schattierung 1 - Akzent 1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4">
    <w:name w:val="Mittlere Schattierung 2 - Akzent 14"/>
    <w:basedOn w:val="NormaleTabelle"/>
    <w:uiPriority w:val="64"/>
    <w:rsid w:val="00A87F2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xampleHeader">
    <w:name w:val="Example Header"/>
    <w:basedOn w:val="Standard"/>
    <w:qFormat/>
    <w:rsid w:val="006E5CAE"/>
    <w:rPr>
      <w:b/>
      <w:i/>
      <w:sz w:val="24"/>
    </w:rPr>
  </w:style>
  <w:style w:type="paragraph" w:styleId="Fuzeile">
    <w:name w:val="footer"/>
    <w:basedOn w:val="Standard"/>
    <w:link w:val="FuzeileZchn"/>
    <w:uiPriority w:val="99"/>
    <w:unhideWhenUsed/>
    <w:rsid w:val="002E221A"/>
    <w:pPr>
      <w:tabs>
        <w:tab w:val="center" w:pos="4536"/>
        <w:tab w:val="right" w:pos="9072"/>
      </w:tabs>
      <w:spacing w:after="0"/>
    </w:pPr>
  </w:style>
  <w:style w:type="character" w:customStyle="1" w:styleId="FuzeileZchn">
    <w:name w:val="Fußzeile Zchn"/>
    <w:basedOn w:val="Absatz-Standardschriftart"/>
    <w:link w:val="Fuzeile"/>
    <w:uiPriority w:val="99"/>
    <w:rsid w:val="002E221A"/>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s://docs.peppol.eu/edelivery/codelists/" TargetMode="External"/><Relationship Id="rId26" Type="http://schemas.openxmlformats.org/officeDocument/2006/relationships/hyperlink" Target="http://docs.oasis-open.org/ubl/os-UBL-2.1/UBL-2.1.html" TargetMode="External"/><Relationship Id="rId3" Type="http://schemas.openxmlformats.org/officeDocument/2006/relationships/styles" Target="styles.xml"/><Relationship Id="rId21" Type="http://schemas.openxmlformats.org/officeDocument/2006/relationships/hyperlink" Target="ftp://ftp.cen.eu/public/CWAs/BII2/CWA16558/CWA16558-Annex-C-BII-Guideline-ConformanceAndCustomizations-V1_0_0.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peppol.eu/downloads/the-peppol-edelivery-network-specifications/" TargetMode="External"/><Relationship Id="rId25" Type="http://schemas.openxmlformats.org/officeDocument/2006/relationships/hyperlink" Target="http://www.iso.org/iso/catalogue_detail?csnumber=25773"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peppol.eu/downloads/post-award/" TargetMode="External"/><Relationship Id="rId20" Type="http://schemas.openxmlformats.org/officeDocument/2006/relationships/hyperlink" Target="http://cenbii.eu/deliverables/cen-bii-2/" TargetMode="External"/><Relationship Id="rId29" Type="http://schemas.openxmlformats.org/officeDocument/2006/relationships/hyperlink" Target="http://docs.oasis-open.org/ubl/os-UBL-2.2/UBL-2.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www.unece.org/trade/untdid/download/r1241.txt" TargetMode="External"/><Relationship Id="rId32" Type="http://schemas.openxmlformats.org/officeDocument/2006/relationships/hyperlink" Target="http://www.unece.org/cefact/" TargetMode="External"/><Relationship Id="rId5" Type="http://schemas.openxmlformats.org/officeDocument/2006/relationships/webSettings" Target="webSettings.xml"/><Relationship Id="rId15" Type="http://schemas.openxmlformats.org/officeDocument/2006/relationships/hyperlink" Target="https://www.peppol.eu/" TargetMode="External"/><Relationship Id="rId23" Type="http://schemas.openxmlformats.org/officeDocument/2006/relationships/hyperlink" Target="http://www.iso.org/iso/iso_catalogue/catalogue_tc/catalogue_detail.htm?csnumber=43349" TargetMode="External"/><Relationship Id="rId28" Type="http://schemas.openxmlformats.org/officeDocument/2006/relationships/hyperlink" Target="http://docs.oasis-open.org/ubl/os-UBL-2.2/UBL-2.2.html" TargetMode="External"/><Relationship Id="rId10" Type="http://schemas.openxmlformats.org/officeDocument/2006/relationships/image" Target="media/image5.png"/><Relationship Id="rId19" Type="http://schemas.openxmlformats.org/officeDocument/2006/relationships/hyperlink" Target="http://cenbii.eu/deliverables/cen-bii/" TargetMode="External"/><Relationship Id="rId31" Type="http://schemas.openxmlformats.org/officeDocument/2006/relationships/hyperlink" Target="https://tools.ietf.org/html/rfc398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iso.org/iso/iso_catalogue/catalogue_tc/catalogue_detail.htm?csnumber=51284" TargetMode="External"/><Relationship Id="rId27" Type="http://schemas.openxmlformats.org/officeDocument/2006/relationships/hyperlink" Target="http://docs.oasis-open.org/ubl/os-UBL-2.1/UBL-2.1.zip" TargetMode="External"/><Relationship Id="rId30" Type="http://schemas.openxmlformats.org/officeDocument/2006/relationships/hyperlink" Target="http://docs.oasis-open.org/ebcore/PartyIdType/v1.0/CD03/PartyIdType-1.0.html"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E5C76-7C8C-4612-92C2-038B792A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8292</Words>
  <Characters>47268</Characters>
  <Application>Microsoft Office Word</Application>
  <DocSecurity>0</DocSecurity>
  <Lines>393</Lines>
  <Paragraphs>110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Peppol Policy for use of Identifiers</vt:lpstr>
    </vt:vector>
  </TitlesOfParts>
  <Company>TU Wien - Studentenversion</Company>
  <LinksUpToDate>false</LinksUpToDate>
  <CharactersWithSpaces>55450</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Philip Helger</dc:creator>
  <cp:lastModifiedBy>Philip Helger</cp:lastModifiedBy>
  <cp:revision>5</cp:revision>
  <cp:lastPrinted>2020-10-30T20:33:00Z</cp:lastPrinted>
  <dcterms:created xsi:type="dcterms:W3CDTF">2020-10-30T20:33:00Z</dcterms:created>
  <dcterms:modified xsi:type="dcterms:W3CDTF">2020-10-30T20:35:00Z</dcterms:modified>
</cp:coreProperties>
</file>