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7777777" w:rsidR="00093540" w:rsidRDefault="00093540">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Notification &amp; Open 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77777777" w:rsidR="00093540" w:rsidRDefault="00A045BC">
            <w:pPr>
              <w:spacing w:line="226" w:lineRule="exact"/>
              <w:ind w:left="-6" w:right="-20"/>
              <w:rPr>
                <w:rFonts w:eastAsia="Arial" w:cs="Calibri"/>
                <w:sz w:val="20"/>
                <w:szCs w:val="20"/>
              </w:rPr>
            </w:pPr>
            <w:r>
              <w:rPr>
                <w:rFonts w:eastAsia="Arial" w:cs="Calibri"/>
                <w:sz w:val="20"/>
                <w:szCs w:val="20"/>
              </w:rPr>
              <w:t>14-12-2021</w:t>
            </w:r>
          </w:p>
        </w:tc>
        <w:tc>
          <w:tcPr>
            <w:tcW w:w="2126" w:type="dxa"/>
            <w:tcBorders>
              <w:top w:val="single" w:sz="5" w:space="0" w:color="000000"/>
              <w:left w:val="single" w:sz="5" w:space="0" w:color="000000"/>
              <w:bottom w:val="single" w:sz="5" w:space="0" w:color="000000"/>
              <w:right w:val="single" w:sz="5" w:space="0" w:color="000000"/>
            </w:tcBorders>
          </w:tcPr>
          <w:p w14:paraId="295EB9C7"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8"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C9" w14:textId="77777777" w:rsidR="00093540" w:rsidRDefault="00A045BC">
            <w:pPr>
              <w:spacing w:line="226" w:lineRule="exact"/>
              <w:ind w:left="100" w:right="-20"/>
              <w:rPr>
                <w:rFonts w:eastAsia="Arial" w:cs="Calibri"/>
                <w:sz w:val="20"/>
                <w:szCs w:val="20"/>
              </w:rPr>
            </w:pPr>
            <w:r>
              <w:rPr>
                <w:rFonts w:eastAsia="Arial" w:cs="Calibri"/>
                <w:sz w:val="20"/>
                <w:szCs w:val="20"/>
              </w:rPr>
              <w:t>Introduction</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77777777" w:rsidR="00093540" w:rsidRDefault="00A045BC">
            <w:pPr>
              <w:spacing w:line="226" w:lineRule="exact"/>
              <w:ind w:left="-6" w:right="-20"/>
              <w:rPr>
                <w:rFonts w:eastAsia="Arial" w:cs="Calibri"/>
                <w:sz w:val="20"/>
                <w:szCs w:val="20"/>
              </w:rPr>
            </w:pPr>
            <w:r>
              <w:rPr>
                <w:rFonts w:eastAsia="Arial" w:cs="Calibri"/>
                <w:sz w:val="20"/>
                <w:szCs w:val="20"/>
              </w:rPr>
              <w:t>16-12-2021</w:t>
            </w:r>
          </w:p>
        </w:tc>
        <w:tc>
          <w:tcPr>
            <w:tcW w:w="2126" w:type="dxa"/>
            <w:tcBorders>
              <w:top w:val="single" w:sz="5" w:space="0" w:color="000000"/>
              <w:left w:val="single" w:sz="5" w:space="0" w:color="000000"/>
              <w:bottom w:val="single" w:sz="5" w:space="0" w:color="000000"/>
              <w:right w:val="single" w:sz="5" w:space="0" w:color="000000"/>
            </w:tcBorders>
          </w:tcPr>
          <w:p w14:paraId="295EB9CD" w14:textId="77777777" w:rsidR="00093540" w:rsidRDefault="00A045BC">
            <w:pPr>
              <w:spacing w:line="226" w:lineRule="exact"/>
              <w:ind w:left="1" w:right="-20"/>
              <w:rPr>
                <w:rFonts w:eastAsia="Arial" w:cs="Calibri"/>
                <w:sz w:val="20"/>
                <w:szCs w:val="20"/>
              </w:rPr>
            </w:pPr>
            <w:r>
              <w:rPr>
                <w:rFonts w:eastAsia="Arial" w:cs="Calibri"/>
                <w:sz w:val="20"/>
                <w:szCs w:val="20"/>
              </w:rPr>
              <w:t>Andreas Schmitz</w:t>
            </w:r>
          </w:p>
        </w:tc>
        <w:tc>
          <w:tcPr>
            <w:tcW w:w="2268" w:type="dxa"/>
            <w:tcBorders>
              <w:top w:val="single" w:sz="5" w:space="0" w:color="000000"/>
              <w:left w:val="single" w:sz="5" w:space="0" w:color="000000"/>
              <w:bottom w:val="single" w:sz="5" w:space="0" w:color="000000"/>
              <w:right w:val="single" w:sz="8" w:space="0" w:color="000000"/>
            </w:tcBorders>
          </w:tcPr>
          <w:p w14:paraId="295EB9CE"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CF" w14:textId="77777777" w:rsidR="00093540" w:rsidRDefault="00A045BC">
            <w:pPr>
              <w:spacing w:line="226" w:lineRule="exact"/>
              <w:ind w:left="100" w:right="-20"/>
              <w:rPr>
                <w:rFonts w:eastAsia="Arial" w:cs="Calibri"/>
                <w:sz w:val="20"/>
                <w:szCs w:val="20"/>
              </w:rPr>
            </w:pPr>
            <w:r>
              <w:rPr>
                <w:rFonts w:eastAsia="Arial" w:cs="Calibri"/>
                <w:sz w:val="20"/>
                <w:szCs w:val="20"/>
              </w:rPr>
              <w:t>BPMN Models</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77777777" w:rsidR="00093540" w:rsidRDefault="00A045BC">
            <w:pPr>
              <w:spacing w:line="226" w:lineRule="exact"/>
              <w:ind w:left="-6" w:right="-20"/>
              <w:rPr>
                <w:rFonts w:eastAsia="Arial" w:cs="Calibri"/>
                <w:sz w:val="20"/>
                <w:szCs w:val="20"/>
              </w:rPr>
            </w:pPr>
            <w:r>
              <w:rPr>
                <w:rFonts w:eastAsia="Arial" w:cs="Calibri"/>
                <w:sz w:val="20"/>
                <w:szCs w:val="20"/>
              </w:rPr>
              <w:t>17-12-2021</w:t>
            </w:r>
          </w:p>
        </w:tc>
        <w:tc>
          <w:tcPr>
            <w:tcW w:w="2126" w:type="dxa"/>
            <w:tcBorders>
              <w:top w:val="single" w:sz="5" w:space="0" w:color="000000"/>
              <w:left w:val="single" w:sz="5" w:space="0" w:color="000000"/>
              <w:bottom w:val="single" w:sz="5" w:space="0" w:color="000000"/>
              <w:right w:val="single" w:sz="5" w:space="0" w:color="000000"/>
            </w:tcBorders>
          </w:tcPr>
          <w:p w14:paraId="295EB9D3"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D5" w14:textId="77777777" w:rsidR="00093540" w:rsidRDefault="00A045BC">
            <w:pPr>
              <w:spacing w:line="226" w:lineRule="exact"/>
              <w:ind w:left="100" w:right="-20"/>
              <w:rPr>
                <w:rFonts w:eastAsia="Arial" w:cs="Calibri"/>
                <w:sz w:val="20"/>
                <w:szCs w:val="20"/>
              </w:rPr>
            </w:pPr>
            <w:r>
              <w:rPr>
                <w:rFonts w:eastAsia="Arial" w:cs="Calibri"/>
                <w:sz w:val="20"/>
                <w:szCs w:val="20"/>
              </w:rPr>
              <w:t>Scope</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7777777" w:rsidR="00093540" w:rsidRDefault="00A045BC">
            <w:pPr>
              <w:spacing w:line="226" w:lineRule="exact"/>
              <w:ind w:left="-6" w:right="-20"/>
              <w:rPr>
                <w:rFonts w:eastAsia="Arial" w:cs="Calibri"/>
                <w:sz w:val="20"/>
                <w:szCs w:val="20"/>
              </w:rPr>
            </w:pPr>
            <w:r>
              <w:rPr>
                <w:rFonts w:eastAsia="Arial" w:cs="Calibri"/>
                <w:sz w:val="20"/>
                <w:szCs w:val="20"/>
              </w:rPr>
              <w:t>04-01-2022</w:t>
            </w:r>
          </w:p>
        </w:tc>
        <w:tc>
          <w:tcPr>
            <w:tcW w:w="2126" w:type="dxa"/>
            <w:tcBorders>
              <w:top w:val="single" w:sz="5" w:space="0" w:color="000000"/>
              <w:left w:val="single" w:sz="5" w:space="0" w:color="000000"/>
              <w:bottom w:val="single" w:sz="5" w:space="0" w:color="000000"/>
              <w:right w:val="single" w:sz="5" w:space="0" w:color="000000"/>
            </w:tcBorders>
          </w:tcPr>
          <w:p w14:paraId="295EB9D9"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DB" w14:textId="77777777" w:rsidR="00093540" w:rsidRDefault="00A045BC">
            <w:pPr>
              <w:spacing w:line="226" w:lineRule="exact"/>
              <w:ind w:left="100" w:right="-20"/>
              <w:rPr>
                <w:rFonts w:eastAsia="Arial" w:cs="Calibri"/>
                <w:sz w:val="20"/>
                <w:szCs w:val="20"/>
              </w:rPr>
            </w:pPr>
            <w:r>
              <w:rPr>
                <w:rFonts w:eastAsia="Arial" w:cs="Calibri"/>
                <w:sz w:val="20"/>
                <w:szCs w:val="20"/>
              </w:rPr>
              <w:t>Overview Peppol Specs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77777777" w:rsidR="00093540" w:rsidRDefault="00A045BC">
            <w:pPr>
              <w:spacing w:line="226" w:lineRule="exact"/>
              <w:ind w:left="-6" w:right="-20"/>
              <w:rPr>
                <w:rFonts w:eastAsia="Arial" w:cs="Calibri"/>
                <w:sz w:val="20"/>
                <w:szCs w:val="20"/>
              </w:rPr>
            </w:pPr>
            <w:r>
              <w:rPr>
                <w:rFonts w:eastAsia="Arial" w:cs="Calibri"/>
                <w:sz w:val="20"/>
                <w:szCs w:val="20"/>
              </w:rPr>
              <w:t>05-01-2022</w:t>
            </w:r>
          </w:p>
        </w:tc>
        <w:tc>
          <w:tcPr>
            <w:tcW w:w="2126" w:type="dxa"/>
            <w:tcBorders>
              <w:top w:val="single" w:sz="5" w:space="0" w:color="000000"/>
              <w:left w:val="single" w:sz="5" w:space="0" w:color="000000"/>
              <w:bottom w:val="single" w:sz="5" w:space="0" w:color="000000"/>
              <w:right w:val="single" w:sz="5" w:space="0" w:color="000000"/>
            </w:tcBorders>
          </w:tcPr>
          <w:p w14:paraId="295EB9DF"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1"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Business Environment, Requirements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77777777" w:rsidR="00093540" w:rsidRDefault="00A045BC">
            <w:pPr>
              <w:spacing w:line="226" w:lineRule="exact"/>
              <w:ind w:left="-6" w:right="-20"/>
              <w:rPr>
                <w:rFonts w:eastAsia="Arial" w:cs="Calibri"/>
                <w:sz w:val="20"/>
                <w:szCs w:val="20"/>
                <w:lang w:val="nb-NO"/>
              </w:rPr>
            </w:pPr>
            <w:r>
              <w:rPr>
                <w:rFonts w:eastAsia="Arial" w:cs="Calibri"/>
                <w:sz w:val="20"/>
                <w:szCs w:val="20"/>
              </w:rPr>
              <w:t>07-01-2022</w:t>
            </w:r>
          </w:p>
        </w:tc>
        <w:tc>
          <w:tcPr>
            <w:tcW w:w="2126" w:type="dxa"/>
            <w:tcBorders>
              <w:top w:val="single" w:sz="5" w:space="0" w:color="000000"/>
              <w:left w:val="single" w:sz="5" w:space="0" w:color="000000"/>
              <w:bottom w:val="single" w:sz="5" w:space="0" w:color="000000"/>
              <w:right w:val="single" w:sz="5" w:space="0" w:color="000000"/>
            </w:tcBorders>
          </w:tcPr>
          <w:p w14:paraId="295EB9E5"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7" w14:textId="77777777" w:rsidR="00093540" w:rsidRDefault="00A045BC">
            <w:pPr>
              <w:spacing w:line="226" w:lineRule="exact"/>
              <w:ind w:left="100" w:right="-20"/>
              <w:rPr>
                <w:rFonts w:eastAsia="Arial" w:cs="Calibri"/>
                <w:sz w:val="20"/>
                <w:szCs w:val="20"/>
              </w:rPr>
            </w:pPr>
            <w:r>
              <w:rPr>
                <w:rFonts w:eastAsia="Arial" w:cs="Calibri"/>
                <w:sz w:val="20"/>
                <w:szCs w:val="20"/>
              </w:rPr>
              <w:t>Goals, Example, Process Detailed Description</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77777777" w:rsidR="00093540" w:rsidRDefault="00A045BC">
            <w:pPr>
              <w:spacing w:line="226" w:lineRule="exact"/>
              <w:ind w:left="-6" w:right="-20"/>
              <w:rPr>
                <w:rFonts w:eastAsia="Arial" w:cs="Calibri"/>
                <w:sz w:val="20"/>
                <w:szCs w:val="20"/>
              </w:rPr>
            </w:pPr>
            <w:r>
              <w:rPr>
                <w:rFonts w:eastAsia="Arial" w:cs="Calibri"/>
                <w:sz w:val="20"/>
                <w:szCs w:val="20"/>
              </w:rPr>
              <w:t>10-01-2022</w:t>
            </w:r>
          </w:p>
        </w:tc>
        <w:tc>
          <w:tcPr>
            <w:tcW w:w="2126" w:type="dxa"/>
            <w:tcBorders>
              <w:top w:val="single" w:sz="5" w:space="0" w:color="000000"/>
              <w:left w:val="single" w:sz="5" w:space="0" w:color="000000"/>
              <w:bottom w:val="single" w:sz="5" w:space="0" w:color="000000"/>
              <w:right w:val="single" w:sz="5" w:space="0" w:color="000000"/>
            </w:tcBorders>
          </w:tcPr>
          <w:p w14:paraId="295EB9EB"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ED" w14:textId="77777777" w:rsidR="00093540" w:rsidRDefault="00A045BC">
            <w:pPr>
              <w:spacing w:line="226" w:lineRule="exact"/>
              <w:ind w:left="100" w:right="-20"/>
              <w:rPr>
                <w:rFonts w:eastAsia="Arial" w:cs="Calibri"/>
                <w:sz w:val="20"/>
                <w:szCs w:val="20"/>
              </w:rPr>
            </w:pPr>
            <w:r>
              <w:rPr>
                <w:rFonts w:eastAsia="Arial" w:cs="Calibri"/>
                <w:sz w:val="20"/>
                <w:szCs w:val="20"/>
              </w:rPr>
              <w:t>Use Cases, Tables, References, Figures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295EB9F1"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2"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F3" w14:textId="77777777" w:rsidR="00093540" w:rsidRDefault="00A045BC">
            <w:pPr>
              <w:spacing w:line="226" w:lineRule="exact"/>
              <w:ind w:left="100" w:right="-20"/>
              <w:rPr>
                <w:rFonts w:eastAsia="Arial" w:cs="Calibri"/>
                <w:sz w:val="20"/>
                <w:szCs w:val="20"/>
              </w:rPr>
            </w:pPr>
            <w:r>
              <w:rPr>
                <w:rFonts w:eastAsia="Arial" w:cs="Calibri"/>
                <w:sz w:val="20"/>
                <w:szCs w:val="20"/>
              </w:rPr>
              <w:t>Implementation, Diagrams, Final Editing</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295EB9F7" w14:textId="77777777" w:rsidR="00093540" w:rsidRDefault="00A045BC">
            <w:pPr>
              <w:spacing w:line="226" w:lineRule="exact"/>
              <w:ind w:left="1" w:right="-20"/>
              <w:rPr>
                <w:rFonts w:eastAsia="Arial" w:cs="Calibri"/>
                <w:sz w:val="20"/>
                <w:szCs w:val="20"/>
              </w:rPr>
            </w:pPr>
            <w:r>
              <w:rPr>
                <w:rFonts w:eastAsia="Arial" w:cs="Calibri"/>
                <w:sz w:val="20"/>
                <w:szCs w:val="20"/>
              </w:rPr>
              <w:t>Felicia Tsakonas</w:t>
            </w:r>
          </w:p>
        </w:tc>
        <w:tc>
          <w:tcPr>
            <w:tcW w:w="2268" w:type="dxa"/>
            <w:tcBorders>
              <w:top w:val="single" w:sz="5" w:space="0" w:color="000000"/>
              <w:left w:val="single" w:sz="5" w:space="0" w:color="000000"/>
              <w:bottom w:val="single" w:sz="5" w:space="0" w:color="000000"/>
              <w:right w:val="single" w:sz="8" w:space="0" w:color="000000"/>
            </w:tcBorders>
          </w:tcPr>
          <w:p w14:paraId="295EB9F8" w14:textId="77777777" w:rsidR="00093540" w:rsidRDefault="00A045BC">
            <w:pPr>
              <w:spacing w:line="226" w:lineRule="exact"/>
              <w:ind w:left="102" w:right="-20"/>
              <w:rPr>
                <w:rFonts w:eastAsia="Arial" w:cs="Calibri"/>
                <w:sz w:val="20"/>
                <w:szCs w:val="20"/>
              </w:rPr>
            </w:pPr>
            <w:r>
              <w:rPr>
                <w:rFonts w:eastAsia="Arial" w:cs="Calibri"/>
                <w:sz w:val="20"/>
                <w:szCs w:val="20"/>
              </w:rPr>
              <w:t>Adesso</w:t>
            </w:r>
          </w:p>
        </w:tc>
        <w:tc>
          <w:tcPr>
            <w:tcW w:w="3969" w:type="dxa"/>
            <w:tcBorders>
              <w:top w:val="single" w:sz="5" w:space="0" w:color="000000"/>
              <w:left w:val="single" w:sz="8" w:space="0" w:color="000000"/>
              <w:bottom w:val="single" w:sz="5" w:space="0" w:color="000000"/>
              <w:right w:val="single" w:sz="5" w:space="0" w:color="000000"/>
            </w:tcBorders>
          </w:tcPr>
          <w:p w14:paraId="295EB9F9" w14:textId="77777777" w:rsidR="00093540" w:rsidRDefault="00A045BC">
            <w:pPr>
              <w:spacing w:line="226" w:lineRule="exact"/>
              <w:ind w:left="100" w:right="-20"/>
              <w:rPr>
                <w:rFonts w:eastAsia="Arial" w:cs="Calibri"/>
                <w:sz w:val="20"/>
                <w:szCs w:val="20"/>
              </w:rPr>
            </w:pPr>
            <w:r>
              <w:rPr>
                <w:rFonts w:eastAsia="Arial" w:cs="Calibri"/>
                <w:sz w:val="20"/>
                <w:szCs w:val="20"/>
              </w:rPr>
              <w:t>Links, Process Description</w:t>
            </w: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77777777" w:rsidR="00093540" w:rsidRDefault="00A045BC">
            <w:pPr>
              <w:spacing w:line="226" w:lineRule="exact"/>
              <w:ind w:left="-6" w:right="-20"/>
              <w:rPr>
                <w:rFonts w:eastAsia="Arial" w:cs="Calibri"/>
                <w:sz w:val="20"/>
                <w:szCs w:val="20"/>
              </w:rPr>
            </w:pPr>
            <w:r>
              <w:rPr>
                <w:rFonts w:eastAsia="Arial" w:cs="Calibri"/>
                <w:sz w:val="20"/>
                <w:szCs w:val="20"/>
              </w:rPr>
              <w:t>07-02-2022</w:t>
            </w:r>
          </w:p>
        </w:tc>
        <w:tc>
          <w:tcPr>
            <w:tcW w:w="2126" w:type="dxa"/>
            <w:tcBorders>
              <w:top w:val="single" w:sz="5" w:space="0" w:color="000000"/>
              <w:left w:val="single" w:sz="5" w:space="0" w:color="000000"/>
              <w:bottom w:val="single" w:sz="5" w:space="0" w:color="000000"/>
              <w:right w:val="single" w:sz="5" w:space="0" w:color="000000"/>
            </w:tcBorders>
          </w:tcPr>
          <w:p w14:paraId="295EB9FD"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FE"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95EB9FF" w14:textId="77777777" w:rsidR="00093540" w:rsidRDefault="00A045BC">
            <w:pPr>
              <w:spacing w:line="226" w:lineRule="exact"/>
              <w:ind w:left="100" w:right="-20"/>
              <w:rPr>
                <w:rFonts w:eastAsia="Arial" w:cs="Calibri"/>
                <w:sz w:val="20"/>
                <w:szCs w:val="20"/>
              </w:rPr>
            </w:pPr>
            <w:r>
              <w:rPr>
                <w:rFonts w:eastAsia="Arial" w:cs="Calibri"/>
                <w:sz w:val="20"/>
                <w:szCs w:val="20"/>
              </w:rPr>
              <w:t>Inclusion of descriptions, examples and use cases clarifying use of eNotificaton</w:t>
            </w: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77777777" w:rsidR="00093540" w:rsidRDefault="00A045BC">
            <w:pPr>
              <w:spacing w:line="226" w:lineRule="exact"/>
              <w:ind w:left="-6" w:right="-20"/>
              <w:rPr>
                <w:rFonts w:eastAsia="Arial" w:cs="Calibri"/>
                <w:sz w:val="20"/>
                <w:szCs w:val="20"/>
              </w:rPr>
            </w:pPr>
            <w:r>
              <w:rPr>
                <w:rFonts w:eastAsia="Arial" w:cs="Calibri"/>
                <w:sz w:val="20"/>
                <w:szCs w:val="20"/>
              </w:rPr>
              <w:t>12-02-2022</w:t>
            </w:r>
          </w:p>
        </w:tc>
        <w:tc>
          <w:tcPr>
            <w:tcW w:w="2126" w:type="dxa"/>
            <w:tcBorders>
              <w:top w:val="single" w:sz="5" w:space="0" w:color="000000"/>
              <w:left w:val="single" w:sz="5" w:space="0" w:color="000000"/>
              <w:bottom w:val="single" w:sz="5" w:space="0" w:color="000000"/>
              <w:right w:val="single" w:sz="5" w:space="0" w:color="000000"/>
            </w:tcBorders>
          </w:tcPr>
          <w:p w14:paraId="295EBA03" w14:textId="77777777" w:rsidR="00093540" w:rsidRDefault="00A045BC">
            <w:pPr>
              <w:spacing w:line="226" w:lineRule="exact"/>
              <w:ind w:left="1" w:right="-20"/>
              <w:rPr>
                <w:rFonts w:eastAsia="Arial" w:cs="Calibri"/>
                <w:sz w:val="20"/>
                <w:szCs w:val="20"/>
              </w:rPr>
            </w:pPr>
            <w:r>
              <w:rPr>
                <w:rFonts w:eastAsia="Arial" w:cs="Calibri"/>
                <w:sz w:val="20"/>
                <w:szCs w:val="20"/>
              </w:rPr>
              <w:t>Rolf Kewitz</w:t>
            </w:r>
          </w:p>
        </w:tc>
        <w:tc>
          <w:tcPr>
            <w:tcW w:w="2268" w:type="dxa"/>
            <w:tcBorders>
              <w:top w:val="single" w:sz="5" w:space="0" w:color="000000"/>
              <w:left w:val="single" w:sz="5" w:space="0" w:color="000000"/>
              <w:bottom w:val="single" w:sz="5" w:space="0" w:color="000000"/>
              <w:right w:val="single" w:sz="8" w:space="0" w:color="000000"/>
            </w:tcBorders>
          </w:tcPr>
          <w:p w14:paraId="295EBA04" w14:textId="77777777" w:rsidR="00093540" w:rsidRDefault="00A045BC">
            <w:pPr>
              <w:spacing w:line="226" w:lineRule="exact"/>
              <w:ind w:left="102" w:right="-20"/>
              <w:rPr>
                <w:rFonts w:eastAsia="Arial" w:cs="Calibri"/>
                <w:sz w:val="20"/>
                <w:szCs w:val="20"/>
                <w:lang w:val="de-DE"/>
              </w:rPr>
            </w:pPr>
            <w:r>
              <w:rPr>
                <w:rFonts w:eastAsia="Arial" w:cs="Calibri"/>
                <w:sz w:val="20"/>
                <w:szCs w:val="20"/>
                <w:lang w:val="de-DE"/>
              </w:rPr>
              <w:t>Beschaffungsamt des BMI</w:t>
            </w:r>
          </w:p>
        </w:tc>
        <w:tc>
          <w:tcPr>
            <w:tcW w:w="3969" w:type="dxa"/>
            <w:tcBorders>
              <w:top w:val="single" w:sz="5" w:space="0" w:color="000000"/>
              <w:left w:val="single" w:sz="8" w:space="0" w:color="000000"/>
              <w:bottom w:val="single" w:sz="5" w:space="0" w:color="000000"/>
              <w:right w:val="single" w:sz="5" w:space="0" w:color="000000"/>
            </w:tcBorders>
          </w:tcPr>
          <w:p w14:paraId="295EBA05" w14:textId="77777777" w:rsidR="00093540" w:rsidRDefault="00A045BC">
            <w:pPr>
              <w:spacing w:line="226" w:lineRule="exact"/>
              <w:ind w:left="100" w:right="-20"/>
              <w:rPr>
                <w:rFonts w:eastAsia="Arial" w:cs="Calibri"/>
                <w:sz w:val="20"/>
                <w:szCs w:val="20"/>
                <w:lang w:val="de-DE"/>
              </w:rPr>
            </w:pPr>
            <w:r>
              <w:rPr>
                <w:rFonts w:eastAsia="Arial" w:cs="Calibri"/>
                <w:sz w:val="20"/>
                <w:szCs w:val="20"/>
                <w:lang w:val="de-DE"/>
              </w:rPr>
              <w:t>Final Review</w:t>
            </w: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67C1FE8C" w:rsidR="003E4518" w:rsidRDefault="003E4518">
            <w:pPr>
              <w:spacing w:line="226" w:lineRule="exact"/>
              <w:ind w:left="-6" w:right="-20"/>
              <w:rPr>
                <w:rFonts w:eastAsia="Arial" w:cs="Calibri"/>
                <w:sz w:val="20"/>
                <w:szCs w:val="20"/>
              </w:rPr>
            </w:pPr>
            <w:r>
              <w:rPr>
                <w:rFonts w:eastAsia="Arial" w:cs="Calibri"/>
                <w:sz w:val="20"/>
                <w:szCs w:val="20"/>
              </w:rPr>
              <w:t>01-03-2023</w:t>
            </w:r>
          </w:p>
        </w:tc>
        <w:tc>
          <w:tcPr>
            <w:tcW w:w="2126" w:type="dxa"/>
            <w:tcBorders>
              <w:top w:val="single" w:sz="5" w:space="0" w:color="000000"/>
              <w:left w:val="single" w:sz="5" w:space="0" w:color="000000"/>
              <w:bottom w:val="single" w:sz="5" w:space="0" w:color="000000"/>
              <w:right w:val="single" w:sz="5" w:space="0" w:color="000000"/>
            </w:tcBorders>
          </w:tcPr>
          <w:p w14:paraId="17EDDB67" w14:textId="54AFF310" w:rsidR="003E4518" w:rsidRDefault="003E4518">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1B06CC0C" w14:textId="7463DDE5" w:rsidR="003E4518" w:rsidRDefault="003E4518">
            <w:pPr>
              <w:spacing w:line="226" w:lineRule="exact"/>
              <w:ind w:left="102" w:right="-20"/>
              <w:rPr>
                <w:rFonts w:eastAsia="Arial" w:cs="Calibri"/>
                <w:sz w:val="20"/>
                <w:szCs w:val="20"/>
                <w:lang w:val="de-DE"/>
              </w:rPr>
            </w:pPr>
            <w:r>
              <w:rPr>
                <w:rFonts w:eastAsia="Arial" w:cs="Calibri"/>
                <w:sz w:val="20"/>
                <w:szCs w:val="20"/>
                <w:lang w:val="de-DE"/>
              </w:rPr>
              <w:t>Mondorf IT</w:t>
            </w:r>
          </w:p>
        </w:tc>
        <w:tc>
          <w:tcPr>
            <w:tcW w:w="3969" w:type="dxa"/>
            <w:tcBorders>
              <w:top w:val="single" w:sz="5" w:space="0" w:color="000000"/>
              <w:left w:val="single" w:sz="8" w:space="0" w:color="000000"/>
              <w:bottom w:val="single" w:sz="5" w:space="0" w:color="000000"/>
              <w:right w:val="single" w:sz="5" w:space="0" w:color="000000"/>
            </w:tcBorders>
          </w:tcPr>
          <w:p w14:paraId="6ECEA2BA" w14:textId="17C79B80" w:rsidR="003E4518" w:rsidRPr="00AD0E1B" w:rsidRDefault="003E4518">
            <w:pPr>
              <w:spacing w:line="226" w:lineRule="exact"/>
              <w:ind w:left="100" w:right="-20"/>
              <w:rPr>
                <w:rFonts w:eastAsia="Arial" w:cs="Calibri"/>
                <w:sz w:val="20"/>
                <w:szCs w:val="20"/>
                <w:lang w:val="en-GB"/>
              </w:rPr>
            </w:pPr>
            <w:r w:rsidRPr="00AD0E1B">
              <w:rPr>
                <w:rFonts w:eastAsia="Arial" w:cs="Calibri"/>
                <w:sz w:val="20"/>
                <w:szCs w:val="20"/>
                <w:lang w:val="en-GB"/>
              </w:rPr>
              <w:t xml:space="preserve">Final Editing for Release: Inclusion of </w:t>
            </w:r>
            <w:r w:rsidR="00433017" w:rsidRPr="00AD0E1B">
              <w:rPr>
                <w:rFonts w:eastAsia="Arial" w:cs="Calibri"/>
                <w:sz w:val="20"/>
                <w:szCs w:val="20"/>
                <w:lang w:val="en-GB"/>
              </w:rPr>
              <w:t>Tendering Message Response, Update of Links, Final Review</w:t>
            </w: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77777777" w:rsidR="00093540" w:rsidRDefault="00A045BC">
            <w:pPr>
              <w:rPr>
                <w:rFonts w:cs="Calibri"/>
                <w:sz w:val="20"/>
                <w:szCs w:val="20"/>
                <w:lang w:val="en-GB" w:eastAsia="de-DE"/>
              </w:rPr>
            </w:pPr>
            <w:r>
              <w:rPr>
                <w:rFonts w:cs="Calibri"/>
                <w:sz w:val="20"/>
                <w:szCs w:val="20"/>
                <w:lang w:val="en-GB" w:eastAsia="de-DE"/>
              </w:rPr>
              <w:t>Felicia Tsakonas</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p>
    <w:p w14:paraId="295EBA62" w14:textId="77777777" w:rsidR="00093540" w:rsidRDefault="00A045BC">
      <w:pPr>
        <w:spacing w:after="180"/>
      </w:pPr>
      <w:r>
        <w:t xml:space="preserve">The scope of the Peppol pre-award specifications and guidelines include processes that support the main flow of open procedures such publication of notices, search of notices, calls for tenders, 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295EBA63" w14:textId="77777777" w:rsidR="00093540" w:rsidRDefault="00A045BC">
      <w:pPr>
        <w:spacing w:after="180"/>
      </w:pPr>
      <w:r>
        <w:t xml:space="preserve">This document describes the choreography to execute open procedures using Peppol. Thus, the Notification &amp; Open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hyperlink r:id="rId14" w:tooltip="https://standards.cencenelec.eu/dyn/www/f?p=205:32:0::::FSP_ORG_ID,FSP_LANG_ID:2073699,25&amp;cs=1764296F93587711762A3AB227353671A" w:history="1">
        <w:r>
          <w:rPr>
            <w:rStyle w:val="Hyperlink"/>
            <w:rFonts w:cs="Calibri"/>
            <w:sz w:val="20"/>
            <w:szCs w:val="20"/>
            <w:lang w:val="en-GB"/>
          </w:rPr>
          <w:t>CEN_BII3</w:t>
        </w:r>
      </w:hyperlink>
      <w:r>
        <w:rPr>
          <w:rFonts w:cs="Calibri"/>
          <w:color w:val="000000"/>
          <w:sz w:val="20"/>
          <w:szCs w:val="20"/>
          <w:lang w:val="en-GB"/>
        </w:rPr>
        <w:t>]</w:t>
      </w:r>
      <w:r>
        <w:t xml:space="preserve"> - E-Tendering - Part 106: Profile BII37 Open Procedure (CWA 17027-106:2016) [</w:t>
      </w:r>
      <w:hyperlink r:id="rId15" w:tooltip="https://standards.cencenelec.eu/dyn/www/f?p=205:110:0::::FSP_PROJECT:62023&amp;cs=19453F711D73A2988EC334F37EE564AB1" w:history="1">
        <w:r>
          <w:rPr>
            <w:rStyle w:val="Hyperlink"/>
          </w:rPr>
          <w:t>BII37 Open Procedure</w:t>
        </w:r>
      </w:hyperlink>
      <w:r>
        <w:t>].</w:t>
      </w:r>
    </w:p>
    <w:p w14:paraId="295EBA64" w14:textId="77777777" w:rsidR="00093540" w:rsidRDefault="00A045BC">
      <w:pPr>
        <w:spacing w:after="180"/>
      </w:pPr>
      <w:r>
        <w:t>Even though this guideline describes the open procedure as a whole, Peppol eTendering service providers may also implement only certain parts or aspects of the open procurement procedure described here. For example, it is possible to implement only the processes up to the provision of the call for tender documents or to exclusively realize processes and transactions that support the publication and search of notices. Thus, the guideline equally supports the understanding of the implementation of notification procedures using the Peppol infrastructure (eNotification).</w:t>
      </w:r>
    </w:p>
    <w:p w14:paraId="295EBA65" w14:textId="77777777" w:rsidR="00093540" w:rsidRDefault="00A045BC">
      <w:pPr>
        <w:rPr>
          <w:lang w:val="en-GB"/>
        </w:rPr>
      </w:pPr>
      <w:r>
        <w:t xml:space="preserve">The guideline is based upon the directives </w:t>
      </w:r>
      <w:hyperlink r:id="rId16" w:tooltip="https://eur-lex.europa.eu/legal-content/DE/TXT/?uri=CELEX%3A32014L0024" w:history="1">
        <w:r>
          <w:rPr>
            <w:rStyle w:val="Hyperlink"/>
            <w:lang w:val="en-GB"/>
          </w:rPr>
          <w:t>2014/24/EU</w:t>
        </w:r>
      </w:hyperlink>
      <w:r>
        <w:rPr>
          <w:lang w:val="en-GB"/>
        </w:rPr>
        <w:t xml:space="preserve"> </w:t>
      </w:r>
      <w:r>
        <w:t xml:space="preserve">on public procurement and </w:t>
      </w:r>
      <w:hyperlink r:id="rId17"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8"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19" w:tooltip="https://eur-lex.europa.eu/eli/reg_impl/2016/7/oj" w:history="1">
        <w:r>
          <w:rPr>
            <w:rStyle w:val="Hyperlink"/>
            <w:lang w:val="en-GB"/>
          </w:rPr>
          <w:t>ESPD</w:t>
        </w:r>
      </w:hyperlink>
      <w:r>
        <w:rPr>
          <w:lang w:val="en-GB"/>
        </w:rPr>
        <w:t xml:space="preserve">] have been considered for the collection of the underlying legal requirements. </w:t>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28564124"/>
      <w:bookmarkEnd w:id="23"/>
      <w:bookmarkEnd w:id="24"/>
      <w:bookmarkEnd w:id="25"/>
      <w:bookmarkEnd w:id="26"/>
      <w:bookmarkEnd w:id="27"/>
      <w:bookmarkEnd w:id="28"/>
      <w:bookmarkEnd w:id="29"/>
      <w:r>
        <w:rPr>
          <w:lang w:val="de-DE"/>
        </w:rPr>
        <w:lastRenderedPageBreak/>
        <w:t>Scope</w:t>
      </w:r>
      <w:bookmarkEnd w:id="30"/>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28564125"/>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For further information on Peppol/OpenPeppol please see [</w:t>
      </w:r>
      <w:hyperlink r:id="rId20" w:tooltip="https://peppol.eu/what-is-peppol/" w:history="1">
        <w:r>
          <w:rPr>
            <w:rStyle w:val="Hyperlink"/>
          </w:rPr>
          <w:t>Peppol AISBL</w:t>
        </w:r>
      </w:hyperlink>
      <w:r>
        <w:t>].</w:t>
      </w:r>
    </w:p>
    <w:p w14:paraId="295EBA7C" w14:textId="77777777" w:rsidR="00093540" w:rsidRDefault="00A045BC">
      <w:pPr>
        <w:pStyle w:val="berschrift2"/>
        <w:rPr>
          <w:lang w:val="en-GB"/>
        </w:rPr>
      </w:pPr>
      <w:bookmarkStart w:id="38" w:name="_Toc128564126"/>
      <w:r>
        <w:rPr>
          <w:lang w:val="en-GB"/>
        </w:rPr>
        <w:t>Peppol specifications in scope of the Notification &amp; Open Procedure Guideline</w:t>
      </w:r>
      <w:bookmarkEnd w:id="38"/>
    </w:p>
    <w:p w14:paraId="295EBA7D" w14:textId="77777777" w:rsidR="00093540" w:rsidRDefault="00A045BC">
      <w:pPr>
        <w:spacing w:after="180"/>
      </w:pPr>
      <w:r>
        <w:t>Peppol pre-award enables trading partners to exchange standards-based electronic eTendering documents over the Peppol network (based on a 4-corner model) [</w:t>
      </w:r>
      <w:hyperlink r:id="rId21"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2" w:tooltip="https://peppol.eu/what-is-peppol/peppol-profiles-specifications/" w:history="1">
        <w:r>
          <w:rPr>
            <w:rStyle w:val="Hyperlink"/>
          </w:rPr>
          <w:t>Peppol BIS</w:t>
        </w:r>
      </w:hyperlink>
      <w:r>
        <w:t>].</w:t>
      </w:r>
    </w:p>
    <w:p w14:paraId="295EBA7E" w14:textId="77777777" w:rsidR="00093540" w:rsidRDefault="00A045BC">
      <w:pPr>
        <w:spacing w:after="180"/>
      </w:pPr>
      <w:r>
        <w:t>The Peppol BISs in the pre-award domain have been developed by the OpenPEPPOL AISBL Pre-Award Domain Community (PrAC) and are published as part of the Peppol specifications [</w:t>
      </w:r>
      <w:hyperlink r:id="rId23" w:history="1">
        <w:r>
          <w:rPr>
            <w:rStyle w:val="Hyperlink"/>
          </w:rPr>
          <w:t>Peppol Pre Award</w:t>
        </w:r>
      </w:hyperlink>
      <w:r>
        <w:t>]. Particular intention shall be given to the Peppol BIS pre-award metadata profiles which together constitute the processes and transaction that frame the execution of eTendering procedures [</w:t>
      </w:r>
      <w:hyperlink r:id="rId24"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hyperlink r:id="rId25" w:tooltip="https://docs.peppol.eu/pracc/files/BIS-eDelivery-guide-for-pre-award-v1.2.pdf" w:history="1">
        <w:r>
          <w:rPr>
            <w:rStyle w:val="Hyperlink"/>
          </w:rPr>
          <w:t>Pre Award eDelivery</w:t>
        </w:r>
      </w:hyperlink>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hyperlink r:id="rId26"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77777777" w:rsidR="00093540" w:rsidRDefault="00A045BC">
      <w:pPr>
        <w:spacing w:after="180"/>
        <w:rPr>
          <w:rFonts w:cs="Arial"/>
        </w:rPr>
      </w:pPr>
      <w:r>
        <w:t>The set of Peppol BISs for supporting the open procedure in the pre-award area are [</w:t>
      </w:r>
      <w:hyperlink r:id="rId27" w:history="1">
        <w:r>
          <w:rPr>
            <w:rStyle w:val="Hyperlink"/>
          </w:rPr>
          <w:t>Peppol BIS pre-award</w:t>
        </w:r>
      </w:hyperlink>
      <w:r>
        <w:t xml:space="preserve">]: </w:t>
      </w:r>
    </w:p>
    <w:p w14:paraId="295EBA86" w14:textId="4B1E8DC0" w:rsidR="00093540" w:rsidRDefault="00A045BC">
      <w:pPr>
        <w:pStyle w:val="Beschriftung"/>
        <w:keepNext/>
        <w:jc w:val="center"/>
      </w:pPr>
      <w:bookmarkStart w:id="39" w:name="_Toc128564104"/>
      <w:r>
        <w:t xml:space="preserve">Table </w:t>
      </w:r>
      <w:r>
        <w:fldChar w:fldCharType="begin"/>
      </w:r>
      <w:r>
        <w:instrText xml:space="preserve"> SEQ Table \* ARABIC </w:instrText>
      </w:r>
      <w:r>
        <w:fldChar w:fldCharType="separate"/>
      </w:r>
      <w:r w:rsidR="00FD0B3B">
        <w:rPr>
          <w:noProof/>
        </w:rPr>
        <w:t>1</w:t>
      </w:r>
      <w:r>
        <w:fldChar w:fldCharType="end"/>
      </w:r>
      <w:r>
        <w:t>: Peppol BISs supporting the open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000000">
            <w:pPr>
              <w:spacing w:after="120"/>
              <w:rPr>
                <w:rFonts w:ascii="Calibri" w:hAnsi="Calibri" w:cs="Calibri"/>
                <w:sz w:val="20"/>
                <w:szCs w:val="20"/>
                <w:lang w:eastAsia="nl-NL"/>
              </w:rPr>
            </w:pPr>
            <w:hyperlink r:id="rId28"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000000">
            <w:pPr>
              <w:spacing w:after="120"/>
              <w:rPr>
                <w:rFonts w:ascii="Calibri" w:hAnsi="Calibri" w:cs="Calibri"/>
                <w:sz w:val="20"/>
                <w:szCs w:val="20"/>
                <w:lang w:eastAsia="nl-NL"/>
              </w:rPr>
            </w:pPr>
            <w:hyperlink r:id="rId29"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000000">
            <w:pPr>
              <w:spacing w:after="120"/>
              <w:rPr>
                <w:rFonts w:ascii="Calibri" w:hAnsi="Calibri" w:cs="Calibri"/>
                <w:sz w:val="20"/>
                <w:szCs w:val="20"/>
                <w:lang w:eastAsia="nl-NL"/>
              </w:rPr>
            </w:pPr>
            <w:hyperlink r:id="rId30"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000000">
            <w:pPr>
              <w:spacing w:after="120"/>
              <w:rPr>
                <w:rFonts w:ascii="Calibri" w:hAnsi="Calibri" w:cs="Calibri"/>
                <w:sz w:val="20"/>
                <w:szCs w:val="20"/>
                <w:lang w:eastAsia="nl-NL"/>
              </w:rPr>
            </w:pPr>
            <w:hyperlink r:id="rId31"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000000">
            <w:pPr>
              <w:spacing w:after="120"/>
              <w:rPr>
                <w:rFonts w:ascii="Calibri" w:hAnsi="Calibri" w:cs="Calibri"/>
                <w:sz w:val="20"/>
                <w:szCs w:val="20"/>
                <w:lang w:eastAsia="nl-NL"/>
              </w:rPr>
            </w:pPr>
            <w:hyperlink r:id="rId32"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000000">
            <w:pPr>
              <w:spacing w:after="120"/>
              <w:rPr>
                <w:rStyle w:val="Hyperlink"/>
                <w:rFonts w:cs="Calibri"/>
                <w:sz w:val="20"/>
                <w:szCs w:val="20"/>
                <w:lang w:eastAsia="nl-NL"/>
              </w:rPr>
            </w:pPr>
            <w:hyperlink r:id="rId33"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000000">
            <w:pPr>
              <w:spacing w:after="120"/>
              <w:rPr>
                <w:rFonts w:ascii="Calibri" w:hAnsi="Calibri" w:cs="Calibri"/>
                <w:sz w:val="20"/>
                <w:szCs w:val="20"/>
                <w:lang w:eastAsia="nl-NL"/>
              </w:rPr>
            </w:pPr>
            <w:hyperlink r:id="rId34"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000000">
            <w:pPr>
              <w:spacing w:after="120"/>
              <w:rPr>
                <w:rFonts w:ascii="Calibri" w:hAnsi="Calibri" w:cs="Calibri"/>
                <w:sz w:val="20"/>
                <w:szCs w:val="20"/>
                <w:lang w:eastAsia="nl-NL"/>
              </w:rPr>
            </w:pPr>
            <w:hyperlink r:id="rId3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000000">
            <w:pPr>
              <w:spacing w:after="120"/>
              <w:rPr>
                <w:rFonts w:ascii="Calibri" w:hAnsi="Calibri" w:cs="Calibri"/>
                <w:sz w:val="20"/>
                <w:szCs w:val="20"/>
                <w:lang w:eastAsia="nl-NL"/>
              </w:rPr>
            </w:pPr>
            <w:hyperlink r:id="rId3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000000">
            <w:pPr>
              <w:spacing w:after="120"/>
              <w:rPr>
                <w:rFonts w:ascii="Calibri" w:hAnsi="Calibri" w:cs="Calibri"/>
                <w:sz w:val="20"/>
                <w:szCs w:val="20"/>
                <w:lang w:eastAsia="nl-NL"/>
              </w:rPr>
            </w:pPr>
            <w:hyperlink r:id="rId3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000000">
            <w:pPr>
              <w:spacing w:after="120"/>
              <w:rPr>
                <w:rFonts w:ascii="Calibri" w:hAnsi="Calibri" w:cs="Calibri"/>
                <w:sz w:val="20"/>
                <w:szCs w:val="20"/>
                <w:lang w:eastAsia="nl-NL"/>
              </w:rPr>
            </w:pPr>
            <w:hyperlink r:id="rId38"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000000">
            <w:pPr>
              <w:spacing w:after="120"/>
              <w:rPr>
                <w:rFonts w:ascii="Calibri" w:hAnsi="Calibri" w:cs="Calibri"/>
                <w:sz w:val="20"/>
                <w:szCs w:val="20"/>
                <w:lang w:eastAsia="nl-NL"/>
              </w:rPr>
            </w:pPr>
            <w:hyperlink r:id="rId39"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000000">
            <w:pPr>
              <w:spacing w:after="120"/>
              <w:rPr>
                <w:rFonts w:ascii="Calibri" w:hAnsi="Calibri" w:cs="Calibri"/>
                <w:sz w:val="20"/>
                <w:szCs w:val="20"/>
                <w:lang w:eastAsia="nl-NL"/>
              </w:rPr>
            </w:pPr>
            <w:hyperlink r:id="rId40"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000000">
            <w:pPr>
              <w:spacing w:after="120"/>
              <w:rPr>
                <w:rFonts w:ascii="Calibri" w:hAnsi="Calibri" w:cs="Calibri"/>
                <w:sz w:val="20"/>
                <w:szCs w:val="20"/>
                <w:lang w:eastAsia="nl-NL"/>
              </w:rPr>
            </w:pPr>
            <w:hyperlink r:id="rId41"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000000">
            <w:pPr>
              <w:spacing w:after="120"/>
              <w:rPr>
                <w:rFonts w:ascii="Calibri" w:hAnsi="Calibri" w:cs="Calibri"/>
                <w:sz w:val="20"/>
                <w:szCs w:val="20"/>
                <w:lang w:eastAsia="nl-NL"/>
              </w:rPr>
            </w:pPr>
            <w:hyperlink r:id="rId42"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000000">
            <w:pPr>
              <w:spacing w:after="120"/>
              <w:rPr>
                <w:rFonts w:ascii="Calibri" w:hAnsi="Calibri" w:cs="Calibri"/>
                <w:sz w:val="20"/>
                <w:szCs w:val="20"/>
                <w:lang w:eastAsia="nl-NL"/>
              </w:rPr>
            </w:pPr>
            <w:hyperlink r:id="rId43"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000000">
            <w:pPr>
              <w:spacing w:after="120"/>
              <w:rPr>
                <w:rFonts w:ascii="Calibri" w:hAnsi="Calibri" w:cs="Calibri"/>
                <w:sz w:val="20"/>
                <w:szCs w:val="20"/>
                <w:lang w:eastAsia="nl-NL"/>
              </w:rPr>
            </w:pPr>
            <w:hyperlink r:id="rId44"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000000">
            <w:pPr>
              <w:spacing w:after="120"/>
              <w:rPr>
                <w:rFonts w:ascii="Calibri" w:hAnsi="Calibri" w:cs="Calibri"/>
                <w:sz w:val="20"/>
                <w:szCs w:val="20"/>
                <w:lang w:eastAsia="nl-NL"/>
              </w:rPr>
            </w:pPr>
            <w:hyperlink r:id="rId45"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000000">
            <w:pPr>
              <w:spacing w:after="120"/>
              <w:rPr>
                <w:rFonts w:ascii="Calibri" w:hAnsi="Calibri" w:cs="Calibri"/>
                <w:sz w:val="20"/>
                <w:szCs w:val="20"/>
                <w:lang w:eastAsia="nl-NL"/>
              </w:rPr>
            </w:pPr>
            <w:hyperlink r:id="rId46"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000000">
            <w:pPr>
              <w:spacing w:after="120"/>
              <w:rPr>
                <w:rFonts w:ascii="Calibri" w:hAnsi="Calibri" w:cs="Calibri"/>
                <w:sz w:val="20"/>
                <w:szCs w:val="20"/>
                <w:lang w:eastAsia="nl-NL"/>
              </w:rPr>
            </w:pPr>
            <w:hyperlink r:id="rId47"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000000">
            <w:pPr>
              <w:spacing w:after="120"/>
              <w:rPr>
                <w:rFonts w:ascii="Calibri" w:hAnsi="Calibri" w:cs="Calibri"/>
                <w:sz w:val="20"/>
                <w:szCs w:val="20"/>
                <w:lang w:eastAsia="nl-NL"/>
              </w:rPr>
            </w:pPr>
            <w:hyperlink r:id="rId48"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000000">
            <w:pPr>
              <w:spacing w:after="120"/>
              <w:rPr>
                <w:rFonts w:ascii="Calibri" w:hAnsi="Calibri" w:cs="Calibri"/>
                <w:sz w:val="20"/>
                <w:szCs w:val="20"/>
                <w:lang w:eastAsia="nl-NL"/>
              </w:rPr>
            </w:pPr>
            <w:hyperlink r:id="rId49"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000000">
            <w:pPr>
              <w:spacing w:after="120"/>
              <w:rPr>
                <w:rFonts w:ascii="Calibri" w:hAnsi="Calibri" w:cs="Calibri"/>
                <w:sz w:val="20"/>
                <w:szCs w:val="20"/>
                <w:lang w:eastAsia="nl-NL"/>
              </w:rPr>
            </w:pPr>
            <w:hyperlink r:id="rId50"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000000">
            <w:pPr>
              <w:spacing w:after="120"/>
              <w:rPr>
                <w:rFonts w:ascii="Calibri" w:hAnsi="Calibri" w:cs="Calibri"/>
                <w:sz w:val="20"/>
                <w:szCs w:val="20"/>
                <w:lang w:eastAsia="nl-NL"/>
              </w:rPr>
            </w:pPr>
            <w:hyperlink r:id="rId51"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000000">
            <w:pPr>
              <w:spacing w:after="120"/>
              <w:rPr>
                <w:rFonts w:ascii="Calibri" w:hAnsi="Calibri" w:cs="Calibri"/>
                <w:sz w:val="20"/>
                <w:szCs w:val="20"/>
                <w:lang w:eastAsia="nl-NL"/>
              </w:rPr>
            </w:pPr>
            <w:hyperlink r:id="rId52"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000000">
            <w:pPr>
              <w:spacing w:after="120"/>
              <w:rPr>
                <w:rFonts w:ascii="Calibri" w:hAnsi="Calibri" w:cs="Calibri"/>
                <w:sz w:val="20"/>
                <w:szCs w:val="20"/>
                <w:lang w:eastAsia="nl-NL"/>
              </w:rPr>
            </w:pPr>
            <w:hyperlink r:id="rId53"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000000">
            <w:pPr>
              <w:spacing w:after="120"/>
              <w:rPr>
                <w:rFonts w:ascii="Calibri" w:hAnsi="Calibri" w:cs="Calibri"/>
                <w:sz w:val="20"/>
                <w:szCs w:val="20"/>
                <w:lang w:eastAsia="nl-NL"/>
              </w:rPr>
            </w:pPr>
            <w:hyperlink r:id="rId54"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000000">
            <w:pPr>
              <w:spacing w:after="120"/>
              <w:rPr>
                <w:rFonts w:ascii="Calibri" w:hAnsi="Calibri" w:cs="Calibri"/>
                <w:sz w:val="20"/>
                <w:szCs w:val="20"/>
                <w:lang w:eastAsia="nl-NL"/>
              </w:rPr>
            </w:pPr>
            <w:hyperlink r:id="rId55"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000000">
            <w:pPr>
              <w:spacing w:after="120"/>
              <w:rPr>
                <w:rFonts w:ascii="Calibri" w:hAnsi="Calibri" w:cs="Calibri"/>
                <w:sz w:val="20"/>
                <w:szCs w:val="20"/>
                <w:lang w:eastAsia="nl-NL"/>
              </w:rPr>
            </w:pPr>
            <w:hyperlink r:id="rId56"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000000">
            <w:pPr>
              <w:spacing w:after="120"/>
              <w:rPr>
                <w:rFonts w:ascii="Calibri" w:hAnsi="Calibri" w:cs="Calibri"/>
                <w:sz w:val="20"/>
                <w:szCs w:val="20"/>
                <w:lang w:eastAsia="nl-NL"/>
              </w:rPr>
            </w:pPr>
            <w:hyperlink r:id="rId57"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000000">
            <w:pPr>
              <w:spacing w:after="120"/>
              <w:rPr>
                <w:rFonts w:ascii="Calibri" w:hAnsi="Calibri" w:cs="Calibri"/>
                <w:sz w:val="20"/>
                <w:szCs w:val="20"/>
                <w:lang w:val="en-GB" w:eastAsia="nl-NL"/>
              </w:rPr>
            </w:pPr>
            <w:hyperlink r:id="rId58"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9"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60"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000000">
            <w:pPr>
              <w:spacing w:after="120"/>
              <w:rPr>
                <w:rFonts w:ascii="Calibri" w:hAnsi="Calibri" w:cs="Calibri"/>
                <w:sz w:val="20"/>
                <w:szCs w:val="20"/>
                <w:lang w:eastAsia="nl-NL"/>
              </w:rPr>
            </w:pPr>
            <w:hyperlink r:id="rId61"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000000">
            <w:pPr>
              <w:spacing w:after="120"/>
              <w:rPr>
                <w:rFonts w:ascii="Calibri" w:hAnsi="Calibri" w:cs="Calibri"/>
                <w:sz w:val="20"/>
                <w:szCs w:val="20"/>
                <w:lang w:eastAsia="nl-NL"/>
              </w:rPr>
            </w:pPr>
            <w:hyperlink r:id="rId62"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000000">
            <w:pPr>
              <w:spacing w:after="120"/>
              <w:rPr>
                <w:rFonts w:ascii="Calibri" w:hAnsi="Calibri" w:cs="Calibri"/>
                <w:sz w:val="20"/>
                <w:szCs w:val="20"/>
                <w:lang w:eastAsia="nl-NL"/>
              </w:rPr>
            </w:pPr>
            <w:hyperlink r:id="rId63"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000000">
            <w:pPr>
              <w:spacing w:after="120"/>
              <w:rPr>
                <w:rFonts w:ascii="Calibri" w:hAnsi="Calibri" w:cs="Calibri"/>
                <w:sz w:val="20"/>
                <w:szCs w:val="20"/>
                <w:lang w:eastAsia="nl-NL"/>
              </w:rPr>
            </w:pPr>
            <w:hyperlink r:id="rId64"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000000">
            <w:pPr>
              <w:spacing w:after="120"/>
              <w:rPr>
                <w:rFonts w:ascii="Calibri" w:hAnsi="Calibri" w:cs="Calibri"/>
                <w:sz w:val="20"/>
                <w:szCs w:val="20"/>
                <w:lang w:eastAsia="nl-NL"/>
              </w:rPr>
            </w:pPr>
            <w:hyperlink r:id="rId6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000000">
            <w:pPr>
              <w:spacing w:after="120"/>
            </w:pPr>
            <w:hyperlink r:id="rId66"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7"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000000">
            <w:pPr>
              <w:spacing w:after="120"/>
              <w:rPr>
                <w:rFonts w:ascii="Calibri" w:hAnsi="Calibri" w:cs="Calibri"/>
                <w:sz w:val="20"/>
                <w:szCs w:val="20"/>
                <w:lang w:eastAsia="nl-NL"/>
              </w:rPr>
            </w:pPr>
            <w:hyperlink r:id="rId68"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000000">
            <w:pPr>
              <w:spacing w:after="120"/>
              <w:rPr>
                <w:rFonts w:ascii="Calibri" w:hAnsi="Calibri" w:cs="Calibri"/>
                <w:sz w:val="20"/>
                <w:szCs w:val="20"/>
                <w:lang w:eastAsia="nl-NL"/>
              </w:rPr>
            </w:pPr>
            <w:hyperlink r:id="rId69" w:history="1">
              <w:r w:rsidR="00121E69" w:rsidRPr="00A20A8C">
                <w:rPr>
                  <w:rFonts w:ascii="Calibri" w:hAnsi="Calibri" w:cs="Calibri"/>
                  <w:sz w:val="20"/>
                  <w:szCs w:val="20"/>
                  <w:lang w:eastAsia="nl-NL"/>
                </w:rPr>
                <w:t xml:space="preserve">BII Architecture 107 </w:t>
              </w:r>
            </w:hyperlink>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0" w:name="_Toc423863139"/>
      <w:bookmarkStart w:id="41" w:name="_Toc128564127"/>
      <w:r>
        <w:t>Goals</w:t>
      </w:r>
      <w:bookmarkEnd w:id="40"/>
      <w:r>
        <w:t xml:space="preserve"> of the Notification &amp; Open Procedure guideline</w:t>
      </w:r>
      <w:bookmarkEnd w:id="41"/>
    </w:p>
    <w:p w14:paraId="295EBB0E" w14:textId="77777777" w:rsidR="00093540" w:rsidRDefault="00A045BC">
      <w:r>
        <w:t>The main business benefits to be gained by implementing this guideline are:</w:t>
      </w:r>
    </w:p>
    <w:p w14:paraId="295EBB0F" w14:textId="77777777" w:rsidR="00093540" w:rsidRDefault="00093540"/>
    <w:p w14:paraId="295EBB10" w14:textId="53080E11" w:rsidR="00093540" w:rsidRDefault="00A045BC">
      <w:pPr>
        <w:pStyle w:val="Beschriftung"/>
        <w:keepNext/>
        <w:jc w:val="center"/>
      </w:pPr>
      <w:bookmarkStart w:id="42" w:name="_Toc128564105"/>
      <w:r>
        <w:t xml:space="preserve">Table </w:t>
      </w:r>
      <w:r>
        <w:fldChar w:fldCharType="begin"/>
      </w:r>
      <w:r>
        <w:instrText xml:space="preserve"> SEQ Table \* ARABIC </w:instrText>
      </w:r>
      <w:r>
        <w:fldChar w:fldCharType="separate"/>
      </w:r>
      <w:r w:rsidR="00FD0B3B">
        <w:rPr>
          <w:noProof/>
        </w:rPr>
        <w:t>2</w:t>
      </w:r>
      <w:r>
        <w:fldChar w:fldCharType="end"/>
      </w:r>
      <w:r>
        <w:t>: Goals of the Notification &amp; Open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B16" w14:textId="77777777">
        <w:trPr>
          <w:trHeight w:val="300"/>
        </w:trPr>
        <w:tc>
          <w:tcPr>
            <w:tcW w:w="553" w:type="pct"/>
            <w:noWrap/>
          </w:tcPr>
          <w:p w14:paraId="295EBB14" w14:textId="77777777" w:rsidR="00093540" w:rsidRDefault="00A045BC">
            <w:pPr>
              <w:pStyle w:val="Textkrper"/>
              <w:rPr>
                <w:rFonts w:ascii="Calibri" w:hAnsi="Calibri" w:cs="Calibri"/>
              </w:rPr>
            </w:pPr>
            <w:r>
              <w:rPr>
                <w:rFonts w:ascii="Calibri" w:hAnsi="Calibri" w:cs="Calibri"/>
              </w:rPr>
              <w:t>G37-001</w:t>
            </w:r>
          </w:p>
        </w:tc>
        <w:tc>
          <w:tcPr>
            <w:tcW w:w="4447" w:type="pct"/>
            <w:noWrap/>
          </w:tcPr>
          <w:p w14:paraId="295EBB15" w14:textId="77777777" w:rsidR="00093540" w:rsidRDefault="00A045BC">
            <w:pPr>
              <w:pStyle w:val="Textkrper"/>
              <w:rPr>
                <w:rFonts w:ascii="Calibri" w:hAnsi="Calibri" w:cs="Calibri"/>
              </w:rPr>
            </w:pPr>
            <w:r>
              <w:rPr>
                <w:rFonts w:ascii="Calibri" w:hAnsi="Calibri" w:cs="Calibri"/>
              </w:rPr>
              <w:t>Reduce human errors and resources - Automated matching of the Tender with the Call for Tender document should eliminate human keying errors and facilitates redeployment of resources.</w:t>
            </w:r>
          </w:p>
        </w:tc>
      </w:tr>
      <w:tr w:rsidR="00093540" w14:paraId="295EBB19" w14:textId="77777777">
        <w:trPr>
          <w:trHeight w:val="300"/>
        </w:trPr>
        <w:tc>
          <w:tcPr>
            <w:tcW w:w="553" w:type="pct"/>
            <w:noWrap/>
          </w:tcPr>
          <w:p w14:paraId="295EBB17" w14:textId="77777777" w:rsidR="00093540" w:rsidRDefault="00A045BC">
            <w:pPr>
              <w:pStyle w:val="Textkrper"/>
              <w:rPr>
                <w:rFonts w:ascii="Calibri" w:hAnsi="Calibri" w:cs="Calibri"/>
              </w:rPr>
            </w:pPr>
            <w:r>
              <w:rPr>
                <w:rFonts w:ascii="Calibri" w:hAnsi="Calibri" w:cs="Calibri"/>
              </w:rPr>
              <w:lastRenderedPageBreak/>
              <w:t>G37-002</w:t>
            </w:r>
          </w:p>
        </w:tc>
        <w:tc>
          <w:tcPr>
            <w:tcW w:w="4447" w:type="pct"/>
            <w:noWrap/>
          </w:tcPr>
          <w:p w14:paraId="295EBB18" w14:textId="77777777" w:rsidR="00093540" w:rsidRDefault="00A045BC">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093540" w14:paraId="295EBB1C" w14:textId="77777777">
        <w:trPr>
          <w:trHeight w:val="300"/>
        </w:trPr>
        <w:tc>
          <w:tcPr>
            <w:tcW w:w="553" w:type="pct"/>
            <w:noWrap/>
          </w:tcPr>
          <w:p w14:paraId="295EBB1A" w14:textId="77777777" w:rsidR="00093540" w:rsidRDefault="00A045BC">
            <w:pPr>
              <w:pStyle w:val="Textkrper"/>
              <w:rPr>
                <w:rFonts w:ascii="Calibri" w:hAnsi="Calibri" w:cs="Calibri"/>
              </w:rPr>
            </w:pPr>
            <w:r>
              <w:rPr>
                <w:rFonts w:ascii="Calibri" w:hAnsi="Calibri" w:cs="Calibri"/>
              </w:rPr>
              <w:t>G37-003</w:t>
            </w:r>
          </w:p>
        </w:tc>
        <w:tc>
          <w:tcPr>
            <w:tcW w:w="4447" w:type="pct"/>
            <w:noWrap/>
          </w:tcPr>
          <w:p w14:paraId="295EBB1B" w14:textId="77777777" w:rsidR="00093540" w:rsidRDefault="00A045BC">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093540" w14:paraId="295EBB1F" w14:textId="77777777">
        <w:trPr>
          <w:trHeight w:val="300"/>
        </w:trPr>
        <w:tc>
          <w:tcPr>
            <w:tcW w:w="553" w:type="pct"/>
            <w:noWrap/>
          </w:tcPr>
          <w:p w14:paraId="295EBB1D" w14:textId="77777777" w:rsidR="00093540" w:rsidRDefault="00A045BC">
            <w:pPr>
              <w:pStyle w:val="Textkrper"/>
              <w:rPr>
                <w:rFonts w:ascii="Calibri" w:hAnsi="Calibri" w:cs="Calibri"/>
              </w:rPr>
            </w:pPr>
            <w:r>
              <w:rPr>
                <w:rFonts w:ascii="Calibri" w:hAnsi="Calibri" w:cs="Calibri"/>
              </w:rPr>
              <w:t>G37-004</w:t>
            </w:r>
          </w:p>
        </w:tc>
        <w:tc>
          <w:tcPr>
            <w:tcW w:w="4447" w:type="pct"/>
            <w:noWrap/>
          </w:tcPr>
          <w:p w14:paraId="295EBB1E" w14:textId="77777777" w:rsidR="00093540" w:rsidRDefault="00A045BC">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093540" w14:paraId="295EBB22" w14:textId="77777777">
        <w:trPr>
          <w:trHeight w:val="300"/>
        </w:trPr>
        <w:tc>
          <w:tcPr>
            <w:tcW w:w="553" w:type="pct"/>
            <w:noWrap/>
          </w:tcPr>
          <w:p w14:paraId="295EBB20" w14:textId="77777777" w:rsidR="00093540" w:rsidRDefault="00A045BC">
            <w:pPr>
              <w:pStyle w:val="Textkrper"/>
              <w:rPr>
                <w:rFonts w:ascii="Calibri" w:hAnsi="Calibri" w:cs="Calibri"/>
              </w:rPr>
            </w:pPr>
            <w:r>
              <w:rPr>
                <w:rFonts w:ascii="Calibri" w:hAnsi="Calibri" w:cs="Calibri"/>
              </w:rPr>
              <w:t>G37-005</w:t>
            </w:r>
          </w:p>
        </w:tc>
        <w:tc>
          <w:tcPr>
            <w:tcW w:w="4447" w:type="pct"/>
            <w:noWrap/>
          </w:tcPr>
          <w:p w14:paraId="295EBB21" w14:textId="77777777" w:rsidR="00093540" w:rsidRDefault="00A045BC">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093540" w14:paraId="295EBB25" w14:textId="77777777">
        <w:trPr>
          <w:trHeight w:val="300"/>
        </w:trPr>
        <w:tc>
          <w:tcPr>
            <w:tcW w:w="553" w:type="pct"/>
            <w:noWrap/>
          </w:tcPr>
          <w:p w14:paraId="295EBB23" w14:textId="77777777" w:rsidR="00093540" w:rsidRDefault="00A045BC">
            <w:pPr>
              <w:pStyle w:val="Textkrper"/>
              <w:rPr>
                <w:rFonts w:ascii="Calibri" w:hAnsi="Calibri" w:cs="Calibri"/>
              </w:rPr>
            </w:pPr>
            <w:r>
              <w:rPr>
                <w:rFonts w:ascii="Calibri" w:hAnsi="Calibri" w:cs="Calibri"/>
              </w:rPr>
              <w:t>G37-006</w:t>
            </w:r>
          </w:p>
        </w:tc>
        <w:tc>
          <w:tcPr>
            <w:tcW w:w="4447" w:type="pct"/>
            <w:noWrap/>
          </w:tcPr>
          <w:p w14:paraId="295EBB24" w14:textId="77777777" w:rsidR="00093540" w:rsidRDefault="00A045BC">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093540" w14:paraId="295EBB28" w14:textId="77777777">
        <w:trPr>
          <w:trHeight w:val="300"/>
        </w:trPr>
        <w:tc>
          <w:tcPr>
            <w:tcW w:w="553" w:type="pct"/>
            <w:noWrap/>
          </w:tcPr>
          <w:p w14:paraId="295EBB26" w14:textId="77777777" w:rsidR="00093540" w:rsidRDefault="00A045BC">
            <w:pPr>
              <w:pStyle w:val="Textkrper"/>
              <w:rPr>
                <w:rFonts w:ascii="Calibri" w:hAnsi="Calibri" w:cs="Calibri"/>
              </w:rPr>
            </w:pPr>
            <w:r>
              <w:rPr>
                <w:rFonts w:ascii="Calibri" w:hAnsi="Calibri" w:cs="Calibri"/>
              </w:rPr>
              <w:t>G37-007</w:t>
            </w:r>
          </w:p>
        </w:tc>
        <w:tc>
          <w:tcPr>
            <w:tcW w:w="4447" w:type="pct"/>
            <w:noWrap/>
          </w:tcPr>
          <w:p w14:paraId="295EBB27" w14:textId="77777777" w:rsidR="00093540" w:rsidRDefault="00A045BC">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093540" w14:paraId="295EBB2B" w14:textId="77777777">
        <w:trPr>
          <w:trHeight w:val="300"/>
        </w:trPr>
        <w:tc>
          <w:tcPr>
            <w:tcW w:w="553" w:type="pct"/>
            <w:noWrap/>
          </w:tcPr>
          <w:p w14:paraId="295EBB29" w14:textId="77777777" w:rsidR="00093540" w:rsidRDefault="00A045BC">
            <w:pPr>
              <w:pStyle w:val="Textkrper"/>
              <w:rPr>
                <w:rFonts w:ascii="Calibri" w:hAnsi="Calibri" w:cs="Calibri"/>
              </w:rPr>
            </w:pPr>
            <w:r>
              <w:rPr>
                <w:rFonts w:ascii="Calibri" w:hAnsi="Calibri" w:cs="Calibri"/>
              </w:rPr>
              <w:t>G37-008</w:t>
            </w:r>
          </w:p>
        </w:tc>
        <w:tc>
          <w:tcPr>
            <w:tcW w:w="4447" w:type="pct"/>
            <w:noWrap/>
          </w:tcPr>
          <w:p w14:paraId="295EBB2A" w14:textId="77777777" w:rsidR="00093540" w:rsidRDefault="00A045BC">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093540" w14:paraId="295EBB2E" w14:textId="77777777">
        <w:trPr>
          <w:trHeight w:val="300"/>
        </w:trPr>
        <w:tc>
          <w:tcPr>
            <w:tcW w:w="553" w:type="pct"/>
            <w:noWrap/>
          </w:tcPr>
          <w:p w14:paraId="295EBB2C" w14:textId="77777777" w:rsidR="00093540" w:rsidRDefault="00A045BC">
            <w:pPr>
              <w:pStyle w:val="Textkrper"/>
              <w:rPr>
                <w:rFonts w:ascii="Calibri" w:hAnsi="Calibri" w:cs="Calibri"/>
              </w:rPr>
            </w:pPr>
            <w:r>
              <w:rPr>
                <w:rFonts w:ascii="Calibri" w:hAnsi="Calibri" w:cs="Calibri"/>
              </w:rPr>
              <w:t>G37-009</w:t>
            </w:r>
          </w:p>
        </w:tc>
        <w:tc>
          <w:tcPr>
            <w:tcW w:w="4447" w:type="pct"/>
            <w:noWrap/>
          </w:tcPr>
          <w:p w14:paraId="295EBB2D" w14:textId="77777777" w:rsidR="00093540" w:rsidRDefault="00A045BC">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093540" w14:paraId="295EBB31" w14:textId="77777777">
        <w:trPr>
          <w:trHeight w:val="300"/>
        </w:trPr>
        <w:tc>
          <w:tcPr>
            <w:tcW w:w="553" w:type="pct"/>
            <w:noWrap/>
          </w:tcPr>
          <w:p w14:paraId="295EBB2F" w14:textId="77777777" w:rsidR="00093540" w:rsidRDefault="00A045BC">
            <w:pPr>
              <w:pStyle w:val="Textkrper"/>
              <w:rPr>
                <w:rFonts w:ascii="Calibri" w:hAnsi="Calibri" w:cs="Calibri"/>
              </w:rPr>
            </w:pPr>
            <w:r>
              <w:rPr>
                <w:rFonts w:ascii="Calibri" w:hAnsi="Calibri" w:cs="Calibri"/>
              </w:rPr>
              <w:t>G37-010</w:t>
            </w:r>
          </w:p>
        </w:tc>
        <w:tc>
          <w:tcPr>
            <w:tcW w:w="4447" w:type="pct"/>
            <w:noWrap/>
          </w:tcPr>
          <w:p w14:paraId="295EBB30" w14:textId="77777777" w:rsidR="00093540" w:rsidRDefault="00A045BC">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093540" w14:paraId="295EBB34" w14:textId="77777777">
        <w:trPr>
          <w:trHeight w:val="300"/>
        </w:trPr>
        <w:tc>
          <w:tcPr>
            <w:tcW w:w="553" w:type="pct"/>
            <w:noWrap/>
          </w:tcPr>
          <w:p w14:paraId="295EBB32" w14:textId="77777777" w:rsidR="00093540" w:rsidRDefault="00A045BC">
            <w:pPr>
              <w:pStyle w:val="Textkrper"/>
              <w:rPr>
                <w:rFonts w:ascii="Calibri" w:hAnsi="Calibri" w:cs="Calibri"/>
              </w:rPr>
            </w:pPr>
            <w:r>
              <w:rPr>
                <w:rFonts w:ascii="Calibri" w:hAnsi="Calibri" w:cs="Calibri"/>
              </w:rPr>
              <w:t>G37-011</w:t>
            </w:r>
          </w:p>
        </w:tc>
        <w:tc>
          <w:tcPr>
            <w:tcW w:w="4447" w:type="pct"/>
            <w:noWrap/>
          </w:tcPr>
          <w:p w14:paraId="295EBB33" w14:textId="77777777" w:rsidR="00093540" w:rsidRDefault="00A045BC">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093540" w14:paraId="295EBB37" w14:textId="77777777">
        <w:trPr>
          <w:trHeight w:val="300"/>
        </w:trPr>
        <w:tc>
          <w:tcPr>
            <w:tcW w:w="553" w:type="pct"/>
            <w:noWrap/>
          </w:tcPr>
          <w:p w14:paraId="295EBB35" w14:textId="77777777" w:rsidR="00093540" w:rsidRDefault="00A045BC">
            <w:pPr>
              <w:pStyle w:val="Textkrper"/>
              <w:rPr>
                <w:rFonts w:ascii="Calibri" w:hAnsi="Calibri" w:cs="Calibri"/>
              </w:rPr>
            </w:pPr>
            <w:r>
              <w:rPr>
                <w:rFonts w:ascii="Calibri" w:hAnsi="Calibri" w:cs="Calibri"/>
              </w:rPr>
              <w:t>G37-012</w:t>
            </w:r>
          </w:p>
        </w:tc>
        <w:tc>
          <w:tcPr>
            <w:tcW w:w="4447" w:type="pct"/>
            <w:noWrap/>
          </w:tcPr>
          <w:p w14:paraId="295EBB36" w14:textId="77777777" w:rsidR="00093540" w:rsidRDefault="00A045BC">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093540" w14:paraId="295EBB3A" w14:textId="77777777">
        <w:trPr>
          <w:trHeight w:val="300"/>
        </w:trPr>
        <w:tc>
          <w:tcPr>
            <w:tcW w:w="553" w:type="pct"/>
            <w:noWrap/>
          </w:tcPr>
          <w:p w14:paraId="295EBB38" w14:textId="77777777" w:rsidR="00093540" w:rsidRDefault="00A045BC">
            <w:pPr>
              <w:pStyle w:val="Textkrper"/>
              <w:rPr>
                <w:rFonts w:ascii="Calibri" w:hAnsi="Calibri" w:cs="Calibri"/>
              </w:rPr>
            </w:pPr>
            <w:r>
              <w:rPr>
                <w:rFonts w:ascii="Calibri" w:hAnsi="Calibri" w:cs="Calibri"/>
              </w:rPr>
              <w:t>G37-013</w:t>
            </w:r>
          </w:p>
        </w:tc>
        <w:tc>
          <w:tcPr>
            <w:tcW w:w="4447" w:type="pct"/>
            <w:noWrap/>
          </w:tcPr>
          <w:p w14:paraId="295EBB39" w14:textId="77777777" w:rsidR="00093540" w:rsidRDefault="00A045BC">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093540" w14:paraId="295EBB3D" w14:textId="77777777">
        <w:trPr>
          <w:trHeight w:val="300"/>
        </w:trPr>
        <w:tc>
          <w:tcPr>
            <w:tcW w:w="553" w:type="pct"/>
            <w:noWrap/>
          </w:tcPr>
          <w:p w14:paraId="295EBB3B" w14:textId="77777777" w:rsidR="00093540" w:rsidRDefault="00A045BC">
            <w:pPr>
              <w:pStyle w:val="Textkrper"/>
              <w:rPr>
                <w:rFonts w:ascii="Calibri" w:hAnsi="Calibri" w:cs="Calibri"/>
              </w:rPr>
            </w:pPr>
            <w:r>
              <w:rPr>
                <w:rFonts w:ascii="Calibri" w:hAnsi="Calibri" w:cs="Calibri"/>
              </w:rPr>
              <w:t>G37-014</w:t>
            </w:r>
          </w:p>
        </w:tc>
        <w:tc>
          <w:tcPr>
            <w:tcW w:w="4447" w:type="pct"/>
            <w:noWrap/>
          </w:tcPr>
          <w:p w14:paraId="295EBB3C" w14:textId="77777777" w:rsidR="00093540" w:rsidRDefault="00A045BC">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093540" w14:paraId="295EBB40" w14:textId="77777777">
        <w:trPr>
          <w:trHeight w:val="300"/>
        </w:trPr>
        <w:tc>
          <w:tcPr>
            <w:tcW w:w="553" w:type="pct"/>
            <w:noWrap/>
          </w:tcPr>
          <w:p w14:paraId="295EBB3E" w14:textId="77777777" w:rsidR="00093540" w:rsidRDefault="00A045BC">
            <w:pPr>
              <w:pStyle w:val="Textkrper"/>
              <w:rPr>
                <w:rFonts w:ascii="Calibri" w:hAnsi="Calibri" w:cs="Calibri"/>
              </w:rPr>
            </w:pPr>
            <w:r>
              <w:rPr>
                <w:rFonts w:ascii="Calibri" w:hAnsi="Calibri" w:cs="Calibri"/>
              </w:rPr>
              <w:t>G37-015</w:t>
            </w:r>
          </w:p>
        </w:tc>
        <w:tc>
          <w:tcPr>
            <w:tcW w:w="4447" w:type="pct"/>
            <w:noWrap/>
          </w:tcPr>
          <w:p w14:paraId="295EBB3F" w14:textId="77777777" w:rsidR="00093540" w:rsidRDefault="00A045BC">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093540" w14:paraId="295EBB43" w14:textId="77777777">
        <w:trPr>
          <w:trHeight w:val="300"/>
        </w:trPr>
        <w:tc>
          <w:tcPr>
            <w:tcW w:w="553" w:type="pct"/>
            <w:noWrap/>
          </w:tcPr>
          <w:p w14:paraId="295EBB41" w14:textId="77777777" w:rsidR="00093540" w:rsidRDefault="00A045BC">
            <w:pPr>
              <w:pStyle w:val="Textkrper"/>
              <w:rPr>
                <w:rFonts w:ascii="Calibri" w:hAnsi="Calibri" w:cs="Calibri"/>
              </w:rPr>
            </w:pPr>
            <w:r>
              <w:rPr>
                <w:rFonts w:ascii="Calibri" w:hAnsi="Calibri" w:cs="Calibri"/>
              </w:rPr>
              <w:t>G37-016</w:t>
            </w:r>
          </w:p>
        </w:tc>
        <w:tc>
          <w:tcPr>
            <w:tcW w:w="4447" w:type="pct"/>
            <w:noWrap/>
          </w:tcPr>
          <w:p w14:paraId="295EBB42" w14:textId="77777777" w:rsidR="00093540" w:rsidRDefault="00A045BC">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093540" w14:paraId="295EBB46" w14:textId="77777777">
        <w:trPr>
          <w:trHeight w:val="300"/>
        </w:trPr>
        <w:tc>
          <w:tcPr>
            <w:tcW w:w="553" w:type="pct"/>
            <w:noWrap/>
          </w:tcPr>
          <w:p w14:paraId="295EBB44" w14:textId="77777777" w:rsidR="00093540" w:rsidRDefault="00A045BC">
            <w:pPr>
              <w:pStyle w:val="Textkrper"/>
              <w:rPr>
                <w:rFonts w:ascii="Calibri" w:hAnsi="Calibri" w:cs="Calibri"/>
              </w:rPr>
            </w:pPr>
            <w:r>
              <w:rPr>
                <w:rFonts w:ascii="Calibri" w:hAnsi="Calibri" w:cs="Calibri"/>
              </w:rPr>
              <w:t>G37-017</w:t>
            </w:r>
          </w:p>
        </w:tc>
        <w:tc>
          <w:tcPr>
            <w:tcW w:w="4447" w:type="pct"/>
            <w:noWrap/>
          </w:tcPr>
          <w:p w14:paraId="295EBB45" w14:textId="77777777" w:rsidR="00093540" w:rsidRDefault="00A045BC">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r w:rsidR="00093540" w14:paraId="295EBB49" w14:textId="77777777">
        <w:trPr>
          <w:trHeight w:val="300"/>
        </w:trPr>
        <w:tc>
          <w:tcPr>
            <w:tcW w:w="553" w:type="pct"/>
            <w:noWrap/>
          </w:tcPr>
          <w:p w14:paraId="295EBB47" w14:textId="77777777" w:rsidR="00093540" w:rsidRDefault="00A045BC">
            <w:pPr>
              <w:pStyle w:val="Textkrper"/>
              <w:rPr>
                <w:rFonts w:ascii="Calibri" w:hAnsi="Calibri" w:cs="Calibri"/>
              </w:rPr>
            </w:pPr>
            <w:r>
              <w:rPr>
                <w:rFonts w:ascii="Calibri" w:hAnsi="Calibri" w:cs="Calibri"/>
              </w:rPr>
              <w:t>G37-018</w:t>
            </w:r>
          </w:p>
        </w:tc>
        <w:tc>
          <w:tcPr>
            <w:tcW w:w="4447" w:type="pct"/>
            <w:noWrap/>
          </w:tcPr>
          <w:p w14:paraId="295EBB48" w14:textId="77777777" w:rsidR="00093540" w:rsidRDefault="00A045BC">
            <w:pPr>
              <w:pStyle w:val="Textkrper"/>
              <w:rPr>
                <w:rFonts w:ascii="Calibri" w:hAnsi="Calibri" w:cs="Calibri"/>
              </w:rPr>
            </w:pPr>
            <w:r>
              <w:rPr>
                <w:rFonts w:ascii="Calibri" w:hAnsi="Calibri" w:cs="Calibri"/>
              </w:rPr>
              <w:t>Objectivity - economic operators want an objective evaluation of their bid.</w:t>
            </w:r>
          </w:p>
        </w:tc>
      </w:tr>
      <w:tr w:rsidR="00093540" w14:paraId="295EBB4C" w14:textId="77777777">
        <w:trPr>
          <w:trHeight w:val="300"/>
        </w:trPr>
        <w:tc>
          <w:tcPr>
            <w:tcW w:w="553" w:type="pct"/>
            <w:noWrap/>
          </w:tcPr>
          <w:p w14:paraId="295EBB4A" w14:textId="77777777" w:rsidR="00093540" w:rsidRDefault="00A045BC">
            <w:pPr>
              <w:pStyle w:val="Textkrper"/>
              <w:rPr>
                <w:rFonts w:ascii="Calibri" w:hAnsi="Calibri" w:cs="Calibri"/>
              </w:rPr>
            </w:pPr>
            <w:r>
              <w:rPr>
                <w:rFonts w:ascii="Calibri" w:hAnsi="Calibri" w:cs="Calibri"/>
              </w:rPr>
              <w:t>G37-019</w:t>
            </w:r>
          </w:p>
        </w:tc>
        <w:tc>
          <w:tcPr>
            <w:tcW w:w="4447" w:type="pct"/>
            <w:noWrap/>
          </w:tcPr>
          <w:p w14:paraId="295EBB4B" w14:textId="77777777" w:rsidR="00093540" w:rsidRDefault="00A045BC">
            <w:pPr>
              <w:pStyle w:val="Textkrper"/>
              <w:rPr>
                <w:rFonts w:ascii="Calibri" w:hAnsi="Calibri" w:cs="Calibri"/>
              </w:rPr>
            </w:pPr>
            <w:r>
              <w:rPr>
                <w:rFonts w:ascii="Calibri" w:hAnsi="Calibri" w:cs="Calibri"/>
              </w:rPr>
              <w:t>SME - SME's get better and easier access to business opportunities.</w:t>
            </w:r>
          </w:p>
        </w:tc>
      </w:tr>
      <w:tr w:rsidR="00093540" w14:paraId="295EBB4F" w14:textId="77777777">
        <w:trPr>
          <w:trHeight w:val="300"/>
        </w:trPr>
        <w:tc>
          <w:tcPr>
            <w:tcW w:w="553" w:type="pct"/>
            <w:noWrap/>
          </w:tcPr>
          <w:p w14:paraId="295EBB4D" w14:textId="77777777" w:rsidR="00093540" w:rsidRDefault="00A045BC">
            <w:pPr>
              <w:pStyle w:val="Textkrper"/>
              <w:rPr>
                <w:rFonts w:ascii="Calibri" w:hAnsi="Calibri" w:cs="Calibri"/>
              </w:rPr>
            </w:pPr>
            <w:r>
              <w:rPr>
                <w:rFonts w:ascii="Calibri" w:hAnsi="Calibri" w:cs="Calibri"/>
              </w:rPr>
              <w:t>G37-020</w:t>
            </w:r>
          </w:p>
        </w:tc>
        <w:tc>
          <w:tcPr>
            <w:tcW w:w="4447" w:type="pct"/>
            <w:noWrap/>
          </w:tcPr>
          <w:p w14:paraId="295EBB4E" w14:textId="77777777" w:rsidR="00093540" w:rsidRDefault="00A045BC">
            <w:pPr>
              <w:pStyle w:val="Textkrper"/>
              <w:rPr>
                <w:rFonts w:ascii="Calibri" w:hAnsi="Calibri" w:cs="Calibri"/>
              </w:rPr>
            </w:pPr>
            <w:r>
              <w:rPr>
                <w:rFonts w:ascii="Calibri" w:hAnsi="Calibri" w:cs="Calibri"/>
              </w:rPr>
              <w:t>Monitoring - The contracting body wants to be in control during the tender procedure and wants to analyse the results of tender procedures in the past.</w:t>
            </w:r>
          </w:p>
        </w:tc>
      </w:tr>
      <w:tr w:rsidR="00093540" w14:paraId="295EBB52" w14:textId="77777777">
        <w:trPr>
          <w:trHeight w:val="300"/>
        </w:trPr>
        <w:tc>
          <w:tcPr>
            <w:tcW w:w="553" w:type="pct"/>
            <w:noWrap/>
          </w:tcPr>
          <w:p w14:paraId="295EBB50" w14:textId="77777777" w:rsidR="00093540" w:rsidRDefault="00A045BC">
            <w:pPr>
              <w:pStyle w:val="Textkrper"/>
              <w:rPr>
                <w:rFonts w:ascii="Calibri" w:hAnsi="Calibri" w:cs="Calibri"/>
              </w:rPr>
            </w:pPr>
            <w:r>
              <w:rPr>
                <w:rFonts w:ascii="Calibri" w:hAnsi="Calibri" w:cs="Calibri"/>
              </w:rPr>
              <w:t>G37-021</w:t>
            </w:r>
          </w:p>
        </w:tc>
        <w:tc>
          <w:tcPr>
            <w:tcW w:w="4447" w:type="pct"/>
            <w:noWrap/>
          </w:tcPr>
          <w:p w14:paraId="295EBB51" w14:textId="77777777" w:rsidR="00093540" w:rsidRDefault="00A045BC">
            <w:pPr>
              <w:pStyle w:val="Textkrper"/>
              <w:rPr>
                <w:rFonts w:ascii="Calibri" w:hAnsi="Calibri" w:cs="Calibri"/>
              </w:rPr>
            </w:pPr>
            <w:r>
              <w:rPr>
                <w:rFonts w:ascii="Calibri" w:hAnsi="Calibri" w:cs="Calibri"/>
              </w:rPr>
              <w:t>Non-repudiation of submission - the economic operator must not be able to repudiate submitted and verified tender documents.</w:t>
            </w:r>
          </w:p>
        </w:tc>
      </w:tr>
      <w:tr w:rsidR="00093540" w14:paraId="295EBB55" w14:textId="77777777">
        <w:trPr>
          <w:trHeight w:val="300"/>
        </w:trPr>
        <w:tc>
          <w:tcPr>
            <w:tcW w:w="553" w:type="pct"/>
            <w:noWrap/>
          </w:tcPr>
          <w:p w14:paraId="295EBB53" w14:textId="77777777" w:rsidR="00093540" w:rsidRDefault="00A045BC">
            <w:pPr>
              <w:pStyle w:val="Textkrper"/>
              <w:rPr>
                <w:rFonts w:ascii="Calibri" w:hAnsi="Calibri" w:cs="Calibri"/>
              </w:rPr>
            </w:pPr>
            <w:r>
              <w:rPr>
                <w:rFonts w:ascii="Calibri" w:hAnsi="Calibri" w:cs="Calibri"/>
              </w:rPr>
              <w:t>G37-022</w:t>
            </w:r>
          </w:p>
        </w:tc>
        <w:tc>
          <w:tcPr>
            <w:tcW w:w="4447" w:type="pct"/>
            <w:noWrap/>
          </w:tcPr>
          <w:p w14:paraId="295EBB54" w14:textId="77777777" w:rsidR="00093540" w:rsidRDefault="00A045BC">
            <w:pPr>
              <w:pStyle w:val="Textkrper"/>
              <w:rPr>
                <w:rFonts w:ascii="Calibri" w:hAnsi="Calibri" w:cs="Calibri"/>
              </w:rPr>
            </w:pPr>
            <w:r>
              <w:rPr>
                <w:rFonts w:ascii="Calibri" w:hAnsi="Calibri" w:cs="Calibri"/>
              </w:rPr>
              <w:t>Non-repudiation of receiving - The contracting body must provide evidence of reception for the tender submission</w:t>
            </w:r>
          </w:p>
        </w:tc>
      </w:tr>
      <w:tr w:rsidR="00093540" w14:paraId="295EBB58" w14:textId="77777777">
        <w:trPr>
          <w:trHeight w:val="300"/>
        </w:trPr>
        <w:tc>
          <w:tcPr>
            <w:tcW w:w="553" w:type="pct"/>
            <w:noWrap/>
          </w:tcPr>
          <w:p w14:paraId="295EBB56" w14:textId="77777777" w:rsidR="00093540" w:rsidRDefault="00A045BC">
            <w:pPr>
              <w:pStyle w:val="Textkrper"/>
              <w:rPr>
                <w:rFonts w:ascii="Calibri" w:hAnsi="Calibri" w:cs="Calibri"/>
              </w:rPr>
            </w:pPr>
            <w:r>
              <w:rPr>
                <w:rFonts w:ascii="Calibri" w:hAnsi="Calibri" w:cs="Calibri"/>
              </w:rPr>
              <w:t>G37-023</w:t>
            </w:r>
          </w:p>
        </w:tc>
        <w:tc>
          <w:tcPr>
            <w:tcW w:w="4447" w:type="pct"/>
            <w:noWrap/>
          </w:tcPr>
          <w:p w14:paraId="295EBB57" w14:textId="77777777" w:rsidR="00093540" w:rsidRDefault="00A045BC">
            <w:pPr>
              <w:pStyle w:val="Textkrper"/>
              <w:rPr>
                <w:rFonts w:ascii="Calibri" w:hAnsi="Calibri" w:cs="Calibri"/>
              </w:rPr>
            </w:pPr>
            <w:r>
              <w:rPr>
                <w:rFonts w:ascii="Calibri" w:hAnsi="Calibri" w:cs="Calibri"/>
              </w:rPr>
              <w:t>Detect infringement of access prohibition - Where access prohibition to the system is infringed, it may be reasonably ensured that the infringement is clearly detectable.</w:t>
            </w:r>
          </w:p>
        </w:tc>
      </w:tr>
      <w:tr w:rsidR="00093540" w14:paraId="295EBB5B" w14:textId="77777777">
        <w:trPr>
          <w:trHeight w:val="300"/>
        </w:trPr>
        <w:tc>
          <w:tcPr>
            <w:tcW w:w="553" w:type="pct"/>
            <w:noWrap/>
          </w:tcPr>
          <w:p w14:paraId="295EBB59" w14:textId="77777777" w:rsidR="00093540" w:rsidRDefault="00A045BC">
            <w:pPr>
              <w:pStyle w:val="Textkrper"/>
              <w:rPr>
                <w:rFonts w:ascii="Calibri" w:hAnsi="Calibri" w:cs="Calibri"/>
              </w:rPr>
            </w:pPr>
            <w:r>
              <w:rPr>
                <w:rFonts w:ascii="Calibri" w:hAnsi="Calibri" w:cs="Calibri"/>
              </w:rPr>
              <w:t>G37-024</w:t>
            </w:r>
          </w:p>
        </w:tc>
        <w:tc>
          <w:tcPr>
            <w:tcW w:w="4447" w:type="pct"/>
            <w:noWrap/>
          </w:tcPr>
          <w:p w14:paraId="295EBB5A" w14:textId="77777777" w:rsidR="00093540" w:rsidRDefault="00A045BC">
            <w:pPr>
              <w:pStyle w:val="Textkrper"/>
              <w:rPr>
                <w:rFonts w:ascii="Calibri" w:hAnsi="Calibri" w:cs="Calibri"/>
              </w:rPr>
            </w:pPr>
            <w:r>
              <w:rPr>
                <w:rFonts w:ascii="Calibri" w:hAnsi="Calibri" w:cs="Calibri"/>
              </w:rPr>
              <w:t>Secure access to logs - Where access prohibition to the system is infringed, it may be reasonably ensured that the infringement is clearly detectable.</w:t>
            </w:r>
          </w:p>
        </w:tc>
      </w:tr>
    </w:tbl>
    <w:p w14:paraId="295EBB5D" w14:textId="77777777" w:rsidR="00093540" w:rsidRDefault="00A045BC">
      <w:pPr>
        <w:pStyle w:val="berschrift1"/>
        <w:rPr>
          <w:lang w:val="en-GB"/>
        </w:rPr>
      </w:pPr>
      <w:bookmarkStart w:id="43" w:name="_Toc128564128"/>
      <w:r>
        <w:rPr>
          <w:lang w:val="en-GB"/>
        </w:rPr>
        <w:lastRenderedPageBreak/>
        <w:t>Business Environment</w:t>
      </w:r>
      <w:bookmarkEnd w:id="43"/>
      <w:r>
        <w:rPr>
          <w:lang w:val="en-GB"/>
        </w:rPr>
        <w:t xml:space="preserve"> </w:t>
      </w:r>
    </w:p>
    <w:p w14:paraId="295EBB5E" w14:textId="77777777" w:rsidR="00093540" w:rsidRDefault="00A045BC">
      <w:pPr>
        <w:rPr>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70" w:tooltip="https://eur-lex.europa.eu/legal-content/DE/TXT/?uri=CELEX%3A32014L0024" w:history="1">
        <w:r>
          <w:rPr>
            <w:rStyle w:val="Hyperlink"/>
            <w:lang w:val="en-GB"/>
          </w:rPr>
          <w:t>2014/24/EU</w:t>
        </w:r>
      </w:hyperlink>
      <w:r>
        <w:rPr>
          <w:lang w:val="en-GB"/>
        </w:rPr>
        <w:t xml:space="preserve"> and </w:t>
      </w:r>
      <w:hyperlink r:id="rId71" w:tooltip="https://eur-lex.europa.eu/legal-content/DE/TXT/?uri=CELEX%3A32014L0025" w:history="1">
        <w:r>
          <w:rPr>
            <w:rStyle w:val="Hyperlink"/>
            <w:lang w:val="en-GB"/>
          </w:rPr>
          <w:t>2014/25/EU</w:t>
        </w:r>
      </w:hyperlink>
      <w:r>
        <w:rPr>
          <w:lang w:val="en-GB"/>
        </w:rPr>
        <w:t xml:space="preserve">. Additionally, supplementary regulations such as Commission Implementing Regulation (EU) 2019/1780 </w:t>
      </w:r>
      <w:r>
        <w:t>establishing standard forms for the publication of notices</w:t>
      </w:r>
      <w:r>
        <w:rPr>
          <w:lang w:val="en-GB"/>
        </w:rPr>
        <w:t xml:space="preserve"> [</w:t>
      </w:r>
      <w:hyperlink r:id="rId72"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3"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77777777" w:rsidR="00093540" w:rsidRDefault="00A045BC">
      <w:pPr>
        <w:rPr>
          <w:lang w:val="en-GB"/>
        </w:rPr>
      </w:pPr>
      <w:r>
        <w:rPr>
          <w:lang w:val="en-GB"/>
        </w:rPr>
        <w:t>The descriptions in this section describe the business environment of an open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4"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28564129"/>
      <w:r>
        <w:rPr>
          <w:lang w:val="en-GB"/>
        </w:rPr>
        <w:t>Notification procedures in scope of this guideline</w:t>
      </w:r>
      <w:bookmarkEnd w:id="44"/>
    </w:p>
    <w:p w14:paraId="295EBB65" w14:textId="77777777" w:rsidR="00093540" w:rsidRDefault="00A045BC">
      <w:pPr>
        <w:rPr>
          <w:lang w:val="en-GB"/>
        </w:rPr>
      </w:pPr>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r>
        <w:rPr>
          <w:lang w:val="en-GB"/>
        </w:rPr>
        <w:t>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The content model of procurement notices in Europe is based on Regulation (EU) 2019/1780 [eForms] and upon Directive 2014/24/EU and Directive 2014/25/EU 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r>
        <w:rPr>
          <w:lang w:val="en-GB"/>
        </w:rPr>
        <w:t xml:space="preserve">eNotification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Peppol, these profiles are covered by the Peppol BIS P008 - "Publish Notice" which provides electronic messaging support to publish a prior information notice, a contract notice or </w:t>
      </w:r>
      <w:r>
        <w:rPr>
          <w:lang w:val="en-GB"/>
        </w:rPr>
        <w:lastRenderedPageBreak/>
        <w:t>a contract award notice. Thus, Peppol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Peppol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eTendering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 </w:t>
      </w:r>
    </w:p>
    <w:p w14:paraId="295EBB70" w14:textId="77777777" w:rsidR="00093540" w:rsidRDefault="00093540">
      <w:pPr>
        <w:rPr>
          <w:lang w:val="en-GB"/>
        </w:rPr>
      </w:pPr>
    </w:p>
    <w:p w14:paraId="295EBB71" w14:textId="77777777" w:rsidR="00093540" w:rsidRDefault="00A045BC">
      <w:pPr>
        <w:rPr>
          <w:lang w:val="en-GB"/>
        </w:rPr>
      </w:pPr>
      <w:r>
        <w:rPr>
          <w:lang w:val="en-GB"/>
        </w:rPr>
        <w:t xml:space="preserve">In order to execute the Peppol BIS P008 - "Publish Notice" and Peppol BIS P006 - "Search Notice", it is necessary that the parties have Peppol eDelivery in place to enable them to send and receive the transactions in a secure way. Implementers must also support eForms content model because the transactions are based on the EU-wide eForms standard. </w:t>
      </w:r>
    </w:p>
    <w:p w14:paraId="295EBB72" w14:textId="77777777" w:rsidR="00093540" w:rsidRDefault="00093540">
      <w:pPr>
        <w:rPr>
          <w:lang w:val="en-GB"/>
        </w:rPr>
      </w:pPr>
    </w:p>
    <w:p w14:paraId="295EBB73" w14:textId="77777777" w:rsidR="00093540" w:rsidRDefault="00A045BC">
      <w:pPr>
        <w:pStyle w:val="berschrift2"/>
        <w:rPr>
          <w:lang w:val="en-GB"/>
        </w:rPr>
      </w:pPr>
      <w:bookmarkStart w:id="45" w:name="_Toc128564130"/>
      <w:r>
        <w:rPr>
          <w:lang w:val="en-GB"/>
        </w:rPr>
        <w:t>Tendering procedures in scope of this guideline</w:t>
      </w:r>
      <w:bookmarkEnd w:id="45"/>
    </w:p>
    <w:p w14:paraId="295EBB74" w14:textId="77777777" w:rsidR="00093540" w:rsidRDefault="00A045BC">
      <w:pPr>
        <w:rPr>
          <w:lang w:val="en-GB"/>
        </w:rPr>
      </w:pPr>
      <w:r>
        <w:rPr>
          <w:lang w:val="en-GB"/>
        </w:rPr>
        <w:t xml:space="preserve">For the purpose of initiating electronic tendering via Peppol,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r>
        <w:rPr>
          <w:lang w:val="en-GB"/>
        </w:rPr>
        <w:t>eTendering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Peppol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Once the interested economic operator has subscribed to an open procedure, the contracting authority provides the procurement documents by using Peppol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w:t>
      </w:r>
      <w:r>
        <w:rPr>
          <w:lang w:val="en-GB"/>
        </w:rPr>
        <w:lastRenderedPageBreak/>
        <w:t xml:space="preserve">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t xml:space="preserve">Within the call for tenders, contracting authorities must inform economic operators how to qualify for the procedure. This may be done by an European Single Procurement Document (ESPD) defined by the </w:t>
      </w:r>
      <w:bookmarkStart w:id="46" w:name="_Hlk92296238"/>
      <w:r>
        <w:rPr>
          <w:lang w:val="en-GB"/>
        </w:rPr>
        <w:t>Commission Implementing Regulation (EU) 2016/7 [</w:t>
      </w:r>
      <w:hyperlink r:id="rId75" w:tooltip="https://eur-lex.europa.eu/eli/reg_impl/2016/7/oj" w:history="1">
        <w:r>
          <w:rPr>
            <w:rStyle w:val="Hyperlink"/>
            <w:lang w:val="en-GB"/>
          </w:rPr>
          <w:t>ESPD</w:t>
        </w:r>
      </w:hyperlink>
      <w:r>
        <w:rPr>
          <w:lang w:val="en-GB"/>
        </w:rPr>
        <w:t>]</w:t>
      </w:r>
      <w:bookmarkEnd w:id="46"/>
      <w:r>
        <w:rPr>
          <w:lang w:val="en-GB"/>
        </w:rPr>
        <w:t xml:space="preserve"> for which Peppol develops the BIS ESPD 3.0 based on the ESPD Exchange Data Model version 3.0 [</w:t>
      </w:r>
      <w:hyperlink r:id="rId76" w:tooltip="https://github.com/OP-TED/ESPD-EDM" w:history="1">
        <w:r>
          <w:rPr>
            <w:rStyle w:val="Hyperlink"/>
            <w:lang w:val="en-GB"/>
          </w:rPr>
          <w:t>ESPD EDM</w:t>
        </w:r>
      </w:hyperlink>
      <w:r>
        <w:rPr>
          <w:lang w:val="en-GB"/>
        </w:rPr>
        <w:t>].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 pre-award catalogue can be used for this purpose and was defined according to the CEN WS/BII 3 Profile “BII35 Advanced Tendering”</w:t>
      </w:r>
      <w:r>
        <w:t xml:space="preserve"> </w:t>
      </w:r>
      <w:r>
        <w:rPr>
          <w:lang w:val="en-GB"/>
        </w:rPr>
        <w:t>[</w:t>
      </w:r>
      <w:hyperlink r:id="rId77"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Peppol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Peppol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Peppol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On the opening date, the contracting authority gathers and opens all received tenders. The opening board members can now evaluate the received tenders. If questions about specific offers arise during the course of the evaluation, they can be answered through the Peppol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At the end of the evaluation process, the contracting authority needs to inform the participating economic operators upon the results of the tender evaluation. For this purpose, contracting authorities can use the Peppol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The notification of the awarding decision imitated by BIS P009 shall also start the standstill period clock. After the stand still period, the contracting authority can finalize the contract with the winning supplier and also send a contract award notice using BIS Peppol BIS P008 - "Publish Notice".</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47" w:name="_Toc128564131"/>
      <w:r>
        <w:rPr>
          <w:lang w:val="en-GB"/>
        </w:rPr>
        <w:t>Process control</w:t>
      </w:r>
      <w:r w:rsidR="0030712E">
        <w:rPr>
          <w:lang w:val="en-GB"/>
        </w:rPr>
        <w:t xml:space="preserve"> mechanisms in scope of this guideline</w:t>
      </w:r>
      <w:bookmarkEnd w:id="47"/>
      <w:r w:rsidR="00073248">
        <w:rPr>
          <w:lang w:val="en-GB"/>
        </w:rPr>
        <w:t xml:space="preserve"> </w:t>
      </w:r>
    </w:p>
    <w:p w14:paraId="5D6ECE7E" w14:textId="6B3101DA"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w:t>
      </w:r>
      <w:r w:rsidRPr="00683ADD">
        <w:rPr>
          <w:lang w:val="en-GB"/>
        </w:rPr>
        <w:lastRenderedPageBreak/>
        <w:t>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208F8AE">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3D768066" w:rsidR="002A522E" w:rsidRDefault="002A522E" w:rsidP="002A522E">
      <w:pPr>
        <w:pStyle w:val="Beschriftung"/>
        <w:jc w:val="center"/>
        <w:rPr>
          <w:lang w:val="en-GB"/>
        </w:rPr>
      </w:pPr>
      <w:bookmarkStart w:id="48" w:name="_Toc128564113"/>
      <w:r>
        <w:t xml:space="preserve">Figure </w:t>
      </w:r>
      <w:r>
        <w:fldChar w:fldCharType="begin"/>
      </w:r>
      <w:r>
        <w:instrText xml:space="preserve"> SEQ Figure \* ARABIC </w:instrText>
      </w:r>
      <w:r>
        <w:fldChar w:fldCharType="separate"/>
      </w:r>
      <w:r w:rsidR="00771192">
        <w:rPr>
          <w:noProof/>
        </w:rPr>
        <w:t>1</w:t>
      </w:r>
      <w:r>
        <w:fldChar w:fldCharType="end"/>
      </w:r>
      <w:r>
        <w:t xml:space="preserve">: </w:t>
      </w:r>
      <w:r w:rsidRPr="0063084C">
        <w:t>Flow of different response messages</w:t>
      </w:r>
      <w:bookmarkEnd w:id="48"/>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28564132"/>
      <w:r>
        <w:lastRenderedPageBreak/>
        <w:t>Business Requirements</w:t>
      </w:r>
      <w:bookmarkEnd w:id="49"/>
      <w:bookmarkEnd w:id="50"/>
      <w:bookmarkEnd w:id="51"/>
      <w:bookmarkEnd w:id="52"/>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53" w:name="_Toc423863145"/>
      <w:bookmarkStart w:id="54" w:name="_Toc128564133"/>
      <w:r>
        <w:t>High level business requirements</w:t>
      </w:r>
      <w:bookmarkEnd w:id="53"/>
      <w:bookmarkEnd w:id="54"/>
    </w:p>
    <w:p w14:paraId="295EBB88" w14:textId="0BE610A4" w:rsidR="00093540" w:rsidRDefault="00A045BC">
      <w:pPr>
        <w:pStyle w:val="Beschriftung"/>
        <w:keepNext/>
        <w:jc w:val="center"/>
      </w:pPr>
      <w:bookmarkStart w:id="55"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77777777" w:rsidR="00093540" w:rsidRDefault="00A045BC">
            <w:pPr>
              <w:pStyle w:val="Textkrper"/>
              <w:rPr>
                <w:rFonts w:ascii="Calibri" w:hAnsi="Calibri" w:cs="Calibri"/>
              </w:rPr>
            </w:pPr>
            <w:r>
              <w:rPr>
                <w:rFonts w:ascii="Calibri" w:hAnsi="Calibri" w:cs="Calibri"/>
              </w:rPr>
              <w:t>All transactions in the procurement procedure, such as subscribe to procedure or status inquiry, and documents, such as call for tenders or catalogues, shall be based on common standards.</w:t>
            </w:r>
          </w:p>
        </w:tc>
        <w:tc>
          <w:tcPr>
            <w:tcW w:w="1780" w:type="dxa"/>
          </w:tcPr>
          <w:p w14:paraId="295EBB8F" w14:textId="77777777" w:rsidR="00093540" w:rsidRDefault="00A045BC">
            <w:pPr>
              <w:pStyle w:val="Textkrper"/>
              <w:rPr>
                <w:rFonts w:ascii="Calibri" w:hAnsi="Calibri" w:cs="Calibri"/>
              </w:rPr>
            </w:pPr>
            <w:r>
              <w:rPr>
                <w:rFonts w:ascii="Calibri" w:hAnsi="Calibri" w:cs="Calibri"/>
              </w:rPr>
              <w:t>G37-002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77777777" w:rsidR="00093540" w:rsidRDefault="00A045BC">
            <w:pPr>
              <w:pStyle w:val="Textkrper"/>
              <w:rPr>
                <w:rFonts w:ascii="Calibri" w:hAnsi="Calibri" w:cs="Calibri"/>
              </w:rPr>
            </w:pPr>
            <w:r>
              <w:rPr>
                <w:rFonts w:ascii="Calibri" w:hAnsi="Calibri" w:cs="Calibri"/>
              </w:rPr>
              <w:t>Being interoperable means business partners shall implement the same profiles and transactions. Ideally, business partners should implement the entire set of transactions required for an open procedure. However, contracting bodies and economic operators may wish to state conformance to some individual transactions (or small groups of transactions), instead of to the entire notification and open procedure process.</w:t>
            </w:r>
          </w:p>
        </w:tc>
        <w:tc>
          <w:tcPr>
            <w:tcW w:w="1780" w:type="dxa"/>
          </w:tcPr>
          <w:p w14:paraId="295EBB93" w14:textId="77777777" w:rsidR="00093540" w:rsidRDefault="00A045BC">
            <w:pPr>
              <w:pStyle w:val="Textkrper"/>
              <w:rPr>
                <w:rFonts w:ascii="Calibri" w:hAnsi="Calibri" w:cs="Calibri"/>
              </w:rPr>
            </w:pPr>
            <w:r>
              <w:rPr>
                <w:rFonts w:ascii="Calibri" w:hAnsi="Calibri" w:cs="Calibri"/>
              </w:rPr>
              <w:t>G37-003</w:t>
            </w:r>
          </w:p>
        </w:tc>
      </w:tr>
      <w:tr w:rsidR="00093540" w14:paraId="295EBB98" w14:textId="77777777">
        <w:trPr>
          <w:trHeight w:val="600"/>
        </w:trPr>
        <w:tc>
          <w:tcPr>
            <w:tcW w:w="1242" w:type="dxa"/>
            <w:noWrap/>
          </w:tcPr>
          <w:p w14:paraId="295EBB95"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6" w14:textId="77777777" w:rsidR="00093540" w:rsidRDefault="00A045BC">
            <w:pPr>
              <w:pStyle w:val="Textkrper"/>
              <w:rPr>
                <w:rFonts w:ascii="Calibri" w:hAnsi="Calibri" w:cs="Calibri"/>
              </w:rPr>
            </w:pPr>
            <w:r>
              <w:rPr>
                <w:rFonts w:ascii="Calibri" w:hAnsi="Calibri" w:cs="Calibri"/>
              </w:rPr>
              <w:t xml:space="preserve">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compliance of their system to the entire process by expressing conformance with each profile described in this guideline. </w:t>
            </w:r>
          </w:p>
        </w:tc>
        <w:tc>
          <w:tcPr>
            <w:tcW w:w="1780" w:type="dxa"/>
          </w:tcPr>
          <w:p w14:paraId="295EBB97" w14:textId="77777777" w:rsidR="00093540" w:rsidRDefault="00A045BC">
            <w:pPr>
              <w:pStyle w:val="Textkrper"/>
              <w:rPr>
                <w:rFonts w:ascii="Calibri" w:hAnsi="Calibri" w:cs="Calibri"/>
              </w:rPr>
            </w:pPr>
            <w:r>
              <w:rPr>
                <w:rFonts w:ascii="Calibri" w:hAnsi="Calibri" w:cs="Calibri"/>
              </w:rPr>
              <w:t>G37-002</w:t>
            </w:r>
          </w:p>
        </w:tc>
      </w:tr>
      <w:tr w:rsidR="00093540" w14:paraId="295EBB9C" w14:textId="77777777">
        <w:trPr>
          <w:trHeight w:val="600"/>
        </w:trPr>
        <w:tc>
          <w:tcPr>
            <w:tcW w:w="1242" w:type="dxa"/>
            <w:noWrap/>
          </w:tcPr>
          <w:p w14:paraId="295EBB99" w14:textId="77777777" w:rsidR="00093540" w:rsidRDefault="00A045BC">
            <w:pPr>
              <w:pStyle w:val="Textkrper"/>
              <w:rPr>
                <w:rFonts w:ascii="Calibri" w:hAnsi="Calibri" w:cs="Calibri"/>
              </w:rPr>
            </w:pPr>
            <w:r>
              <w:rPr>
                <w:rFonts w:ascii="Calibri" w:hAnsi="Calibri" w:cs="Calibri"/>
              </w:rPr>
              <w:t>BR-003</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77777777" w:rsidR="00093540" w:rsidRDefault="00A045BC">
            <w:pPr>
              <w:pStyle w:val="Textkrper"/>
              <w:rPr>
                <w:rFonts w:ascii="Calibri" w:hAnsi="Calibri" w:cs="Calibri"/>
              </w:rPr>
            </w:pPr>
            <w:r>
              <w:rPr>
                <w:rFonts w:ascii="Calibri" w:hAnsi="Calibri" w:cs="Calibri"/>
              </w:rPr>
              <w:t>G37-016</w:t>
            </w:r>
          </w:p>
        </w:tc>
      </w:tr>
      <w:tr w:rsidR="00093540" w14:paraId="295EBBA0" w14:textId="77777777">
        <w:trPr>
          <w:trHeight w:val="600"/>
        </w:trPr>
        <w:tc>
          <w:tcPr>
            <w:tcW w:w="1242" w:type="dxa"/>
            <w:noWrap/>
          </w:tcPr>
          <w:p w14:paraId="295EBB9D" w14:textId="77777777" w:rsidR="00093540" w:rsidRDefault="00A045BC">
            <w:pPr>
              <w:pStyle w:val="Textkrper"/>
              <w:rPr>
                <w:rFonts w:ascii="Calibri" w:hAnsi="Calibri" w:cs="Calibri"/>
              </w:rPr>
            </w:pPr>
            <w:r>
              <w:rPr>
                <w:rFonts w:ascii="Calibri" w:hAnsi="Calibri" w:cs="Calibri"/>
              </w:rPr>
              <w:t>BR-004</w:t>
            </w:r>
          </w:p>
        </w:tc>
        <w:tc>
          <w:tcPr>
            <w:tcW w:w="6946" w:type="dxa"/>
          </w:tcPr>
          <w:p w14:paraId="295EBB9E" w14:textId="77777777" w:rsidR="00093540" w:rsidRDefault="00A045BC">
            <w:pPr>
              <w:pStyle w:val="Textkrper"/>
              <w:rPr>
                <w:rFonts w:ascii="Calibri" w:hAnsi="Calibri" w:cs="Calibri"/>
              </w:rPr>
            </w:pPr>
            <w:r>
              <w:rPr>
                <w:rFonts w:ascii="Calibri" w:hAnsi="Calibri" w:cs="Calibri"/>
              </w:rPr>
              <w:t>For contracting bodies and economic operators to be able to process individual transactions, they (or their systems) need to know to what business process the transaction belongs to. The process type and the process instance shall be identified at two levels: the level of the procedure and the level of the profile.</w:t>
            </w:r>
          </w:p>
        </w:tc>
        <w:tc>
          <w:tcPr>
            <w:tcW w:w="1780" w:type="dxa"/>
          </w:tcPr>
          <w:p w14:paraId="295EBB9F" w14:textId="77777777" w:rsidR="00093540" w:rsidRDefault="00A045BC">
            <w:pPr>
              <w:pStyle w:val="Textkrper"/>
              <w:rPr>
                <w:rFonts w:ascii="Calibri" w:hAnsi="Calibri" w:cs="Calibri"/>
              </w:rPr>
            </w:pPr>
            <w:r>
              <w:rPr>
                <w:rFonts w:ascii="Calibri" w:hAnsi="Calibri" w:cs="Calibri"/>
              </w:rPr>
              <w:t>G37-020</w:t>
            </w:r>
          </w:p>
        </w:tc>
      </w:tr>
      <w:tr w:rsidR="00093540" w14:paraId="295EBBA4" w14:textId="77777777">
        <w:trPr>
          <w:trHeight w:val="600"/>
        </w:trPr>
        <w:tc>
          <w:tcPr>
            <w:tcW w:w="1242" w:type="dxa"/>
            <w:noWrap/>
          </w:tcPr>
          <w:p w14:paraId="295EBBA1" w14:textId="77777777" w:rsidR="00093540" w:rsidRDefault="00A045BC">
            <w:pPr>
              <w:pStyle w:val="Textkrper"/>
              <w:rPr>
                <w:rFonts w:ascii="Calibri" w:hAnsi="Calibri" w:cs="Calibri"/>
              </w:rPr>
            </w:pPr>
            <w:r>
              <w:rPr>
                <w:rFonts w:ascii="Calibri" w:hAnsi="Calibri" w:cs="Calibri"/>
              </w:rPr>
              <w:t>BR-005</w:t>
            </w:r>
          </w:p>
        </w:tc>
        <w:tc>
          <w:tcPr>
            <w:tcW w:w="6946" w:type="dxa"/>
          </w:tcPr>
          <w:p w14:paraId="295EBBA2" w14:textId="77777777" w:rsidR="00093540" w:rsidRDefault="00A045BC">
            <w:pPr>
              <w:pStyle w:val="Textkrper"/>
              <w:rPr>
                <w:rFonts w:ascii="Calibri" w:hAnsi="Calibri" w:cs="Calibri"/>
              </w:rPr>
            </w:pPr>
            <w:r>
              <w:rPr>
                <w:rFonts w:ascii="Calibri" w:hAnsi="Calibri" w:cs="Calibri"/>
              </w:rPr>
              <w:t>All economic operators shall be able to query publication portals (where the contract notices are being published) to find interesting business opportunities.</w:t>
            </w:r>
          </w:p>
        </w:tc>
        <w:tc>
          <w:tcPr>
            <w:tcW w:w="1780" w:type="dxa"/>
          </w:tcPr>
          <w:p w14:paraId="295EBBA3" w14:textId="77777777" w:rsidR="00093540" w:rsidRDefault="00A045BC">
            <w:pPr>
              <w:pStyle w:val="Textkrper"/>
              <w:rPr>
                <w:rFonts w:ascii="Calibri" w:hAnsi="Calibri" w:cs="Calibri"/>
              </w:rPr>
            </w:pPr>
            <w:r>
              <w:rPr>
                <w:rFonts w:ascii="Calibri" w:hAnsi="Calibri" w:cs="Calibri"/>
              </w:rPr>
              <w:t>G37-004</w:t>
            </w:r>
          </w:p>
        </w:tc>
      </w:tr>
      <w:tr w:rsidR="00093540" w14:paraId="295EBBA8" w14:textId="77777777">
        <w:trPr>
          <w:trHeight w:val="600"/>
        </w:trPr>
        <w:tc>
          <w:tcPr>
            <w:tcW w:w="1242" w:type="dxa"/>
            <w:noWrap/>
          </w:tcPr>
          <w:p w14:paraId="295EBBA5" w14:textId="77777777" w:rsidR="00093540" w:rsidRDefault="00A045BC">
            <w:pPr>
              <w:pStyle w:val="Textkrper"/>
              <w:rPr>
                <w:rFonts w:ascii="Calibri" w:hAnsi="Calibri" w:cs="Calibri"/>
              </w:rPr>
            </w:pPr>
            <w:r>
              <w:rPr>
                <w:rFonts w:ascii="Calibri" w:hAnsi="Calibri" w:cs="Calibri"/>
              </w:rPr>
              <w:t>BR-006</w:t>
            </w:r>
          </w:p>
        </w:tc>
        <w:tc>
          <w:tcPr>
            <w:tcW w:w="6946" w:type="dxa"/>
          </w:tcPr>
          <w:p w14:paraId="295EBBA6" w14:textId="77777777" w:rsidR="00093540" w:rsidRDefault="00A045BC">
            <w:pPr>
              <w:pStyle w:val="Textkrper"/>
              <w:rPr>
                <w:rFonts w:ascii="Calibri" w:hAnsi="Calibri" w:cs="Calibri"/>
              </w:rPr>
            </w:pPr>
            <w:r>
              <w:rPr>
                <w:rFonts w:ascii="Calibri" w:hAnsi="Calibri" w:cs="Calibri"/>
              </w:rPr>
              <w:t>All economic operators shall be able to access public tender documents.</w:t>
            </w:r>
          </w:p>
        </w:tc>
        <w:tc>
          <w:tcPr>
            <w:tcW w:w="1780" w:type="dxa"/>
          </w:tcPr>
          <w:p w14:paraId="295EBBA7" w14:textId="77777777" w:rsidR="00093540" w:rsidRDefault="00A045BC">
            <w:pPr>
              <w:pStyle w:val="Textkrper"/>
              <w:rPr>
                <w:rFonts w:ascii="Calibri" w:hAnsi="Calibri" w:cs="Calibri"/>
              </w:rPr>
            </w:pPr>
            <w:r>
              <w:rPr>
                <w:rFonts w:ascii="Calibri" w:hAnsi="Calibri" w:cs="Calibri"/>
              </w:rPr>
              <w:t>G37-010</w:t>
            </w:r>
          </w:p>
        </w:tc>
      </w:tr>
      <w:tr w:rsidR="00093540" w14:paraId="295EBBAC" w14:textId="77777777">
        <w:trPr>
          <w:trHeight w:val="600"/>
        </w:trPr>
        <w:tc>
          <w:tcPr>
            <w:tcW w:w="1242" w:type="dxa"/>
            <w:noWrap/>
          </w:tcPr>
          <w:p w14:paraId="295EBBA9" w14:textId="77777777" w:rsidR="00093540" w:rsidRDefault="00A045BC">
            <w:pPr>
              <w:pStyle w:val="Textkrper"/>
              <w:rPr>
                <w:rFonts w:ascii="Calibri" w:hAnsi="Calibri" w:cs="Calibri"/>
              </w:rPr>
            </w:pPr>
            <w:r>
              <w:rPr>
                <w:rFonts w:ascii="Calibri" w:hAnsi="Calibri" w:cs="Calibri"/>
              </w:rPr>
              <w:t>BR-007</w:t>
            </w:r>
          </w:p>
        </w:tc>
        <w:tc>
          <w:tcPr>
            <w:tcW w:w="6946" w:type="dxa"/>
          </w:tcPr>
          <w:p w14:paraId="295EBBAA" w14:textId="77777777" w:rsidR="00093540" w:rsidRDefault="00A045BC">
            <w:pPr>
              <w:pStyle w:val="Textkrper"/>
              <w:rPr>
                <w:rFonts w:ascii="Calibri" w:hAnsi="Calibri" w:cs="Calibri"/>
              </w:rPr>
            </w:pPr>
            <w:r>
              <w:rPr>
                <w:rFonts w:ascii="Calibri" w:hAnsi="Calibri" w:cs="Calibri"/>
              </w:rPr>
              <w:t>The economic operator shall be able to subscribe to an interesting business opportunity in order to receive the latest information about the call for tender.</w:t>
            </w:r>
          </w:p>
        </w:tc>
        <w:tc>
          <w:tcPr>
            <w:tcW w:w="1780" w:type="dxa"/>
          </w:tcPr>
          <w:p w14:paraId="295EBBAB" w14:textId="77777777" w:rsidR="00093540" w:rsidRDefault="00A045BC">
            <w:pPr>
              <w:pStyle w:val="Textkrper"/>
              <w:rPr>
                <w:rFonts w:ascii="Calibri" w:hAnsi="Calibri" w:cs="Calibri"/>
              </w:rPr>
            </w:pPr>
            <w:r>
              <w:rPr>
                <w:rFonts w:ascii="Calibri" w:hAnsi="Calibri" w:cs="Calibri"/>
              </w:rPr>
              <w:t>G37-004</w:t>
            </w:r>
          </w:p>
        </w:tc>
      </w:tr>
      <w:tr w:rsidR="00093540" w14:paraId="295EBBB0" w14:textId="77777777">
        <w:trPr>
          <w:trHeight w:val="600"/>
        </w:trPr>
        <w:tc>
          <w:tcPr>
            <w:tcW w:w="1242" w:type="dxa"/>
            <w:noWrap/>
          </w:tcPr>
          <w:p w14:paraId="295EBBAD" w14:textId="77777777" w:rsidR="00093540" w:rsidRDefault="00A045BC">
            <w:pPr>
              <w:pStyle w:val="Textkrper"/>
              <w:rPr>
                <w:rFonts w:ascii="Calibri" w:hAnsi="Calibri" w:cs="Calibri"/>
              </w:rPr>
            </w:pPr>
            <w:r>
              <w:rPr>
                <w:rFonts w:ascii="Calibri" w:hAnsi="Calibri" w:cs="Calibri"/>
              </w:rPr>
              <w:t>BR-018</w:t>
            </w:r>
          </w:p>
        </w:tc>
        <w:tc>
          <w:tcPr>
            <w:tcW w:w="6946" w:type="dxa"/>
          </w:tcPr>
          <w:p w14:paraId="295EBBAE" w14:textId="77777777" w:rsidR="00093540" w:rsidRDefault="00A045BC">
            <w:pPr>
              <w:pStyle w:val="Textkrper"/>
              <w:rPr>
                <w:rFonts w:ascii="Calibri" w:hAnsi="Calibri" w:cs="Calibri"/>
              </w:rPr>
            </w:pPr>
            <w:r>
              <w:rPr>
                <w:rFonts w:ascii="Calibri" w:hAnsi="Calibri" w:cs="Calibri"/>
              </w:rPr>
              <w:t>All subscribed economic operators shall be informed when new versions of the tender documents are published.</w:t>
            </w:r>
          </w:p>
        </w:tc>
        <w:tc>
          <w:tcPr>
            <w:tcW w:w="1780" w:type="dxa"/>
          </w:tcPr>
          <w:p w14:paraId="295EBBAF" w14:textId="77777777" w:rsidR="00093540" w:rsidRDefault="00A045BC">
            <w:pPr>
              <w:pStyle w:val="Textkrper"/>
              <w:rPr>
                <w:rFonts w:ascii="Calibri" w:hAnsi="Calibri" w:cs="Calibri"/>
              </w:rPr>
            </w:pPr>
            <w:r>
              <w:rPr>
                <w:rFonts w:ascii="Calibri" w:hAnsi="Calibri" w:cs="Calibri"/>
              </w:rPr>
              <w:t>G37-004</w:t>
            </w:r>
          </w:p>
        </w:tc>
      </w:tr>
      <w:tr w:rsidR="00093540" w14:paraId="295EBBB4" w14:textId="77777777">
        <w:trPr>
          <w:trHeight w:val="600"/>
        </w:trPr>
        <w:tc>
          <w:tcPr>
            <w:tcW w:w="1242" w:type="dxa"/>
            <w:noWrap/>
          </w:tcPr>
          <w:p w14:paraId="295EBBB1" w14:textId="77777777" w:rsidR="00093540" w:rsidRDefault="00A045BC">
            <w:pPr>
              <w:pStyle w:val="Textkrper"/>
              <w:rPr>
                <w:rFonts w:ascii="Calibri" w:hAnsi="Calibri" w:cs="Calibri"/>
              </w:rPr>
            </w:pPr>
            <w:r>
              <w:rPr>
                <w:rFonts w:ascii="Calibri" w:hAnsi="Calibri" w:cs="Calibri"/>
              </w:rPr>
              <w:t>BR-009</w:t>
            </w:r>
          </w:p>
        </w:tc>
        <w:tc>
          <w:tcPr>
            <w:tcW w:w="6946" w:type="dxa"/>
          </w:tcPr>
          <w:p w14:paraId="295EBBB2" w14:textId="77777777" w:rsidR="00093540" w:rsidRDefault="00A045BC">
            <w:pPr>
              <w:pStyle w:val="Textkrper"/>
              <w:rPr>
                <w:rFonts w:ascii="Calibri" w:hAnsi="Calibri" w:cs="Calibri"/>
              </w:rPr>
            </w:pPr>
            <w:r>
              <w:rPr>
                <w:rFonts w:ascii="Calibri" w:hAnsi="Calibri" w:cs="Calibri"/>
              </w:rPr>
              <w:t>All economic operators shall be able to send questions regarding the tender documents to the contracting body.</w:t>
            </w:r>
          </w:p>
        </w:tc>
        <w:tc>
          <w:tcPr>
            <w:tcW w:w="1780" w:type="dxa"/>
          </w:tcPr>
          <w:p w14:paraId="295EBBB3" w14:textId="77777777" w:rsidR="00093540" w:rsidRDefault="00A045BC">
            <w:pPr>
              <w:pStyle w:val="Textkrper"/>
              <w:rPr>
                <w:rFonts w:ascii="Calibri" w:hAnsi="Calibri" w:cs="Calibri"/>
              </w:rPr>
            </w:pPr>
            <w:r>
              <w:rPr>
                <w:rFonts w:ascii="Calibri" w:hAnsi="Calibri" w:cs="Calibri"/>
              </w:rPr>
              <w:t>G37-010</w:t>
            </w:r>
          </w:p>
        </w:tc>
      </w:tr>
      <w:tr w:rsidR="00093540" w14:paraId="295EBBB8" w14:textId="77777777">
        <w:trPr>
          <w:trHeight w:val="600"/>
        </w:trPr>
        <w:tc>
          <w:tcPr>
            <w:tcW w:w="1242" w:type="dxa"/>
            <w:noWrap/>
          </w:tcPr>
          <w:p w14:paraId="295EBBB5" w14:textId="77777777" w:rsidR="00093540" w:rsidRDefault="00A045BC">
            <w:pPr>
              <w:pStyle w:val="Textkrper"/>
              <w:rPr>
                <w:rFonts w:ascii="Calibri" w:hAnsi="Calibri" w:cs="Calibri"/>
              </w:rPr>
            </w:pPr>
            <w:r>
              <w:rPr>
                <w:rFonts w:ascii="Calibri" w:hAnsi="Calibri" w:cs="Calibri"/>
              </w:rPr>
              <w:t>BR-010</w:t>
            </w:r>
          </w:p>
        </w:tc>
        <w:tc>
          <w:tcPr>
            <w:tcW w:w="6946" w:type="dxa"/>
          </w:tcPr>
          <w:p w14:paraId="295EBBB6" w14:textId="77777777" w:rsidR="00093540" w:rsidRDefault="00A045BC">
            <w:pPr>
              <w:pStyle w:val="Textkrper"/>
              <w:rPr>
                <w:rFonts w:ascii="Calibri" w:hAnsi="Calibri" w:cs="Calibri"/>
              </w:rPr>
            </w:pPr>
            <w:r>
              <w:rPr>
                <w:rFonts w:ascii="Calibri" w:hAnsi="Calibri" w:cs="Calibri"/>
              </w:rPr>
              <w:t>The contracting body shall answer the questions from economic operators equal and transparent.</w:t>
            </w:r>
          </w:p>
        </w:tc>
        <w:tc>
          <w:tcPr>
            <w:tcW w:w="1780" w:type="dxa"/>
          </w:tcPr>
          <w:p w14:paraId="295EBBB7" w14:textId="77777777" w:rsidR="00093540" w:rsidRDefault="00A045BC">
            <w:pPr>
              <w:pStyle w:val="Textkrper"/>
              <w:rPr>
                <w:rFonts w:ascii="Calibri" w:hAnsi="Calibri" w:cs="Calibri"/>
              </w:rPr>
            </w:pPr>
            <w:r>
              <w:rPr>
                <w:rFonts w:ascii="Calibri" w:hAnsi="Calibri" w:cs="Calibri"/>
              </w:rPr>
              <w:t>G37-010</w:t>
            </w:r>
          </w:p>
        </w:tc>
      </w:tr>
      <w:tr w:rsidR="00093540" w14:paraId="295EBBBC" w14:textId="77777777">
        <w:trPr>
          <w:trHeight w:val="600"/>
        </w:trPr>
        <w:tc>
          <w:tcPr>
            <w:tcW w:w="1242" w:type="dxa"/>
            <w:noWrap/>
          </w:tcPr>
          <w:p w14:paraId="295EBBB9" w14:textId="77777777" w:rsidR="00093540" w:rsidRDefault="00A045BC">
            <w:pPr>
              <w:pStyle w:val="Textkrper"/>
              <w:rPr>
                <w:rFonts w:ascii="Calibri" w:hAnsi="Calibri" w:cs="Calibri"/>
              </w:rPr>
            </w:pPr>
            <w:r>
              <w:rPr>
                <w:rFonts w:ascii="Calibri" w:hAnsi="Calibri" w:cs="Calibri"/>
              </w:rPr>
              <w:t>BR-011</w:t>
            </w:r>
          </w:p>
        </w:tc>
        <w:tc>
          <w:tcPr>
            <w:tcW w:w="6946" w:type="dxa"/>
          </w:tcPr>
          <w:p w14:paraId="295EBBBA" w14:textId="77777777" w:rsidR="00093540" w:rsidRDefault="00A045BC">
            <w:pPr>
              <w:pStyle w:val="Textkrper"/>
              <w:rPr>
                <w:rFonts w:ascii="Calibri" w:hAnsi="Calibri" w:cs="Calibri"/>
              </w:rPr>
            </w:pPr>
            <w:r>
              <w:rPr>
                <w:rFonts w:ascii="Calibri" w:hAnsi="Calibri" w:cs="Calibri"/>
              </w:rPr>
              <w:t>The contracting body shall be able to send messages to all subscribed economic operators, to a selection of economic operators or to one economic operator.</w:t>
            </w:r>
          </w:p>
        </w:tc>
        <w:tc>
          <w:tcPr>
            <w:tcW w:w="1780" w:type="dxa"/>
          </w:tcPr>
          <w:p w14:paraId="295EBBBB" w14:textId="77777777" w:rsidR="00093540" w:rsidRDefault="00A045BC">
            <w:pPr>
              <w:pStyle w:val="Textkrper"/>
              <w:rPr>
                <w:rFonts w:ascii="Calibri" w:hAnsi="Calibri" w:cs="Calibri"/>
              </w:rPr>
            </w:pPr>
            <w:r>
              <w:rPr>
                <w:rFonts w:ascii="Calibri" w:hAnsi="Calibri" w:cs="Calibri"/>
              </w:rPr>
              <w:t>G37-010</w:t>
            </w:r>
          </w:p>
        </w:tc>
      </w:tr>
      <w:tr w:rsidR="00093540" w14:paraId="295EBBC0" w14:textId="77777777">
        <w:trPr>
          <w:trHeight w:val="600"/>
        </w:trPr>
        <w:tc>
          <w:tcPr>
            <w:tcW w:w="1242" w:type="dxa"/>
            <w:noWrap/>
          </w:tcPr>
          <w:p w14:paraId="295EBBBD" w14:textId="77777777" w:rsidR="00093540" w:rsidRDefault="00A045BC">
            <w:pPr>
              <w:pStyle w:val="Textkrper"/>
              <w:rPr>
                <w:rFonts w:ascii="Calibri" w:hAnsi="Calibri" w:cs="Calibri"/>
              </w:rPr>
            </w:pPr>
            <w:r>
              <w:rPr>
                <w:rFonts w:ascii="Calibri" w:hAnsi="Calibri" w:cs="Calibri"/>
              </w:rPr>
              <w:t>BR-012</w:t>
            </w:r>
          </w:p>
        </w:tc>
        <w:tc>
          <w:tcPr>
            <w:tcW w:w="6946" w:type="dxa"/>
          </w:tcPr>
          <w:p w14:paraId="295EBBBE" w14:textId="77777777" w:rsidR="00093540" w:rsidRDefault="00A045BC">
            <w:pPr>
              <w:pStyle w:val="Textkrper"/>
              <w:rPr>
                <w:rFonts w:ascii="Calibri" w:hAnsi="Calibri" w:cs="Calibri"/>
              </w:rPr>
            </w:pPr>
            <w:r>
              <w:rPr>
                <w:rFonts w:ascii="Calibri" w:hAnsi="Calibri" w:cs="Calibri"/>
              </w:rPr>
              <w:t>The economic operator shall be able to withdraw his bid as long as the time limit to submit bids has not been passed.</w:t>
            </w:r>
          </w:p>
        </w:tc>
        <w:tc>
          <w:tcPr>
            <w:tcW w:w="1780" w:type="dxa"/>
          </w:tcPr>
          <w:p w14:paraId="295EBBBF" w14:textId="77777777" w:rsidR="00093540" w:rsidRDefault="00A045BC">
            <w:pPr>
              <w:pStyle w:val="Textkrper"/>
              <w:rPr>
                <w:rFonts w:ascii="Calibri" w:hAnsi="Calibri" w:cs="Calibri"/>
              </w:rPr>
            </w:pPr>
            <w:r>
              <w:rPr>
                <w:rFonts w:ascii="Calibri" w:hAnsi="Calibri" w:cs="Calibri"/>
              </w:rPr>
              <w:t>G37-007</w:t>
            </w:r>
          </w:p>
        </w:tc>
      </w:tr>
      <w:tr w:rsidR="00093540" w14:paraId="295EBBC4" w14:textId="77777777">
        <w:trPr>
          <w:trHeight w:val="600"/>
        </w:trPr>
        <w:tc>
          <w:tcPr>
            <w:tcW w:w="1242" w:type="dxa"/>
            <w:noWrap/>
          </w:tcPr>
          <w:p w14:paraId="295EBBC1" w14:textId="77777777" w:rsidR="00093540" w:rsidRDefault="00A045BC">
            <w:pPr>
              <w:pStyle w:val="Textkrper"/>
              <w:rPr>
                <w:rFonts w:ascii="Calibri" w:hAnsi="Calibri" w:cs="Calibri"/>
              </w:rPr>
            </w:pPr>
            <w:r>
              <w:rPr>
                <w:rFonts w:ascii="Calibri" w:hAnsi="Calibri" w:cs="Calibri"/>
              </w:rPr>
              <w:t>BR-013</w:t>
            </w:r>
          </w:p>
        </w:tc>
        <w:tc>
          <w:tcPr>
            <w:tcW w:w="6946" w:type="dxa"/>
          </w:tcPr>
          <w:p w14:paraId="295EBBC2" w14:textId="77777777" w:rsidR="00093540" w:rsidRDefault="00A045BC">
            <w:pPr>
              <w:pStyle w:val="Textkrper"/>
              <w:rPr>
                <w:rFonts w:ascii="Calibri" w:hAnsi="Calibri" w:cs="Calibri"/>
              </w:rPr>
            </w:pPr>
            <w:r>
              <w:rPr>
                <w:rFonts w:ascii="Calibri" w:hAnsi="Calibri" w:cs="Calibri"/>
              </w:rPr>
              <w:t>The contracting body shall be able to send the results of the bid evaluation to all economic operators who submitted a bid.</w:t>
            </w:r>
          </w:p>
        </w:tc>
        <w:tc>
          <w:tcPr>
            <w:tcW w:w="1780" w:type="dxa"/>
          </w:tcPr>
          <w:p w14:paraId="295EBBC3" w14:textId="77777777" w:rsidR="00093540" w:rsidRDefault="00A045BC">
            <w:pPr>
              <w:pStyle w:val="Textkrper"/>
              <w:rPr>
                <w:rFonts w:ascii="Calibri" w:hAnsi="Calibri" w:cs="Calibri"/>
              </w:rPr>
            </w:pPr>
            <w:r>
              <w:rPr>
                <w:rFonts w:ascii="Calibri" w:hAnsi="Calibri" w:cs="Calibri"/>
              </w:rPr>
              <w:t>G37-005</w:t>
            </w:r>
          </w:p>
        </w:tc>
      </w:tr>
      <w:tr w:rsidR="00093540" w14:paraId="295EBBC8" w14:textId="77777777">
        <w:trPr>
          <w:trHeight w:val="600"/>
        </w:trPr>
        <w:tc>
          <w:tcPr>
            <w:tcW w:w="1242" w:type="dxa"/>
            <w:noWrap/>
          </w:tcPr>
          <w:p w14:paraId="295EBBC5" w14:textId="77777777" w:rsidR="00093540" w:rsidRDefault="00A045BC">
            <w:pPr>
              <w:pStyle w:val="Textkrper"/>
              <w:rPr>
                <w:rFonts w:ascii="Calibri" w:hAnsi="Calibri" w:cs="Calibri"/>
              </w:rPr>
            </w:pPr>
            <w:r>
              <w:rPr>
                <w:rFonts w:ascii="Calibri" w:hAnsi="Calibri" w:cs="Calibri"/>
              </w:rPr>
              <w:t>BR-014</w:t>
            </w:r>
          </w:p>
        </w:tc>
        <w:tc>
          <w:tcPr>
            <w:tcW w:w="6946" w:type="dxa"/>
          </w:tcPr>
          <w:p w14:paraId="295EBBC6" w14:textId="77777777" w:rsidR="00093540" w:rsidRDefault="00A045BC">
            <w:pPr>
              <w:pStyle w:val="Textkrper"/>
              <w:rPr>
                <w:rFonts w:ascii="Calibri" w:hAnsi="Calibri" w:cs="Calibri"/>
              </w:rPr>
            </w:pPr>
            <w:r>
              <w:rPr>
                <w:rFonts w:ascii="Calibri" w:hAnsi="Calibri" w:cs="Calibri"/>
              </w:rPr>
              <w:t>The contracting body shall be able to award the winning economic operator.</w:t>
            </w:r>
          </w:p>
        </w:tc>
        <w:tc>
          <w:tcPr>
            <w:tcW w:w="1780" w:type="dxa"/>
          </w:tcPr>
          <w:p w14:paraId="295EBBC7" w14:textId="77777777" w:rsidR="00093540" w:rsidRDefault="00A045BC">
            <w:pPr>
              <w:pStyle w:val="Textkrper"/>
              <w:rPr>
                <w:rFonts w:ascii="Calibri" w:hAnsi="Calibri" w:cs="Calibri"/>
              </w:rPr>
            </w:pPr>
            <w:r>
              <w:rPr>
                <w:rFonts w:ascii="Calibri" w:hAnsi="Calibri" w:cs="Calibri"/>
              </w:rPr>
              <w:t>G37-006</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56" w:name="_Toc128564134"/>
      <w:r>
        <w:lastRenderedPageBreak/>
        <w:t>Key examples</w:t>
      </w:r>
      <w:bookmarkEnd w:id="56"/>
    </w:p>
    <w:p w14:paraId="295EBBCC" w14:textId="77777777" w:rsidR="00093540" w:rsidRDefault="00A045BC">
      <w:r>
        <w:t xml:space="preserve">This section illustrates key examples for the execution of an open procedure using Peppol. Thereby, the first examples focus on the particularities of the notification process, being a particular part of the open procedure. The second example then concentrates on the actual business process of the open procedure and thereby generalizes the part of the publication. </w:t>
      </w:r>
    </w:p>
    <w:p w14:paraId="295EBBCD" w14:textId="77777777" w:rsidR="00093540" w:rsidRDefault="00A045BC">
      <w:pPr>
        <w:pStyle w:val="berschrift3"/>
      </w:pPr>
      <w:bookmarkStart w:id="57" w:name="_Toc128564135"/>
      <w:r>
        <w:t>Key example: Notification</w:t>
      </w:r>
      <w:bookmarkEnd w:id="57"/>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D6" w14:textId="77777777" w:rsidR="00093540" w:rsidRDefault="00093540">
      <w:pPr>
        <w:pStyle w:val="Listenabsatz"/>
        <w:ind w:left="774"/>
      </w:pPr>
    </w:p>
    <w:p w14:paraId="295EBBD7" w14:textId="77777777" w:rsidR="00093540" w:rsidRDefault="00000000">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5920;visibility:hidden" filled="t" stroked="t">
            <v:stroke joinstyle="round"/>
            <v:path o:extrusionok="t" gradientshapeok="f" o:connecttype="segments"/>
            <o:lock v:ext="edit" aspectratio="f" selection="t"/>
          </v:shape>
        </w:pict>
      </w:r>
      <w:r w:rsidR="00A045BC">
        <w:object w:dxaOrig="14033" w:dyaOrig="9997" w14:anchorId="295EBEEC">
          <v:shape id="_x0000_i1025" type="#_x0000_t75" style="width:501.75pt;height:357.75pt;mso-wrap-distance-left:0;mso-wrap-distance-top:0;mso-wrap-distance-right:0;mso-wrap-distance-bottom:0" o:ole="">
            <v:imagedata r:id="rId79" o:title=""/>
            <v:path textboxrect="0,0,0,0"/>
          </v:shape>
          <o:OLEObject Type="Embed" ProgID="Visio.Drawing.15" ShapeID="_x0000_i1025" DrawAspect="Content" ObjectID="_1739178943" r:id="rId80"/>
        </w:object>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w:t>
      </w:r>
      <w:r>
        <w:lastRenderedPageBreak/>
        <w:t xml:space="preserve">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r>
        <w:rPr>
          <w:i/>
        </w:rPr>
        <w:t>PublicHealthBerlin</w:t>
      </w:r>
      <w:r>
        <w:t xml:space="preserve"> starts to prepare the relevant procurement documents in its eTendering platform </w:t>
      </w:r>
      <w:r>
        <w:rPr>
          <w:i/>
        </w:rPr>
        <w:t>PublicPurchase</w:t>
      </w:r>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eTendering platform </w:t>
      </w:r>
      <w:r>
        <w:rPr>
          <w:i/>
        </w:rPr>
        <w:t>PublicPurchase</w:t>
      </w:r>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r>
        <w:rPr>
          <w:i/>
        </w:rPr>
        <w:t>PublicPurchase</w:t>
      </w:r>
      <w:r>
        <w:t xml:space="preserve"> used by </w:t>
      </w:r>
      <w:r>
        <w:rPr>
          <w:i/>
        </w:rPr>
        <w:t>PublicHealthBerlin</w:t>
      </w:r>
      <w:r>
        <w:t xml:space="preserve">. Simultaneously, the </w:t>
      </w:r>
      <w:r>
        <w:rPr>
          <w:i/>
        </w:rPr>
        <w:t>National Notification System</w:t>
      </w:r>
      <w:r>
        <w:t xml:space="preserve"> uses its Peppol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r>
        <w:rPr>
          <w:i/>
        </w:rPr>
        <w:t>PublicHealthBerlin</w:t>
      </w:r>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58" w:name="_Hlk95154368"/>
      <w:r>
        <w:t xml:space="preserve">the supplier </w:t>
      </w:r>
      <w:r>
        <w:rPr>
          <w:i/>
        </w:rPr>
        <w:t>LisbonMedical</w:t>
      </w:r>
      <w:r>
        <w:t xml:space="preserve"> queries all Peppol enabled notification systems </w:t>
      </w:r>
      <w:r>
        <w:rPr>
          <w:lang w:val="en-GB"/>
        </w:rPr>
        <w:t>along the “ID of the procurement procedure” that was announced by the PIN</w:t>
      </w:r>
      <w:bookmarkEnd w:id="58"/>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product specification are not met by </w:t>
      </w:r>
      <w:r>
        <w:rPr>
          <w:i/>
        </w:rPr>
        <w:t>LisbonMedical</w:t>
      </w:r>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r>
        <w:rPr>
          <w:i/>
        </w:rPr>
        <w:t xml:space="preserve">PublicHealthBerlin </w:t>
      </w:r>
      <w:r>
        <w:t xml:space="preserve">receives a set of tenders that are able to meet the required product specification. </w:t>
      </w:r>
      <w:r>
        <w:rPr>
          <w:i/>
        </w:rPr>
        <w:t xml:space="preserve">PublicHealthBerlin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59" w:name="_Hlk95154426"/>
      <w:r>
        <w:rPr>
          <w:i/>
        </w:rPr>
        <w:t>LisbonMedical</w:t>
      </w:r>
      <w:r>
        <w:t xml:space="preserve"> i</w:t>
      </w:r>
      <w:bookmarkEnd w:id="59"/>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77777777" w:rsidR="00093540" w:rsidRDefault="00A045BC">
      <w:pPr>
        <w:pStyle w:val="berschrift3"/>
      </w:pPr>
      <w:bookmarkStart w:id="60" w:name="_Toc128564136"/>
      <w:r>
        <w:t>Key example: Open Procedure</w:t>
      </w:r>
      <w:bookmarkEnd w:id="60"/>
    </w:p>
    <w:p w14:paraId="295EBBEC" w14:textId="77777777" w:rsidR="00093540" w:rsidRDefault="00A045BC">
      <w:r>
        <w:t>This section illustrates a key example for the execution of an open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81"/>
                    <a:stretch/>
                  </pic:blipFill>
                  <pic:spPr bwMode="auto">
                    <a:xfrm>
                      <a:off x="0" y="0"/>
                      <a:ext cx="6373495" cy="5038090"/>
                    </a:xfrm>
                    <a:prstGeom prst="rect">
                      <a:avLst/>
                    </a:prstGeom>
                  </pic:spPr>
                </pic:pic>
              </a:graphicData>
            </a:graphic>
          </wp:inline>
        </w:drawing>
      </w:r>
    </w:p>
    <w:p w14:paraId="295EBBF5" w14:textId="39BE2B24" w:rsidR="00093540" w:rsidRDefault="00A045BC">
      <w:pPr>
        <w:pStyle w:val="Beschriftung"/>
        <w:jc w:val="center"/>
      </w:pPr>
      <w:bookmarkStart w:id="61" w:name="_Toc128564114"/>
      <w:r>
        <w:t xml:space="preserve">Figure </w:t>
      </w:r>
      <w:r>
        <w:fldChar w:fldCharType="begin"/>
      </w:r>
      <w:r>
        <w:instrText xml:space="preserve"> SEQ Figure \* ARABIC </w:instrText>
      </w:r>
      <w:r>
        <w:fldChar w:fldCharType="separate"/>
      </w:r>
      <w:r w:rsidR="00771192">
        <w:rPr>
          <w:noProof/>
        </w:rPr>
        <w:t>2</w:t>
      </w:r>
      <w:r>
        <w:fldChar w:fldCharType="end"/>
      </w:r>
      <w:r>
        <w:t>: Flow of Transactions Open procedure Key Example</w:t>
      </w:r>
      <w:bookmarkEnd w:id="6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2" w:name="_Hlk95152812"/>
      <w:r>
        <w:t xml:space="preserve">starts to prepare the relevant procurement documents in its eTendering platform </w:t>
      </w:r>
      <w:r>
        <w:rPr>
          <w:i/>
        </w:rPr>
        <w:t>PublicPurchase</w:t>
      </w:r>
      <w:r>
        <w:t xml:space="preserve">, the prior information notice, the contract notice and the call for tenders, in an proprietary format. </w:t>
      </w:r>
    </w:p>
    <w:p w14:paraId="295EBBF9" w14:textId="77777777" w:rsidR="00093540" w:rsidRDefault="00093540"/>
    <w:p w14:paraId="295EBBFA"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6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r>
        <w:rPr>
          <w:i/>
        </w:rPr>
        <w:t>LisbonMedical</w:t>
      </w:r>
      <w:r>
        <w:t xml:space="preserve"> decides to use Peppol to send questions about the tendering procedure from the its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operator can now review the given answers on their eTendering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295EBC12" w14:textId="77777777" w:rsidR="00093540" w:rsidRDefault="00A045BC">
      <w:r>
        <w:lastRenderedPageBreak/>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r>
        <w:rPr>
          <w:i/>
        </w:rPr>
        <w:t>PublicHealthBerlin</w:t>
      </w:r>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63" w:name="_Toc128564137"/>
      <w:r>
        <w:lastRenderedPageBreak/>
        <w:t>Business Process</w:t>
      </w:r>
      <w:bookmarkEnd w:id="63"/>
      <w:r>
        <w:t xml:space="preserve"> </w:t>
      </w:r>
    </w:p>
    <w:p w14:paraId="295EBC17" w14:textId="77777777" w:rsidR="00093540" w:rsidRDefault="00A045BC">
      <w:pPr>
        <w:pStyle w:val="berschrift2"/>
      </w:pPr>
      <w:bookmarkStart w:id="64" w:name="_Toc128564138"/>
      <w:r>
        <w:t>Actors and Roles</w:t>
      </w:r>
      <w:bookmarkEnd w:id="64"/>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65"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6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66"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6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77777777" w:rsidR="00093540" w:rsidRDefault="00A045BC">
      <w:pPr>
        <w:pStyle w:val="berschrift2"/>
      </w:pPr>
      <w:bookmarkStart w:id="67" w:name="_Toc128564139"/>
      <w:r>
        <w:t>Notification &amp; Open Procedure Use Cases</w:t>
      </w:r>
      <w:bookmarkEnd w:id="67"/>
    </w:p>
    <w:p w14:paraId="295EBC38" w14:textId="77777777" w:rsidR="00093540" w:rsidRDefault="00A045BC">
      <w:r>
        <w:t>Figure 3 shows the Open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headerReference w:type="default" r:id="rId82"/>
          <w:footerReference w:type="default" r:id="rId83"/>
          <w:pgSz w:w="11920" w:h="16840"/>
          <w:pgMar w:top="941" w:right="1021" w:bottom="1134" w:left="862" w:header="57" w:footer="765" w:gutter="0"/>
          <w:cols w:space="708"/>
          <w:docGrid w:linePitch="360"/>
        </w:sectPr>
      </w:pPr>
    </w:p>
    <w:p w14:paraId="295EBC3B" w14:textId="77777777" w:rsidR="00093540" w:rsidRDefault="00A045BC">
      <w:pPr>
        <w:jc w:val="center"/>
      </w:pPr>
      <w:bookmarkStart w:id="68" w:name="_Toc343173748"/>
      <w:bookmarkStart w:id="69" w:name="_Toc423863154"/>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84"/>
                    <a:stretch/>
                  </pic:blipFill>
                  <pic:spPr bwMode="auto">
                    <a:xfrm>
                      <a:off x="0" y="0"/>
                      <a:ext cx="7973946" cy="5133784"/>
                    </a:xfrm>
                    <a:prstGeom prst="rect">
                      <a:avLst/>
                    </a:prstGeom>
                  </pic:spPr>
                </pic:pic>
              </a:graphicData>
            </a:graphic>
          </wp:inline>
        </w:drawing>
      </w:r>
    </w:p>
    <w:p w14:paraId="295EBC3C" w14:textId="39488408" w:rsidR="00093540" w:rsidRDefault="00A045BC">
      <w:pPr>
        <w:pStyle w:val="Beschriftung"/>
        <w:jc w:val="center"/>
      </w:pPr>
      <w:bookmarkStart w:id="70" w:name="_Toc128564115"/>
      <w:r>
        <w:t xml:space="preserve">Figure </w:t>
      </w:r>
      <w:r>
        <w:fldChar w:fldCharType="begin"/>
      </w:r>
      <w:r>
        <w:instrText xml:space="preserve"> SEQ Figure \* ARABIC </w:instrText>
      </w:r>
      <w:r>
        <w:fldChar w:fldCharType="separate"/>
      </w:r>
      <w:r w:rsidR="00771192">
        <w:rPr>
          <w:noProof/>
        </w:rPr>
        <w:t>3</w:t>
      </w:r>
      <w:r>
        <w:fldChar w:fldCharType="end"/>
      </w:r>
      <w:r>
        <w:t>: Open procedure use cases</w:t>
      </w:r>
      <w:bookmarkEnd w:id="70"/>
    </w:p>
    <w:p w14:paraId="295EBC3D" w14:textId="77777777" w:rsidR="00093540" w:rsidRDefault="00A045BC">
      <w:pPr>
        <w:pStyle w:val="berschrift2"/>
      </w:pPr>
      <w:bookmarkStart w:id="71" w:name="_Toc128564140"/>
      <w:r>
        <w:lastRenderedPageBreak/>
        <w:t>Notification &amp; Open procedure Business Process</w:t>
      </w:r>
      <w:bookmarkEnd w:id="68"/>
      <w:bookmarkEnd w:id="69"/>
      <w:bookmarkEnd w:id="71"/>
    </w:p>
    <w:p w14:paraId="295EBC3E" w14:textId="77777777" w:rsidR="00093540" w:rsidRDefault="00A045BC">
      <w:r>
        <w:t xml:space="preserve">The following diagrams illustrate the choreography of the business process targeted by the Notification &amp; Open Procedure guideline. </w:t>
      </w:r>
    </w:p>
    <w:p w14:paraId="295EBC3F" w14:textId="77777777" w:rsidR="00093540" w:rsidRDefault="00093540"/>
    <w:p w14:paraId="295EBC40" w14:textId="140BC8D1" w:rsidR="00093540" w:rsidRDefault="00A045BC">
      <w:pPr>
        <w:pStyle w:val="Beschriftung"/>
        <w:keepNext/>
        <w:jc w:val="center"/>
      </w:pPr>
      <w:bookmarkStart w:id="72" w:name="_Toc128564109"/>
      <w:r>
        <w:t xml:space="preserve">Table </w:t>
      </w:r>
      <w:r>
        <w:fldChar w:fldCharType="begin"/>
      </w:r>
      <w:r>
        <w:instrText xml:space="preserve"> SEQ Table \* ARABIC </w:instrText>
      </w:r>
      <w:r>
        <w:fldChar w:fldCharType="separate"/>
      </w:r>
      <w:r w:rsidR="00FD0B3B">
        <w:rPr>
          <w:noProof/>
        </w:rPr>
        <w:t>6</w:t>
      </w:r>
      <w:r>
        <w:fldChar w:fldCharType="end"/>
      </w:r>
      <w:r>
        <w:t>:Conditions of the open Procedure</w:t>
      </w:r>
      <w:bookmarkEnd w:id="72"/>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77777777" w:rsidR="00093540" w:rsidRDefault="00A045BC">
            <w:pPr>
              <w:spacing w:after="120"/>
              <w:ind w:left="360"/>
              <w:rPr>
                <w:rFonts w:cs="Calibri"/>
                <w:sz w:val="20"/>
                <w:szCs w:val="20"/>
                <w:lang w:eastAsia="nl-NL"/>
              </w:rPr>
            </w:pPr>
            <w:r>
              <w:rPr>
                <w:rFonts w:cs="Calibri"/>
                <w:sz w:val="20"/>
                <w:szCs w:val="20"/>
                <w:lang w:eastAsia="nl-NL"/>
              </w:rPr>
              <w:t>A contracting body publishes a tender in an open procedure, in which economic operators are invited to tender and to submit their offers. After the</w:t>
            </w:r>
            <w:r>
              <w:rPr>
                <w:lang w:val="en-GB"/>
              </w:rPr>
              <w:t xml:space="preserve"> opening date, t</w:t>
            </w:r>
            <w:r>
              <w:rPr>
                <w:rFonts w:cs="Calibri"/>
                <w:sz w:val="20"/>
                <w:szCs w:val="20"/>
                <w:lang w:eastAsia="nl-NL"/>
              </w:rPr>
              <w:t xml:space="preserve">he contracting body </w:t>
            </w:r>
            <w:r>
              <w:rPr>
                <w:rFonts w:cs="Calibri"/>
              </w:rPr>
              <w:t xml:space="preserve">awards the winning economic operator. </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77777777" w:rsidR="00093540" w:rsidRDefault="00A045BC">
            <w:pPr>
              <w:spacing w:after="120"/>
              <w:ind w:left="360"/>
              <w:rPr>
                <w:rFonts w:cs="Calibri"/>
                <w:sz w:val="20"/>
                <w:szCs w:val="20"/>
                <w:lang w:eastAsia="nl-NL"/>
              </w:rPr>
            </w:pPr>
            <w:r>
              <w:rPr>
                <w:rFonts w:cs="Calibri"/>
                <w:sz w:val="20"/>
                <w:szCs w:val="20"/>
                <w:lang w:eastAsia="nl-NL"/>
              </w:rPr>
              <w:t>The contracting body decided to tender a contract following an open 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7777777" w:rsidR="00093540" w:rsidRDefault="00A045BC">
            <w:pPr>
              <w:spacing w:after="120"/>
              <w:ind w:left="360"/>
              <w:rPr>
                <w:rFonts w:cs="Calibri"/>
                <w:sz w:val="20"/>
                <w:szCs w:val="20"/>
                <w:lang w:eastAsia="nl-NL"/>
              </w:rPr>
            </w:pPr>
            <w:r>
              <w:rPr>
                <w:rFonts w:cs="Calibri"/>
                <w:sz w:val="20"/>
                <w:szCs w:val="20"/>
                <w:lang w:eastAsia="nl-NL"/>
              </w:rPr>
              <w:t>The winning economic operator has been contracted and the award notification has been published.</w:t>
            </w:r>
          </w:p>
        </w:tc>
      </w:tr>
    </w:tbl>
    <w:p w14:paraId="295EBC4D" w14:textId="77777777" w:rsidR="00093540" w:rsidRDefault="00093540"/>
    <w:p w14:paraId="295EBC4E" w14:textId="77777777" w:rsidR="00093540" w:rsidRDefault="00A045BC">
      <w:r>
        <w:br w:type="page"/>
      </w:r>
    </w:p>
    <w:p w14:paraId="295EBC4F" w14:textId="77777777" w:rsidR="00093540" w:rsidRDefault="00A045BC">
      <w:pPr>
        <w:pStyle w:val="berschrift3"/>
      </w:pPr>
      <w:bookmarkStart w:id="73" w:name="_Toc128564141"/>
      <w:r>
        <w:lastRenderedPageBreak/>
        <w:t>Process Map: Notification &amp; Open procedure</w:t>
      </w:r>
      <w:bookmarkEnd w:id="73"/>
      <w:r>
        <w:t xml:space="preserve"> </w:t>
      </w:r>
    </w:p>
    <w:p w14:paraId="295EBC50" w14:textId="77777777" w:rsidR="00093540" w:rsidRDefault="00A045BC">
      <w:r>
        <w:t>The choreography of business collaborations defines the sequence of interactions when an open procedure is executed using Peppol. For better readability the business process has been divided into the subprocesses Notification, Procurement Document Access, Tender Submission, and Awarding illustrated by the process overview below</w:t>
      </w:r>
    </w:p>
    <w:p w14:paraId="295EBC51" w14:textId="77777777" w:rsidR="00093540" w:rsidRDefault="00935197">
      <w:pPr>
        <w:keepNext/>
        <w:jc w:val="center"/>
      </w:pPr>
      <w:r>
        <w:rPr>
          <w:noProof/>
        </w:rPr>
        <w:drawing>
          <wp:inline distT="0" distB="0" distL="0" distR="0" wp14:anchorId="295EBEF1" wp14:editId="295EBEF2">
            <wp:extent cx="7858125" cy="429070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Procedure_Overview.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861405" cy="4292492"/>
                    </a:xfrm>
                    <a:prstGeom prst="rect">
                      <a:avLst/>
                    </a:prstGeom>
                  </pic:spPr>
                </pic:pic>
              </a:graphicData>
            </a:graphic>
          </wp:inline>
        </w:drawing>
      </w:r>
    </w:p>
    <w:p w14:paraId="295EBC52" w14:textId="3EF0E7E8" w:rsidR="00093540" w:rsidRDefault="00A045BC">
      <w:pPr>
        <w:pStyle w:val="Beschriftung"/>
        <w:jc w:val="center"/>
      </w:pPr>
      <w:bookmarkStart w:id="74" w:name="_Toc128564116"/>
      <w:r>
        <w:t xml:space="preserve">Figure </w:t>
      </w:r>
      <w:r>
        <w:fldChar w:fldCharType="begin"/>
      </w:r>
      <w:r>
        <w:instrText xml:space="preserve"> SEQ Figure \* ARABIC </w:instrText>
      </w:r>
      <w:r>
        <w:fldChar w:fldCharType="separate"/>
      </w:r>
      <w:r w:rsidR="00771192">
        <w:rPr>
          <w:noProof/>
        </w:rPr>
        <w:t>4</w:t>
      </w:r>
      <w:r>
        <w:fldChar w:fldCharType="end"/>
      </w:r>
      <w:r>
        <w:t>: Open procedure process map</w:t>
      </w:r>
      <w:bookmarkEnd w:id="74"/>
    </w:p>
    <w:p w14:paraId="295EBC53" w14:textId="77777777" w:rsidR="00093540" w:rsidRDefault="00093540"/>
    <w:p w14:paraId="295EBC54" w14:textId="77777777" w:rsidR="00093540" w:rsidRDefault="00A045BC">
      <w:pPr>
        <w:pStyle w:val="berschrift3"/>
      </w:pPr>
      <w:bookmarkStart w:id="75" w:name="_Toc128564142"/>
      <w:bookmarkStart w:id="76" w:name="_Ref92801023"/>
      <w:bookmarkStart w:id="77" w:name="_Ref92801062"/>
      <w:bookmarkStart w:id="78" w:name="_Ref92801067"/>
      <w:bookmarkStart w:id="79" w:name="_Ref92801072"/>
      <w:bookmarkStart w:id="80" w:name="_Ref92801077"/>
      <w:r>
        <w:lastRenderedPageBreak/>
        <w:t>Process: Notification</w:t>
      </w:r>
      <w:bookmarkEnd w:id="75"/>
      <w:r>
        <w:t xml:space="preserve"> </w:t>
      </w:r>
      <w:bookmarkEnd w:id="76"/>
      <w:bookmarkEnd w:id="77"/>
      <w:bookmarkEnd w:id="78"/>
      <w:bookmarkEnd w:id="79"/>
      <w:bookmarkEnd w:id="80"/>
    </w:p>
    <w:p w14:paraId="295EBC55" w14:textId="77777777" w:rsidR="00093540" w:rsidRDefault="002965CB">
      <w:r>
        <w:rPr>
          <w:noProof/>
        </w:rPr>
        <w:drawing>
          <wp:inline distT="0" distB="0" distL="0" distR="0" wp14:anchorId="295EBEF3" wp14:editId="295EBEF4">
            <wp:extent cx="9610725" cy="490267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sh&amp;Search_Notices.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616352" cy="4905544"/>
                    </a:xfrm>
                    <a:prstGeom prst="rect">
                      <a:avLst/>
                    </a:prstGeom>
                  </pic:spPr>
                </pic:pic>
              </a:graphicData>
            </a:graphic>
          </wp:inline>
        </w:drawing>
      </w:r>
    </w:p>
    <w:p w14:paraId="295EBC56" w14:textId="7A87A93D" w:rsidR="00093540" w:rsidRDefault="00A045BC">
      <w:pPr>
        <w:pStyle w:val="Beschriftung"/>
        <w:jc w:val="center"/>
      </w:pPr>
      <w:bookmarkStart w:id="81" w:name="_Toc128564117"/>
      <w:r>
        <w:t xml:space="preserve">Figure </w:t>
      </w:r>
      <w:r>
        <w:fldChar w:fldCharType="begin"/>
      </w:r>
      <w:r>
        <w:instrText xml:space="preserve"> SEQ Figure \* ARABIC </w:instrText>
      </w:r>
      <w:r>
        <w:fldChar w:fldCharType="separate"/>
      </w:r>
      <w:r w:rsidR="00771192">
        <w:rPr>
          <w:noProof/>
        </w:rPr>
        <w:t>5</w:t>
      </w:r>
      <w:r>
        <w:fldChar w:fldCharType="end"/>
      </w:r>
      <w:r>
        <w:t>: Notification Process</w:t>
      </w:r>
      <w:bookmarkEnd w:id="81"/>
    </w:p>
    <w:p w14:paraId="295EBC57" w14:textId="77777777" w:rsidR="00093540" w:rsidRDefault="00A045BC">
      <w:pPr>
        <w:pStyle w:val="berschrift3"/>
      </w:pPr>
      <w:bookmarkStart w:id="82" w:name="_Toc128564143"/>
      <w:bookmarkStart w:id="83" w:name="_Ref92801030"/>
      <w:r>
        <w:lastRenderedPageBreak/>
        <w:t>Process: Procurement Document Access</w:t>
      </w:r>
      <w:bookmarkEnd w:id="82"/>
      <w:r>
        <w:t xml:space="preserve"> </w:t>
      </w:r>
      <w:bookmarkEnd w:id="83"/>
    </w:p>
    <w:p w14:paraId="295EBC58" w14:textId="77777777" w:rsidR="00093540" w:rsidRDefault="002965CB">
      <w:r>
        <w:rPr>
          <w:noProof/>
        </w:rPr>
        <w:drawing>
          <wp:inline distT="0" distB="0" distL="0" distR="0" wp14:anchorId="295EBEF5" wp14:editId="295EBEF6">
            <wp:extent cx="9546485" cy="3657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ForTender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547843" cy="3658120"/>
                    </a:xfrm>
                    <a:prstGeom prst="rect">
                      <a:avLst/>
                    </a:prstGeom>
                  </pic:spPr>
                </pic:pic>
              </a:graphicData>
            </a:graphic>
          </wp:inline>
        </w:drawing>
      </w:r>
    </w:p>
    <w:p w14:paraId="295EBC59" w14:textId="75ECF90F" w:rsidR="00093540" w:rsidRDefault="00A045BC">
      <w:pPr>
        <w:pStyle w:val="Beschriftung"/>
        <w:jc w:val="center"/>
      </w:pPr>
      <w:bookmarkStart w:id="84" w:name="_Toc128564118"/>
      <w:r>
        <w:t xml:space="preserve">Figure </w:t>
      </w:r>
      <w:r>
        <w:fldChar w:fldCharType="begin"/>
      </w:r>
      <w:r>
        <w:instrText xml:space="preserve"> SEQ Figure \* ARABIC </w:instrText>
      </w:r>
      <w:r>
        <w:fldChar w:fldCharType="separate"/>
      </w:r>
      <w:r w:rsidR="00771192">
        <w:rPr>
          <w:noProof/>
        </w:rPr>
        <w:t>6</w:t>
      </w:r>
      <w:r>
        <w:fldChar w:fldCharType="end"/>
      </w:r>
      <w:r>
        <w:t>: Procurement Document Access process</w:t>
      </w:r>
      <w:bookmarkEnd w:id="84"/>
    </w:p>
    <w:p w14:paraId="295EBC5A" w14:textId="77777777" w:rsidR="00093540" w:rsidRDefault="00093540"/>
    <w:p w14:paraId="295EBC5B" w14:textId="77777777" w:rsidR="00093540" w:rsidRDefault="00093540"/>
    <w:p w14:paraId="295EBC5C" w14:textId="77777777" w:rsidR="00093540" w:rsidRDefault="00093540"/>
    <w:p w14:paraId="295EBC5D" w14:textId="77777777" w:rsidR="002965CB" w:rsidRDefault="002965CB"/>
    <w:p w14:paraId="295EBC5E" w14:textId="77777777" w:rsidR="002965CB" w:rsidRDefault="002965CB"/>
    <w:p w14:paraId="295EBC5F" w14:textId="77777777" w:rsidR="002965CB" w:rsidRDefault="002965CB"/>
    <w:p w14:paraId="295EBC60" w14:textId="77777777" w:rsidR="00093540" w:rsidRDefault="00093540"/>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295EBEFA">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8"/>
                    <a:stretch/>
                  </pic:blipFill>
                  <pic:spPr bwMode="auto">
                    <a:xfrm>
                      <a:off x="0" y="0"/>
                      <a:ext cx="3248319" cy="4553547"/>
                    </a:xfrm>
                    <a:prstGeom prst="rect">
                      <a:avLst/>
                    </a:prstGeom>
                  </pic:spPr>
                </pic:pic>
              </a:graphicData>
            </a:graphic>
          </wp:inline>
        </w:drawing>
      </w:r>
    </w:p>
    <w:p w14:paraId="295EBC66" w14:textId="0C7D166C" w:rsidR="00093540" w:rsidRDefault="00A045BC">
      <w:pPr>
        <w:pStyle w:val="Beschriftung"/>
        <w:jc w:val="center"/>
      </w:pPr>
      <w:bookmarkStart w:id="85" w:name="_Toc128564119"/>
      <w:r>
        <w:t xml:space="preserve">Figure </w:t>
      </w:r>
      <w:r>
        <w:fldChar w:fldCharType="begin"/>
      </w:r>
      <w:r>
        <w:instrText xml:space="preserve"> SEQ Figure \* ARABIC </w:instrText>
      </w:r>
      <w:r>
        <w:fldChar w:fldCharType="separate"/>
      </w:r>
      <w:r w:rsidR="00771192">
        <w:rPr>
          <w:noProof/>
        </w:rPr>
        <w:t>7</w:t>
      </w:r>
      <w:r>
        <w:fldChar w:fldCharType="end"/>
      </w:r>
      <w:r>
        <w:t>: Tender Status Inquiry Process</w:t>
      </w:r>
      <w:bookmarkEnd w:id="85"/>
    </w:p>
    <w:p w14:paraId="295EBC67" w14:textId="77777777" w:rsidR="00093540" w:rsidRDefault="00A045BC">
      <w:pPr>
        <w:pStyle w:val="berschrift3"/>
      </w:pPr>
      <w:bookmarkStart w:id="86" w:name="_Toc128564144"/>
      <w:r>
        <w:lastRenderedPageBreak/>
        <w:t>Process: Tender Submission</w:t>
      </w:r>
      <w:bookmarkEnd w:id="86"/>
      <w:r>
        <w:t xml:space="preserve"> </w:t>
      </w:r>
    </w:p>
    <w:p w14:paraId="295EBC68" w14:textId="77777777" w:rsidR="00093540" w:rsidRDefault="002965CB">
      <w:pPr>
        <w:keepNext/>
        <w:jc w:val="center"/>
      </w:pPr>
      <w:r>
        <w:rPr>
          <w:noProof/>
        </w:rPr>
        <w:drawing>
          <wp:inline distT="0" distB="0" distL="0" distR="0" wp14:anchorId="295EBEFB" wp14:editId="295EBEFC">
            <wp:extent cx="9458325" cy="3420756"/>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derSubmiss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470383" cy="3425117"/>
                    </a:xfrm>
                    <a:prstGeom prst="rect">
                      <a:avLst/>
                    </a:prstGeom>
                  </pic:spPr>
                </pic:pic>
              </a:graphicData>
            </a:graphic>
          </wp:inline>
        </w:drawing>
      </w:r>
    </w:p>
    <w:p w14:paraId="295EBC69" w14:textId="3CF308B9" w:rsidR="00093540" w:rsidRDefault="00A045BC">
      <w:pPr>
        <w:pStyle w:val="Beschriftung"/>
        <w:jc w:val="center"/>
      </w:pPr>
      <w:bookmarkStart w:id="87" w:name="_Toc128564120"/>
      <w:r>
        <w:t xml:space="preserve">Figure </w:t>
      </w:r>
      <w:r>
        <w:fldChar w:fldCharType="begin"/>
      </w:r>
      <w:r>
        <w:instrText xml:space="preserve"> SEQ Figure \* ARABIC </w:instrText>
      </w:r>
      <w:r>
        <w:fldChar w:fldCharType="separate"/>
      </w:r>
      <w:r w:rsidR="00771192">
        <w:rPr>
          <w:noProof/>
        </w:rPr>
        <w:t>8</w:t>
      </w:r>
      <w:r>
        <w:fldChar w:fldCharType="end"/>
      </w:r>
      <w:r>
        <w:t>: Tender Submission process</w:t>
      </w:r>
      <w:bookmarkEnd w:id="87"/>
    </w:p>
    <w:p w14:paraId="295EBC6A" w14:textId="77777777" w:rsidR="00093540" w:rsidRDefault="00A045BC">
      <w:r>
        <w:br w:type="page"/>
      </w:r>
    </w:p>
    <w:p w14:paraId="295EBC6B" w14:textId="77777777" w:rsidR="00093540" w:rsidRDefault="00A045BC">
      <w:pPr>
        <w:pStyle w:val="berschrift3"/>
      </w:pPr>
      <w:bookmarkStart w:id="88" w:name="_Toc128564145"/>
      <w:r>
        <w:lastRenderedPageBreak/>
        <w:t>Process: Awarding</w:t>
      </w:r>
      <w:bookmarkEnd w:id="88"/>
      <w:r>
        <w:t xml:space="preserve"> </w:t>
      </w:r>
    </w:p>
    <w:p w14:paraId="295EBC6C" w14:textId="77777777" w:rsidR="00093540" w:rsidRDefault="002965CB">
      <w:pPr>
        <w:jc w:val="center"/>
      </w:pPr>
      <w:r>
        <w:rPr>
          <w:noProof/>
        </w:rPr>
        <w:drawing>
          <wp:inline distT="0" distB="0" distL="0" distR="0" wp14:anchorId="295EBEFD" wp14:editId="295EBEFE">
            <wp:extent cx="8448488" cy="48482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wardi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450015" cy="4849101"/>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295EBF00">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AF501D1"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295EBC6D" w14:textId="250D3F93" w:rsidR="00093540" w:rsidRDefault="00A045BC">
      <w:pPr>
        <w:pStyle w:val="Beschriftung"/>
        <w:jc w:val="center"/>
      </w:pPr>
      <w:bookmarkStart w:id="89" w:name="_Toc128564121"/>
      <w:r>
        <w:t xml:space="preserve">Figure </w:t>
      </w:r>
      <w:r>
        <w:fldChar w:fldCharType="begin"/>
      </w:r>
      <w:r>
        <w:instrText xml:space="preserve"> SEQ Figure \* ARABIC </w:instrText>
      </w:r>
      <w:r>
        <w:fldChar w:fldCharType="separate"/>
      </w:r>
      <w:r w:rsidR="00771192">
        <w:rPr>
          <w:noProof/>
        </w:rPr>
        <w:t>9</w:t>
      </w:r>
      <w:r>
        <w:fldChar w:fldCharType="end"/>
      </w:r>
      <w:r>
        <w:t>: Awarding Process</w:t>
      </w:r>
      <w:bookmarkEnd w:id="89"/>
    </w:p>
    <w:p w14:paraId="129C531F" w14:textId="77777777" w:rsidR="00DF345C" w:rsidRDefault="00DF345C" w:rsidP="002431A7"/>
    <w:p w14:paraId="295EBC6E" w14:textId="38A7A61C" w:rsidR="00DF345C" w:rsidRPr="002431A7" w:rsidRDefault="00DF345C" w:rsidP="002431A7">
      <w:pPr>
        <w:sectPr w:rsidR="00DF345C" w:rsidRPr="002431A7">
          <w:headerReference w:type="even" r:id="rId91"/>
          <w:headerReference w:type="default" r:id="rId92"/>
          <w:footerReference w:type="even" r:id="rId93"/>
          <w:footerReference w:type="default" r:id="rId94"/>
          <w:pgSz w:w="16840" w:h="11920" w:orient="landscape"/>
          <w:pgMar w:top="862" w:right="941" w:bottom="1021" w:left="1134" w:header="57" w:footer="765" w:gutter="0"/>
          <w:cols w:space="708"/>
          <w:docGrid w:linePitch="360"/>
        </w:sectPr>
      </w:pPr>
    </w:p>
    <w:p w14:paraId="295EBC6F" w14:textId="77777777" w:rsidR="00093540" w:rsidRDefault="00A045BC">
      <w:pPr>
        <w:pStyle w:val="berschrift2"/>
      </w:pPr>
      <w:bookmarkStart w:id="90" w:name="_Toc128564146"/>
      <w:bookmarkStart w:id="91" w:name="_Toc354134422"/>
      <w:bookmarkStart w:id="92" w:name="_Toc354554819"/>
      <w:bookmarkStart w:id="93" w:name="_Toc354555276"/>
      <w:bookmarkStart w:id="94" w:name="_Toc354576107"/>
      <w:bookmarkStart w:id="95" w:name="_Toc355097350"/>
      <w:bookmarkStart w:id="96" w:name="_Toc355700090"/>
      <w:bookmarkStart w:id="97" w:name="_Toc355700212"/>
      <w:bookmarkStart w:id="98" w:name="_Toc356905007"/>
      <w:r>
        <w:lastRenderedPageBreak/>
        <w:t>Notification &amp; Open Procedure activity detailed descriptions</w:t>
      </w:r>
      <w:bookmarkEnd w:id="90"/>
    </w:p>
    <w:p w14:paraId="295EBC70" w14:textId="77777777"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295EBC71" w14:textId="4DE61032" w:rsidR="00093540" w:rsidRDefault="00A045BC">
      <w:pPr>
        <w:pStyle w:val="Beschriftung"/>
        <w:keepNext/>
        <w:jc w:val="center"/>
      </w:pPr>
      <w:bookmarkStart w:id="99"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99"/>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14:paraId="295EBC77" w14:textId="77777777">
        <w:trPr>
          <w:cantSplit/>
          <w:tblHeader/>
        </w:trPr>
        <w:tc>
          <w:tcPr>
            <w:tcW w:w="1299" w:type="dxa"/>
            <w:shd w:val="clear" w:color="D9D9D9" w:fill="D9D9D9" w:themeFill="background1" w:themeFillShade="D9"/>
          </w:tcPr>
          <w:p w14:paraId="295EBC72" w14:textId="77777777"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14:paraId="295EBC73" w14:textId="77777777"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14:paraId="295EBC74"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14:paraId="295EBC75"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093540" w:rsidRDefault="00A045BC">
            <w:pPr>
              <w:pStyle w:val="Textkrper"/>
              <w:jc w:val="center"/>
              <w:rPr>
                <w:rFonts w:ascii="Calibri" w:hAnsi="Calibri" w:cs="Calibri"/>
                <w:b/>
                <w:bCs/>
                <w:lang w:eastAsia="en-US"/>
              </w:rPr>
            </w:pPr>
            <w:r>
              <w:rPr>
                <w:rFonts w:ascii="Calibri" w:hAnsi="Calibri" w:cs="Calibri"/>
                <w:b/>
                <w:bCs/>
                <w:lang w:eastAsia="en-US"/>
              </w:rPr>
              <w:t>Peppol BIS</w:t>
            </w:r>
          </w:p>
        </w:tc>
      </w:tr>
      <w:tr w:rsidR="00093540" w14:paraId="295EBC7D" w14:textId="77777777">
        <w:trPr>
          <w:cantSplit/>
        </w:trPr>
        <w:tc>
          <w:tcPr>
            <w:tcW w:w="1299" w:type="dxa"/>
          </w:tcPr>
          <w:p w14:paraId="295EBC78"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9" w14:textId="77777777"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14:paraId="295EBC7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7B" w14:textId="77777777"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093540" w:rsidRDefault="00093540">
            <w:pPr>
              <w:pStyle w:val="Textkrper"/>
              <w:rPr>
                <w:rFonts w:ascii="Calibri" w:hAnsi="Calibri" w:cs="Calibri"/>
                <w:lang w:eastAsia="en-US"/>
              </w:rPr>
            </w:pPr>
          </w:p>
        </w:tc>
      </w:tr>
      <w:tr w:rsidR="00093540" w14:paraId="295EBC83" w14:textId="77777777">
        <w:trPr>
          <w:cantSplit/>
        </w:trPr>
        <w:tc>
          <w:tcPr>
            <w:tcW w:w="1299" w:type="dxa"/>
          </w:tcPr>
          <w:p w14:paraId="295EBC7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7F" w14:textId="77777777"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14:paraId="295EBC80"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81" w14:textId="77777777"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093540" w:rsidRDefault="00093540">
            <w:pPr>
              <w:pStyle w:val="Textkrper"/>
              <w:rPr>
                <w:rFonts w:ascii="Calibri" w:hAnsi="Calibri" w:cs="Calibri"/>
                <w:lang w:eastAsia="en-US"/>
              </w:rPr>
            </w:pPr>
          </w:p>
        </w:tc>
      </w:tr>
      <w:tr w:rsidR="00093540" w14:paraId="295EBC89" w14:textId="77777777">
        <w:trPr>
          <w:cantSplit/>
        </w:trPr>
        <w:tc>
          <w:tcPr>
            <w:tcW w:w="1299" w:type="dxa"/>
          </w:tcPr>
          <w:p w14:paraId="295EBC8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5" w14:textId="77777777"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14:paraId="295EBC86"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87" w14:textId="77777777"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8F" w14:textId="77777777">
        <w:trPr>
          <w:cantSplit/>
        </w:trPr>
        <w:tc>
          <w:tcPr>
            <w:tcW w:w="1299" w:type="dxa"/>
          </w:tcPr>
          <w:p w14:paraId="295EBC8A"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8B" w14:textId="77777777"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14:paraId="295EBC8C"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8D" w14:textId="77777777"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95" w14:textId="77777777">
        <w:trPr>
          <w:cantSplit/>
        </w:trPr>
        <w:tc>
          <w:tcPr>
            <w:tcW w:w="1299" w:type="dxa"/>
          </w:tcPr>
          <w:p w14:paraId="295EBC90"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1" w14:textId="77777777"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14:paraId="295EBC9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3" w14:textId="77777777"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95EBC94" w14:textId="77777777" w:rsidR="00093540" w:rsidRDefault="00093540">
            <w:pPr>
              <w:pStyle w:val="Textkrper"/>
              <w:rPr>
                <w:rFonts w:ascii="Calibri" w:hAnsi="Calibri" w:cs="Calibri"/>
                <w:lang w:eastAsia="en-US"/>
              </w:rPr>
            </w:pPr>
          </w:p>
        </w:tc>
      </w:tr>
      <w:tr w:rsidR="00093540" w14:paraId="295EBC9D" w14:textId="77777777">
        <w:trPr>
          <w:cantSplit/>
        </w:trPr>
        <w:tc>
          <w:tcPr>
            <w:tcW w:w="1299" w:type="dxa"/>
          </w:tcPr>
          <w:p w14:paraId="295EBC96"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7" w14:textId="77777777"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14:paraId="295EBC9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99" w14:textId="77777777"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r>
              <w:rPr>
                <w:rFonts w:ascii="Calibri" w:hAnsi="Calibri" w:cs="Calibri"/>
              </w:rPr>
              <w:t xml:space="preserve">optionally </w:t>
            </w:r>
          </w:p>
          <w:p w14:paraId="295EBC9A" w14:textId="77777777"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14:paraId="295EBC9B" w14:textId="77777777"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14:paraId="295EBC9C"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A3" w14:textId="77777777">
        <w:trPr>
          <w:cantSplit/>
        </w:trPr>
        <w:tc>
          <w:tcPr>
            <w:tcW w:w="1299" w:type="dxa"/>
          </w:tcPr>
          <w:p w14:paraId="295EBC9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9F" w14:textId="77777777"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14:paraId="295EBCA0"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CA1" w14:textId="77777777"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14:paraId="295EBCA2"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CA9" w14:textId="77777777">
        <w:trPr>
          <w:cantSplit/>
        </w:trPr>
        <w:tc>
          <w:tcPr>
            <w:tcW w:w="1299" w:type="dxa"/>
          </w:tcPr>
          <w:p w14:paraId="295EBCA4"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95EBCA5" w14:textId="77777777"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14:paraId="295EBCA6"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CA7" w14:textId="77777777"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14:paraId="295EBCA8"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CAF" w14:textId="77777777">
        <w:trPr>
          <w:cantSplit/>
        </w:trPr>
        <w:tc>
          <w:tcPr>
            <w:tcW w:w="1299" w:type="dxa"/>
          </w:tcPr>
          <w:p w14:paraId="295EBCAA"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AB" w14:textId="77777777"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14:paraId="295EBCAC"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AD" w14:textId="77777777"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14:paraId="295EBCAE" w14:textId="77777777" w:rsidR="00093540" w:rsidRDefault="00A045BC">
            <w:pPr>
              <w:pStyle w:val="Textkrper"/>
              <w:rPr>
                <w:rFonts w:ascii="Calibri" w:hAnsi="Calibri" w:cs="Calibri"/>
                <w:lang w:eastAsia="en-US"/>
              </w:rPr>
            </w:pPr>
            <w:r>
              <w:rPr>
                <w:rFonts w:ascii="Calibri" w:hAnsi="Calibri" w:cs="Calibri"/>
                <w:lang w:eastAsia="en-US"/>
              </w:rPr>
              <w:t>P001</w:t>
            </w:r>
          </w:p>
        </w:tc>
      </w:tr>
      <w:tr w:rsidR="00093540" w14:paraId="295EBCB5" w14:textId="77777777">
        <w:trPr>
          <w:cantSplit/>
        </w:trPr>
        <w:tc>
          <w:tcPr>
            <w:tcW w:w="1299" w:type="dxa"/>
          </w:tcPr>
          <w:p w14:paraId="295EBCB0"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1" w14:textId="77777777"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14:paraId="295EBCB2"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3"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093540" w:rsidRDefault="00093540">
            <w:pPr>
              <w:pStyle w:val="Textkrper"/>
              <w:rPr>
                <w:rFonts w:ascii="Calibri" w:hAnsi="Calibri" w:cs="Calibri"/>
                <w:lang w:eastAsia="en-US"/>
              </w:rPr>
            </w:pPr>
          </w:p>
        </w:tc>
      </w:tr>
      <w:tr w:rsidR="00093540" w14:paraId="295EBCBB" w14:textId="77777777">
        <w:trPr>
          <w:cantSplit/>
        </w:trPr>
        <w:tc>
          <w:tcPr>
            <w:tcW w:w="1299" w:type="dxa"/>
          </w:tcPr>
          <w:p w14:paraId="295EBCB6"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B7" w14:textId="77777777"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14:paraId="295EBCB8"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B9"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093540" w:rsidRDefault="00093540">
            <w:pPr>
              <w:pStyle w:val="Textkrper"/>
              <w:rPr>
                <w:rFonts w:ascii="Calibri" w:hAnsi="Calibri" w:cs="Calibri"/>
                <w:lang w:eastAsia="en-US"/>
              </w:rPr>
            </w:pPr>
          </w:p>
        </w:tc>
      </w:tr>
      <w:tr w:rsidR="00093540" w14:paraId="295EBCC1" w14:textId="77777777">
        <w:trPr>
          <w:cantSplit/>
        </w:trPr>
        <w:tc>
          <w:tcPr>
            <w:tcW w:w="1299" w:type="dxa"/>
          </w:tcPr>
          <w:p w14:paraId="295EBCBC" w14:textId="77777777"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14:paraId="295EBCBD"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14:paraId="295EBCB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BF" w14:textId="77777777"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295EBCC7" w14:textId="77777777">
        <w:trPr>
          <w:cantSplit/>
        </w:trPr>
        <w:tc>
          <w:tcPr>
            <w:tcW w:w="1299" w:type="dxa"/>
          </w:tcPr>
          <w:p w14:paraId="295EBCC2"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3" w14:textId="77777777"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14:paraId="295EBCC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5" w14:textId="77777777"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14:paraId="295EBCC6" w14:textId="77777777" w:rsidR="00093540" w:rsidRDefault="00A045BC">
            <w:pPr>
              <w:pStyle w:val="Textkrper"/>
              <w:rPr>
                <w:rFonts w:ascii="Calibri" w:hAnsi="Calibri" w:cs="Calibri"/>
                <w:lang w:eastAsia="en-US"/>
              </w:rPr>
            </w:pPr>
            <w:r>
              <w:rPr>
                <w:rFonts w:ascii="Calibri" w:hAnsi="Calibri" w:cs="Calibri"/>
                <w:lang w:eastAsia="en-US"/>
              </w:rPr>
              <w:t>P004</w:t>
            </w:r>
          </w:p>
        </w:tc>
      </w:tr>
      <w:tr w:rsidR="00093540" w14:paraId="295EBCCD" w14:textId="77777777">
        <w:trPr>
          <w:cantSplit/>
        </w:trPr>
        <w:tc>
          <w:tcPr>
            <w:tcW w:w="1299" w:type="dxa"/>
          </w:tcPr>
          <w:p w14:paraId="295EBCC8"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95EBCC9" w14:textId="77777777"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14:paraId="295EBCCA"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CB" w14:textId="77777777"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14:paraId="295EBCCC" w14:textId="77777777"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14:paraId="295EBCD3" w14:textId="77777777">
        <w:trPr>
          <w:cantSplit/>
        </w:trPr>
        <w:tc>
          <w:tcPr>
            <w:tcW w:w="1299" w:type="dxa"/>
          </w:tcPr>
          <w:p w14:paraId="295EBCCE"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CF" w14:textId="77777777"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14:paraId="295EBCD0"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1" w14:textId="77777777"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093540" w:rsidRDefault="00093540">
            <w:pPr>
              <w:pStyle w:val="Textkrper"/>
              <w:rPr>
                <w:rFonts w:ascii="Calibri" w:hAnsi="Calibri" w:cs="Calibri"/>
                <w:lang w:eastAsia="en-US"/>
              </w:rPr>
            </w:pPr>
          </w:p>
        </w:tc>
      </w:tr>
      <w:tr w:rsidR="00093540" w14:paraId="295EBCD9" w14:textId="77777777">
        <w:trPr>
          <w:cantSplit/>
        </w:trPr>
        <w:tc>
          <w:tcPr>
            <w:tcW w:w="1299" w:type="dxa"/>
          </w:tcPr>
          <w:p w14:paraId="295EBCD4"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5" w14:textId="77777777"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14:paraId="295EBCD6"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7" w14:textId="77777777"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093540" w:rsidRDefault="00093540">
            <w:pPr>
              <w:pStyle w:val="Textkrper"/>
              <w:rPr>
                <w:rFonts w:ascii="Calibri" w:hAnsi="Calibri" w:cs="Calibri"/>
                <w:lang w:eastAsia="en-US"/>
              </w:rPr>
            </w:pPr>
          </w:p>
        </w:tc>
      </w:tr>
      <w:tr w:rsidR="00093540" w14:paraId="295EBCDF" w14:textId="77777777">
        <w:trPr>
          <w:cantSplit/>
        </w:trPr>
        <w:tc>
          <w:tcPr>
            <w:tcW w:w="1299" w:type="dxa"/>
          </w:tcPr>
          <w:p w14:paraId="295EBCDA"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DB" w14:textId="77777777"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14:paraId="295EBCDC"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295EBCDD" w14:textId="77777777"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093540" w:rsidRDefault="00093540">
            <w:pPr>
              <w:pStyle w:val="Textkrper"/>
              <w:rPr>
                <w:rFonts w:ascii="Calibri" w:hAnsi="Calibri" w:cs="Calibri"/>
                <w:lang w:eastAsia="en-US"/>
              </w:rPr>
            </w:pPr>
          </w:p>
        </w:tc>
      </w:tr>
      <w:tr w:rsidR="00093540" w14:paraId="295EBCE5" w14:textId="77777777">
        <w:trPr>
          <w:cantSplit/>
        </w:trPr>
        <w:tc>
          <w:tcPr>
            <w:tcW w:w="1299" w:type="dxa"/>
          </w:tcPr>
          <w:p w14:paraId="295EBCE0"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1"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14:paraId="295EBCE2"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3" w14:textId="77777777"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093540" w:rsidRDefault="00A045BC">
            <w:pPr>
              <w:pStyle w:val="Textkrper"/>
              <w:rPr>
                <w:rFonts w:ascii="Calibri" w:hAnsi="Calibri" w:cs="Calibri"/>
                <w:lang w:eastAsia="en-US"/>
              </w:rPr>
            </w:pPr>
            <w:r>
              <w:rPr>
                <w:rFonts w:ascii="Calibri" w:hAnsi="Calibri" w:cs="Calibri"/>
                <w:lang w:eastAsia="en-US"/>
              </w:rPr>
              <w:t>P003</w:t>
            </w:r>
          </w:p>
        </w:tc>
      </w:tr>
      <w:tr w:rsidR="00093540" w14:paraId="295EBCEB" w14:textId="77777777">
        <w:trPr>
          <w:cantSplit/>
        </w:trPr>
        <w:tc>
          <w:tcPr>
            <w:tcW w:w="1299" w:type="dxa"/>
          </w:tcPr>
          <w:p w14:paraId="295EBCE6"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7" w14:textId="77777777"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14:paraId="295EBCE8"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E9" w14:textId="77777777"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093540" w:rsidRDefault="00A045BC">
            <w:pPr>
              <w:pStyle w:val="Textkrper"/>
              <w:rPr>
                <w:rFonts w:ascii="Calibri" w:hAnsi="Calibri" w:cs="Calibri"/>
                <w:lang w:eastAsia="en-US"/>
              </w:rPr>
            </w:pPr>
            <w:r>
              <w:rPr>
                <w:rFonts w:ascii="Calibri" w:hAnsi="Calibri" w:cs="Calibri"/>
                <w:lang w:eastAsia="en-US"/>
              </w:rPr>
              <w:t>P007</w:t>
            </w:r>
          </w:p>
        </w:tc>
      </w:tr>
      <w:tr w:rsidR="00093540" w14:paraId="295EBCF1" w14:textId="77777777">
        <w:trPr>
          <w:cantSplit/>
        </w:trPr>
        <w:tc>
          <w:tcPr>
            <w:tcW w:w="1299" w:type="dxa"/>
          </w:tcPr>
          <w:p w14:paraId="295EBCEC"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ED" w14:textId="77777777"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14:paraId="295EBCEE"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EF" w14:textId="77777777"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093540" w:rsidRDefault="00093540">
            <w:pPr>
              <w:pStyle w:val="Textkrper"/>
              <w:rPr>
                <w:rFonts w:ascii="Calibri" w:hAnsi="Calibri" w:cs="Calibri"/>
                <w:lang w:eastAsia="en-US"/>
              </w:rPr>
            </w:pPr>
          </w:p>
        </w:tc>
      </w:tr>
      <w:tr w:rsidR="00093540" w14:paraId="295EBCF7" w14:textId="77777777">
        <w:trPr>
          <w:cantSplit/>
        </w:trPr>
        <w:tc>
          <w:tcPr>
            <w:tcW w:w="1299" w:type="dxa"/>
          </w:tcPr>
          <w:p w14:paraId="295EBCF2"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95EBCF3" w14:textId="77777777"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14:paraId="295EBCF4"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CF5" w14:textId="77777777"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093540" w:rsidRDefault="00A045BC">
            <w:pPr>
              <w:pStyle w:val="Textkrper"/>
              <w:rPr>
                <w:rFonts w:ascii="Calibri" w:hAnsi="Calibri" w:cs="Calibri"/>
                <w:lang w:eastAsia="en-US"/>
              </w:rPr>
            </w:pPr>
            <w:r>
              <w:rPr>
                <w:rFonts w:ascii="Calibri" w:hAnsi="Calibri" w:cs="Calibri"/>
                <w:lang w:eastAsia="en-US"/>
              </w:rPr>
              <w:t>P005</w:t>
            </w:r>
          </w:p>
        </w:tc>
      </w:tr>
      <w:tr w:rsidR="00093540" w14:paraId="295EBCFD" w14:textId="77777777">
        <w:trPr>
          <w:cantSplit/>
        </w:trPr>
        <w:tc>
          <w:tcPr>
            <w:tcW w:w="1299" w:type="dxa"/>
          </w:tcPr>
          <w:p w14:paraId="295EBCF8"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9" w14:textId="77777777"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14:paraId="295EBCFA"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CFB" w14:textId="77777777"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093540" w:rsidRDefault="00093540">
            <w:pPr>
              <w:pStyle w:val="Textkrper"/>
              <w:rPr>
                <w:rFonts w:ascii="Calibri" w:hAnsi="Calibri" w:cs="Calibri"/>
                <w:lang w:eastAsia="en-US"/>
              </w:rPr>
            </w:pPr>
          </w:p>
        </w:tc>
      </w:tr>
      <w:tr w:rsidR="00093540" w14:paraId="295EBD03" w14:textId="77777777">
        <w:trPr>
          <w:cantSplit/>
        </w:trPr>
        <w:tc>
          <w:tcPr>
            <w:tcW w:w="1299" w:type="dxa"/>
          </w:tcPr>
          <w:p w14:paraId="295EBCFE"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CFF" w14:textId="77777777"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14:paraId="295EBD00" w14:textId="77777777"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14:paraId="295EBD01" w14:textId="77777777"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093540" w:rsidRDefault="00A045BC">
            <w:pPr>
              <w:pStyle w:val="Textkrper"/>
              <w:rPr>
                <w:rFonts w:ascii="Calibri" w:hAnsi="Calibri" w:cs="Calibri"/>
                <w:lang w:eastAsia="en-US"/>
              </w:rPr>
            </w:pPr>
            <w:r>
              <w:rPr>
                <w:rFonts w:ascii="Calibri" w:hAnsi="Calibri" w:cs="Calibri"/>
                <w:lang w:eastAsia="en-US"/>
              </w:rPr>
              <w:t>P009</w:t>
            </w:r>
          </w:p>
        </w:tc>
      </w:tr>
      <w:tr w:rsidR="00093540" w14:paraId="295EBD09" w14:textId="77777777">
        <w:trPr>
          <w:cantSplit/>
        </w:trPr>
        <w:tc>
          <w:tcPr>
            <w:tcW w:w="1299" w:type="dxa"/>
          </w:tcPr>
          <w:p w14:paraId="295EBD04"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5" w14:textId="77777777"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14:paraId="295EBD06"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95EBD07" w14:textId="77777777"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093540" w:rsidRDefault="00093540">
            <w:pPr>
              <w:pStyle w:val="Textkrper"/>
              <w:rPr>
                <w:rFonts w:ascii="Calibri" w:hAnsi="Calibri" w:cs="Calibri"/>
                <w:lang w:eastAsia="en-US"/>
              </w:rPr>
            </w:pPr>
          </w:p>
        </w:tc>
      </w:tr>
      <w:tr w:rsidR="00093540" w14:paraId="295EBD0F" w14:textId="77777777">
        <w:trPr>
          <w:cantSplit/>
        </w:trPr>
        <w:tc>
          <w:tcPr>
            <w:tcW w:w="1299" w:type="dxa"/>
          </w:tcPr>
          <w:p w14:paraId="295EBD0A"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0B" w14:textId="77777777"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14:paraId="295EBD0C"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295EBD0D" w14:textId="77777777"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295EBD15" w14:textId="77777777">
        <w:trPr>
          <w:cantSplit/>
        </w:trPr>
        <w:tc>
          <w:tcPr>
            <w:tcW w:w="1299" w:type="dxa"/>
          </w:tcPr>
          <w:p w14:paraId="295EBD10"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1" w14:textId="77777777"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14:paraId="295EBD12" w14:textId="77777777"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14:paraId="295EBD13" w14:textId="77777777"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093540" w:rsidRDefault="00093540">
            <w:pPr>
              <w:pStyle w:val="Textkrper"/>
              <w:rPr>
                <w:rFonts w:ascii="Calibri" w:hAnsi="Calibri" w:cs="Calibri"/>
                <w:lang w:eastAsia="en-US"/>
              </w:rPr>
            </w:pPr>
          </w:p>
        </w:tc>
      </w:tr>
      <w:tr w:rsidR="00093540" w14:paraId="295EBD1B" w14:textId="77777777">
        <w:trPr>
          <w:cantSplit/>
        </w:trPr>
        <w:tc>
          <w:tcPr>
            <w:tcW w:w="1299" w:type="dxa"/>
          </w:tcPr>
          <w:p w14:paraId="295EBD16" w14:textId="77777777"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14:paraId="295EBD17" w14:textId="77777777"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14:paraId="295EBD18"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295EBD19" w14:textId="77777777"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95EBD21" w14:textId="77777777">
        <w:trPr>
          <w:cantSplit/>
        </w:trPr>
        <w:tc>
          <w:tcPr>
            <w:tcW w:w="1299" w:type="dxa"/>
          </w:tcPr>
          <w:p w14:paraId="295EBD1C"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95EBD1D" w14:textId="77777777"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14:paraId="295EBD1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295EBD1F" w14:textId="77777777"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093540" w:rsidRDefault="00093540">
            <w:pPr>
              <w:pStyle w:val="Textkrper"/>
              <w:keepNext/>
              <w:rPr>
                <w:rFonts w:ascii="Calibri" w:hAnsi="Calibri" w:cs="Calibri"/>
                <w:lang w:eastAsia="en-US"/>
              </w:rPr>
            </w:pPr>
          </w:p>
        </w:tc>
      </w:tr>
    </w:tbl>
    <w:p w14:paraId="295EBD22" w14:textId="77777777" w:rsidR="00093540" w:rsidRDefault="00093540">
      <w:pPr>
        <w:pStyle w:val="Beschriftung"/>
      </w:pPr>
    </w:p>
    <w:p w14:paraId="2D02FCA2" w14:textId="7641AD03" w:rsidR="00DF345C" w:rsidRDefault="00AD0E1B" w:rsidP="005B0A17">
      <w:pPr>
        <w:pStyle w:val="berschrift2"/>
      </w:pPr>
      <w:bookmarkStart w:id="100" w:name="_Toc128564147"/>
      <w:r>
        <w:t>Process Control</w:t>
      </w:r>
      <w:r w:rsidR="00DF345C">
        <w:t>: Tendering Message Response</w:t>
      </w:r>
      <w:r w:rsidR="00771192">
        <w:t xml:space="preserve"> (TMR)</w:t>
      </w:r>
      <w:bookmarkEnd w:id="100"/>
    </w:p>
    <w:p w14:paraId="66A2A01A" w14:textId="77777777" w:rsidR="00DF345C" w:rsidRDefault="00DF345C" w:rsidP="00DF345C"/>
    <w:p w14:paraId="0E1C2261" w14:textId="7777777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Open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01"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01"/>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5C6BCDB2" w:rsidR="005B0A17" w:rsidRDefault="00771192" w:rsidP="00771192">
      <w:pPr>
        <w:pStyle w:val="Beschriftung"/>
        <w:jc w:val="center"/>
      </w:pPr>
      <w:bookmarkStart w:id="102" w:name="_Toc128564122"/>
      <w:r>
        <w:t xml:space="preserve">Figure </w:t>
      </w:r>
      <w:r>
        <w:fldChar w:fldCharType="begin"/>
      </w:r>
      <w:r>
        <w:instrText xml:space="preserve"> SEQ Figure \* ARABIC </w:instrText>
      </w:r>
      <w:r>
        <w:fldChar w:fldCharType="separate"/>
      </w:r>
      <w:r>
        <w:rPr>
          <w:noProof/>
        </w:rPr>
        <w:t>10</w:t>
      </w:r>
      <w:r>
        <w:fldChar w:fldCharType="end"/>
      </w:r>
      <w:r>
        <w:t xml:space="preserve">: </w:t>
      </w:r>
      <w:r w:rsidRPr="00C93D75">
        <w:t>Business Process Tendering Message Response</w:t>
      </w:r>
      <w:bookmarkEnd w:id="102"/>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77777777" w:rsidR="00093540" w:rsidRDefault="00A045BC">
      <w:pPr>
        <w:pStyle w:val="berschrift1"/>
      </w:pPr>
      <w:bookmarkStart w:id="103" w:name="_Toc128564148"/>
      <w:r>
        <w:lastRenderedPageBreak/>
        <w:t>Implementation of Notification &amp; Open Procedure</w:t>
      </w:r>
      <w:bookmarkEnd w:id="103"/>
      <w:r>
        <w:t xml:space="preserve"> </w:t>
      </w:r>
    </w:p>
    <w:p w14:paraId="295EBD25" w14:textId="77777777" w:rsidR="00093540" w:rsidRDefault="00A045BC">
      <w:r>
        <w:t>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04" w:name="_Toc128564149"/>
      <w:r>
        <w:t>Peppol BIS - P001 - Procurement procedure subscription</w:t>
      </w:r>
      <w:bookmarkEnd w:id="104"/>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05" w:name="_Toc128564150"/>
      <w:r>
        <w:t>Peppol BIS - P002 - Procurement document access</w:t>
      </w:r>
      <w:bookmarkEnd w:id="105"/>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06" w:name="_Toc128564151"/>
      <w:r>
        <w:t>Peppol BIS - P003 - Tender Submission</w:t>
      </w:r>
      <w:bookmarkEnd w:id="106"/>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07" w:name="_Toc128564152"/>
      <w:r>
        <w:t>Peppol BIS - P004 - Call for Tenders Question and Answers</w:t>
      </w:r>
      <w:bookmarkEnd w:id="107"/>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08" w:name="_Toc128564153"/>
      <w:r>
        <w:t>Peppol BIS - P005 - Tender Clarification</w:t>
      </w:r>
      <w:bookmarkEnd w:id="108"/>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09" w:name="_Toc128564154"/>
      <w:r>
        <w:t>Peppol BIS - P006 - Search Notices</w:t>
      </w:r>
      <w:bookmarkEnd w:id="109"/>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10" w:name="_Toc128564155"/>
      <w:r>
        <w:lastRenderedPageBreak/>
        <w:t>Peppol BIS - P007 - Tender Withdrawal</w:t>
      </w:r>
      <w:bookmarkEnd w:id="110"/>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11" w:name="_Toc128564156"/>
      <w:r>
        <w:t>Peppol BIS - P008 - Publish Notice</w:t>
      </w:r>
      <w:bookmarkEnd w:id="111"/>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12" w:name="_Toc128564157"/>
      <w:r>
        <w:t>Peppol BIS - P009 - Notify Awarding</w:t>
      </w:r>
      <w:bookmarkEnd w:id="112"/>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13" w:name="_Toc128564158"/>
      <w:r>
        <w:t>Peppol BIS - P0</w:t>
      </w:r>
      <w:r w:rsidR="00FC5831">
        <w:t>10</w:t>
      </w:r>
      <w:r>
        <w:t xml:space="preserve"> </w:t>
      </w:r>
      <w:r w:rsidR="00FC5831">
        <w:t>–</w:t>
      </w:r>
      <w:r>
        <w:t xml:space="preserve"> </w:t>
      </w:r>
      <w:r w:rsidR="00FC5831">
        <w:t>Tendering Message Response</w:t>
      </w:r>
      <w:bookmarkEnd w:id="113"/>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56C10CF7"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600C2705" w14:textId="77777777" w:rsidR="00455FAD" w:rsidRDefault="00455FAD"/>
    <w:p w14:paraId="295EBE44" w14:textId="77777777" w:rsidR="00093540" w:rsidRDefault="00A045BC">
      <w:pPr>
        <w:pStyle w:val="berschrift2"/>
      </w:pPr>
      <w:bookmarkStart w:id="114" w:name="_Toc128564159"/>
      <w:r>
        <w:lastRenderedPageBreak/>
        <w:t>Peppol Code Lists used in Notification &amp; Open Procedure</w:t>
      </w:r>
      <w:bookmarkEnd w:id="114"/>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77777777" w:rsidR="00093540" w:rsidRDefault="00000000">
            <w:hyperlink r:id="rId153"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7777777" w:rsidR="00093540" w:rsidRDefault="00000000">
            <w:hyperlink r:id="rId154"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77777777" w:rsidR="00093540" w:rsidRDefault="00000000">
            <w:hyperlink r:id="rId155"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7777777" w:rsidR="00093540" w:rsidRDefault="00000000">
            <w:hyperlink r:id="rId156"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7777777" w:rsidR="00093540" w:rsidRDefault="00000000">
            <w:hyperlink r:id="rId157"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000000">
            <w:hyperlink r:id="rId158"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000000">
            <w:hyperlink r:id="rId159"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77777777" w:rsidR="00093540" w:rsidRDefault="00000000">
            <w:hyperlink r:id="rId160"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77777777" w:rsidR="00093540" w:rsidRDefault="00000000">
            <w:hyperlink r:id="rId161"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4D7B5B89" w:rsidR="00525EA1" w:rsidRDefault="00000000" w:rsidP="00525EA1">
            <w:hyperlink r:id="rId162"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77777777" w:rsidR="00525EA1" w:rsidRDefault="00000000" w:rsidP="00525EA1">
            <w:hyperlink r:id="rId163"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t>procedureTypeCode</w:t>
            </w:r>
          </w:p>
        </w:tc>
        <w:tc>
          <w:tcPr>
            <w:tcW w:w="5714" w:type="dxa"/>
          </w:tcPr>
          <w:p w14:paraId="295EBE64" w14:textId="77777777" w:rsidR="00525EA1" w:rsidRDefault="00000000" w:rsidP="00525EA1">
            <w:hyperlink r:id="rId164"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77777777" w:rsidR="00525EA1" w:rsidRDefault="00000000" w:rsidP="00525EA1">
            <w:hyperlink r:id="rId165"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77777777" w:rsidR="00525EA1" w:rsidRDefault="00000000" w:rsidP="00525EA1">
            <w:hyperlink r:id="rId166"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77777777" w:rsidR="00525EA1" w:rsidRDefault="00000000" w:rsidP="00525EA1">
            <w:hyperlink r:id="rId167"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4CB92F2F" w:rsidR="00227D9C" w:rsidRDefault="00000000" w:rsidP="00227D9C">
            <w:hyperlink r:id="rId168"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77777777" w:rsidR="00227D9C" w:rsidRDefault="00000000" w:rsidP="00227D9C">
            <w:hyperlink r:id="rId169"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000000" w:rsidP="00227D9C">
            <w:hyperlink r:id="rId170"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77777777" w:rsidR="00227D9C" w:rsidRDefault="00000000" w:rsidP="00227D9C">
            <w:hyperlink r:id="rId171"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000000" w:rsidP="00227D9C">
            <w:hyperlink r:id="rId172"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15" w:name="_Toc128564160"/>
      <w:r>
        <w:t>Other artifacts used in Notification &amp; Open Procedure</w:t>
      </w:r>
      <w:bookmarkEnd w:id="115"/>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067FCFD8" w:rsidR="00093540" w:rsidRPr="002914AF" w:rsidRDefault="00000000">
            <w:hyperlink r:id="rId173"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301EE07C" w:rsidR="00093540" w:rsidRPr="002914AF" w:rsidRDefault="00000000">
            <w:hyperlink r:id="rId174"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000000">
            <w:hyperlink r:id="rId175"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77777777" w:rsidR="00093540" w:rsidRPr="002914AF" w:rsidRDefault="00000000">
            <w:hyperlink r:id="rId176"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000000">
            <w:hyperlink r:id="rId177"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16" w:name="_Toc128564161"/>
      <w:r>
        <w:lastRenderedPageBreak/>
        <w:t>External References</w:t>
      </w:r>
      <w:bookmarkEnd w:id="91"/>
      <w:bookmarkEnd w:id="92"/>
      <w:bookmarkEnd w:id="93"/>
      <w:bookmarkEnd w:id="94"/>
      <w:bookmarkEnd w:id="95"/>
      <w:bookmarkEnd w:id="96"/>
      <w:bookmarkEnd w:id="97"/>
      <w:bookmarkEnd w:id="98"/>
      <w:bookmarkEnd w:id="116"/>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000000">
            <w:pPr>
              <w:rPr>
                <w:rFonts w:cs="Calibri"/>
                <w:sz w:val="20"/>
                <w:szCs w:val="20"/>
                <w:lang w:val="en-GB" w:eastAsia="de-DE"/>
              </w:rPr>
            </w:pPr>
            <w:hyperlink r:id="rId178"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000000">
            <w:pPr>
              <w:rPr>
                <w:rFonts w:cs="Calibri"/>
                <w:sz w:val="20"/>
                <w:szCs w:val="20"/>
                <w:lang w:val="nl-NL" w:eastAsia="de-DE"/>
              </w:rPr>
            </w:pPr>
            <w:hyperlink r:id="rId179"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000000">
            <w:pPr>
              <w:widowControl w:val="0"/>
              <w:spacing w:before="34"/>
              <w:ind w:right="113"/>
              <w:rPr>
                <w:rFonts w:cs="Calibri"/>
                <w:color w:val="000000"/>
                <w:sz w:val="20"/>
                <w:szCs w:val="20"/>
                <w:lang w:val="en-GB"/>
              </w:rPr>
            </w:pPr>
            <w:hyperlink r:id="rId180"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000000">
            <w:pPr>
              <w:rPr>
                <w:rStyle w:val="Hyperlink"/>
                <w:rFonts w:cs="Calibri"/>
                <w:sz w:val="20"/>
                <w:szCs w:val="20"/>
                <w:lang w:val="en-GB" w:eastAsia="de-DE"/>
              </w:rPr>
            </w:pPr>
            <w:hyperlink r:id="rId181"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000000">
            <w:pPr>
              <w:widowControl w:val="0"/>
              <w:spacing w:before="34"/>
              <w:ind w:right="113"/>
              <w:rPr>
                <w:rFonts w:cs="Calibri"/>
                <w:color w:val="000000"/>
                <w:sz w:val="20"/>
                <w:szCs w:val="20"/>
                <w:lang w:val="en-GB"/>
              </w:rPr>
            </w:pPr>
            <w:hyperlink r:id="rId182"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000000">
            <w:pPr>
              <w:rPr>
                <w:rFonts w:cs="Calibri"/>
                <w:sz w:val="20"/>
                <w:szCs w:val="20"/>
                <w:lang w:val="nl-NL" w:eastAsia="de-DE"/>
              </w:rPr>
            </w:pPr>
            <w:hyperlink r:id="rId183"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000000">
            <w:pPr>
              <w:rPr>
                <w:rFonts w:cs="Calibri"/>
                <w:sz w:val="20"/>
                <w:szCs w:val="20"/>
                <w:lang w:val="nl-NL" w:eastAsia="de-DE"/>
              </w:rPr>
            </w:pPr>
            <w:hyperlink r:id="rId184"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000000">
            <w:pPr>
              <w:rPr>
                <w:rFonts w:cs="Calibri"/>
                <w:sz w:val="20"/>
                <w:szCs w:val="20"/>
                <w:lang w:val="nl-NL" w:eastAsia="de-DE"/>
              </w:rPr>
            </w:pPr>
            <w:hyperlink r:id="rId185"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000000">
            <w:pPr>
              <w:rPr>
                <w:rFonts w:cs="Calibri"/>
                <w:sz w:val="20"/>
                <w:szCs w:val="20"/>
                <w:lang w:val="nl-NL" w:eastAsia="de-DE"/>
              </w:rPr>
            </w:pPr>
            <w:hyperlink r:id="rId186"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000000">
            <w:pPr>
              <w:rPr>
                <w:rFonts w:cs="Calibri"/>
                <w:sz w:val="20"/>
                <w:szCs w:val="20"/>
                <w:lang w:val="nl-NL" w:eastAsia="de-DE"/>
              </w:rPr>
            </w:pPr>
            <w:hyperlink r:id="rId187"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000000">
            <w:pPr>
              <w:rPr>
                <w:rFonts w:cs="Calibri"/>
                <w:sz w:val="20"/>
                <w:szCs w:val="20"/>
                <w:lang w:val="nl-NL" w:eastAsia="de-DE"/>
              </w:rPr>
            </w:pPr>
            <w:hyperlink r:id="rId188"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000000">
            <w:pPr>
              <w:rPr>
                <w:rFonts w:cs="Calibri"/>
                <w:color w:val="000000"/>
                <w:sz w:val="20"/>
                <w:szCs w:val="20"/>
              </w:rPr>
            </w:pPr>
            <w:hyperlink r:id="rId189"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000000">
            <w:pPr>
              <w:rPr>
                <w:rFonts w:cs="Calibri"/>
                <w:sz w:val="20"/>
                <w:szCs w:val="20"/>
                <w:lang w:val="nl-NL" w:eastAsia="de-DE"/>
              </w:rPr>
            </w:pPr>
            <w:hyperlink r:id="rId190"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000000">
            <w:pPr>
              <w:rPr>
                <w:rFonts w:cs="Calibri"/>
                <w:sz w:val="20"/>
                <w:szCs w:val="20"/>
                <w:lang w:val="nl-NL" w:eastAsia="de-DE"/>
              </w:rPr>
            </w:pPr>
            <w:hyperlink r:id="rId191"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AAAE" w14:textId="77777777" w:rsidR="006F1B99" w:rsidRDefault="006F1B99">
      <w:r>
        <w:separator/>
      </w:r>
    </w:p>
  </w:endnote>
  <w:endnote w:type="continuationSeparator" w:id="0">
    <w:p w14:paraId="21CA7558" w14:textId="77777777" w:rsidR="006F1B99" w:rsidRDefault="006F1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52D7C" w14:textId="77777777" w:rsidR="006F1B99" w:rsidRDefault="006F1B99">
      <w:r>
        <w:separator/>
      </w:r>
    </w:p>
  </w:footnote>
  <w:footnote w:type="continuationSeparator" w:id="0">
    <w:p w14:paraId="6093F4B9" w14:textId="77777777" w:rsidR="006F1B99" w:rsidRDefault="006F1B99">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AB5EB51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8"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0"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0"/>
  </w:num>
  <w:num w:numId="4" w16cid:durableId="193542287">
    <w:abstractNumId w:val="12"/>
  </w:num>
  <w:num w:numId="5" w16cid:durableId="713432336">
    <w:abstractNumId w:val="8"/>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1"/>
  </w:num>
  <w:num w:numId="11" w16cid:durableId="2028746957">
    <w:abstractNumId w:val="13"/>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6"/>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7"/>
  </w:num>
  <w:num w:numId="37" w16cid:durableId="1891726718">
    <w:abstractNumId w:val="0"/>
  </w:num>
  <w:num w:numId="38" w16cid:durableId="1771196302">
    <w:abstractNumId w:val="9"/>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6F07"/>
    <w:rsid w:val="00011497"/>
    <w:rsid w:val="00053332"/>
    <w:rsid w:val="000555C0"/>
    <w:rsid w:val="00063FBC"/>
    <w:rsid w:val="00071855"/>
    <w:rsid w:val="00073248"/>
    <w:rsid w:val="00093540"/>
    <w:rsid w:val="000D00DB"/>
    <w:rsid w:val="00121451"/>
    <w:rsid w:val="00121E69"/>
    <w:rsid w:val="00126875"/>
    <w:rsid w:val="00130F77"/>
    <w:rsid w:val="001679CE"/>
    <w:rsid w:val="00173261"/>
    <w:rsid w:val="00196FA8"/>
    <w:rsid w:val="001B339C"/>
    <w:rsid w:val="001D1EA1"/>
    <w:rsid w:val="001D4820"/>
    <w:rsid w:val="00227D9C"/>
    <w:rsid w:val="002431A7"/>
    <w:rsid w:val="002914AF"/>
    <w:rsid w:val="002965CB"/>
    <w:rsid w:val="002A522E"/>
    <w:rsid w:val="002F313B"/>
    <w:rsid w:val="0030712E"/>
    <w:rsid w:val="00334C0A"/>
    <w:rsid w:val="003350D1"/>
    <w:rsid w:val="0034162F"/>
    <w:rsid w:val="003A513D"/>
    <w:rsid w:val="003A5ABA"/>
    <w:rsid w:val="003B556F"/>
    <w:rsid w:val="003E4518"/>
    <w:rsid w:val="003F2719"/>
    <w:rsid w:val="00415E20"/>
    <w:rsid w:val="00433017"/>
    <w:rsid w:val="004404BF"/>
    <w:rsid w:val="00455FAD"/>
    <w:rsid w:val="00471F39"/>
    <w:rsid w:val="0047367E"/>
    <w:rsid w:val="004D1134"/>
    <w:rsid w:val="004D6307"/>
    <w:rsid w:val="004E398D"/>
    <w:rsid w:val="0050026D"/>
    <w:rsid w:val="005074AB"/>
    <w:rsid w:val="00525EA1"/>
    <w:rsid w:val="00541FC0"/>
    <w:rsid w:val="005532E7"/>
    <w:rsid w:val="00566AAA"/>
    <w:rsid w:val="005B0A17"/>
    <w:rsid w:val="00614208"/>
    <w:rsid w:val="00616846"/>
    <w:rsid w:val="00683ADD"/>
    <w:rsid w:val="006C12D8"/>
    <w:rsid w:val="006C7633"/>
    <w:rsid w:val="006F1B99"/>
    <w:rsid w:val="00724101"/>
    <w:rsid w:val="00747E01"/>
    <w:rsid w:val="00771192"/>
    <w:rsid w:val="00785A0C"/>
    <w:rsid w:val="00787078"/>
    <w:rsid w:val="007A14CD"/>
    <w:rsid w:val="007B3D98"/>
    <w:rsid w:val="007C0688"/>
    <w:rsid w:val="00857F1B"/>
    <w:rsid w:val="008F694F"/>
    <w:rsid w:val="00913E34"/>
    <w:rsid w:val="009232C4"/>
    <w:rsid w:val="009341C9"/>
    <w:rsid w:val="00935197"/>
    <w:rsid w:val="009E1EED"/>
    <w:rsid w:val="00A045BC"/>
    <w:rsid w:val="00A20A8C"/>
    <w:rsid w:val="00A61CBC"/>
    <w:rsid w:val="00AD0E1B"/>
    <w:rsid w:val="00AD22A9"/>
    <w:rsid w:val="00B059F5"/>
    <w:rsid w:val="00B2636D"/>
    <w:rsid w:val="00B33D02"/>
    <w:rsid w:val="00BC1892"/>
    <w:rsid w:val="00C1736C"/>
    <w:rsid w:val="00C53801"/>
    <w:rsid w:val="00C641AF"/>
    <w:rsid w:val="00C738BD"/>
    <w:rsid w:val="00CB2F7A"/>
    <w:rsid w:val="00CE60F2"/>
    <w:rsid w:val="00CF493B"/>
    <w:rsid w:val="00DF345C"/>
    <w:rsid w:val="00E070B0"/>
    <w:rsid w:val="00E218B9"/>
    <w:rsid w:val="00E23A83"/>
    <w:rsid w:val="00E5407C"/>
    <w:rsid w:val="00EB742D"/>
    <w:rsid w:val="00ED6681"/>
    <w:rsid w:val="00EE41FC"/>
    <w:rsid w:val="00F05C59"/>
    <w:rsid w:val="00F07777"/>
    <w:rsid w:val="00F53981"/>
    <w:rsid w:val="00F976C0"/>
    <w:rsid w:val="00FC0EF9"/>
    <w:rsid w:val="00FC5831"/>
    <w:rsid w:val="00FD0B3B"/>
    <w:rsid w:val="00FD0E17"/>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link w:val="Kommentartext"/>
    <w:uiPriority w:val="99"/>
    <w:semiHidden/>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4/index.html" TargetMode="External"/><Relationship Id="rId21" Type="http://schemas.openxmlformats.org/officeDocument/2006/relationships/hyperlink" Target="https://peppol.eu/what-is-peppol/peppol-transport-infrastructure/" TargetMode="External"/><Relationship Id="rId42" Type="http://schemas.openxmlformats.org/officeDocument/2006/relationships/hyperlink" Target="https://standards.cencenelec.eu/dyn/www/f?p=205:110:0::::FSP_PROJECT:62030&amp;cs=137D249EEF9A0B7DF6DAD668A740CA477" TargetMode="External"/><Relationship Id="rId63" Type="http://schemas.openxmlformats.org/officeDocument/2006/relationships/hyperlink" Target="https://docs.peppol.eu/pracc/profiles/p009/index.html" TargetMode="External"/><Relationship Id="rId84" Type="http://schemas.openxmlformats.org/officeDocument/2006/relationships/image" Target="media/image7.png"/><Relationship Id="rId138" Type="http://schemas.openxmlformats.org/officeDocument/2006/relationships/hyperlink" Target="https://docs.peppol.eu/pracc/rules/T014/" TargetMode="External"/><Relationship Id="rId159" Type="http://schemas.openxmlformats.org/officeDocument/2006/relationships/hyperlink" Target="https://docs.peppol.eu/pracc/codelist/ICD/" TargetMode="External"/><Relationship Id="rId170" Type="http://schemas.openxmlformats.org/officeDocument/2006/relationships/hyperlink" Target="https://docs.peppol.eu/pracc/codelist/submissionMethod/" TargetMode="External"/><Relationship Id="rId191" Type="http://schemas.openxmlformats.org/officeDocument/2006/relationships/hyperlink" Target="https://docs.peppol.eu/pracc/files/BIS-eDocuments-guide-for-pre-award-v1.3.pdf" TargetMode="External"/><Relationship Id="rId107" Type="http://schemas.openxmlformats.org/officeDocument/2006/relationships/hyperlink" Target="https://docs.peppol.eu/pracc/rules/T004/" TargetMode="External"/><Relationship Id="rId11" Type="http://schemas.openxmlformats.org/officeDocument/2006/relationships/header" Target="header1.xml"/><Relationship Id="rId32" Type="http://schemas.openxmlformats.org/officeDocument/2006/relationships/hyperlink" Target="https://docs.peppol.eu/pracc/profiles/p002/index.html" TargetMode="External"/><Relationship Id="rId53" Type="http://schemas.openxmlformats.org/officeDocument/2006/relationships/hyperlink" Target="https://docs.peppol.eu/pracc/profiles/p007/index.html" TargetMode="External"/><Relationship Id="rId74" Type="http://schemas.openxmlformats.org/officeDocument/2006/relationships/hyperlink" Target="https://standards.cencenelec.eu/dyn/www/f?p=205:32:0::::FSP_ORG_ID,FSP_LANG_ID:2073699,25&amp;cs=1764296F93587711762A3AB227353671A" TargetMode="External"/><Relationship Id="rId128" Type="http://schemas.openxmlformats.org/officeDocument/2006/relationships/hyperlink" Target="https://docs.peppol.eu/pracc/rules/T010/" TargetMode="External"/><Relationship Id="rId149" Type="http://schemas.openxmlformats.org/officeDocument/2006/relationships/hyperlink" Target="https://docs.peppol.eu/pracc/rules/T017/" TargetMode="External"/><Relationship Id="rId5" Type="http://schemas.openxmlformats.org/officeDocument/2006/relationships/settings" Target="settings.xml"/><Relationship Id="rId95" Type="http://schemas.openxmlformats.org/officeDocument/2006/relationships/image" Target="media/image14.png"/><Relationship Id="rId160" Type="http://schemas.openxmlformats.org/officeDocument/2006/relationships/hyperlink" Target="https://docs.peppol.eu/pracc/codelist/ISO3166/" TargetMode="External"/><Relationship Id="rId181" Type="http://schemas.openxmlformats.org/officeDocument/2006/relationships/hyperlink" Target="https://standards.cencenelec.eu/dyn/www/f?p=205:110:0::::FSP_PROJECT:62029&amp;cs=16BDCBBEBAE1A6A235013E1B31A0B78D6" TargetMode="External"/><Relationship Id="rId22" Type="http://schemas.openxmlformats.org/officeDocument/2006/relationships/hyperlink" Target="https://peppol.eu/what-is-peppol/peppol-profiles-specifications/" TargetMode="External"/><Relationship Id="rId43" Type="http://schemas.openxmlformats.org/officeDocument/2006/relationships/hyperlink" Target="https://docs.peppol.eu/pracc/transactions/T007/index.html" TargetMode="External"/><Relationship Id="rId64" Type="http://schemas.openxmlformats.org/officeDocument/2006/relationships/hyperlink" Target="https://standards.cencenelec.eu/dyn/www/f?p=205:110:0::::FSP_PROJECT:62038&amp;cs=1438046879E98863C8263389E46ED47C4" TargetMode="External"/><Relationship Id="rId118" Type="http://schemas.openxmlformats.org/officeDocument/2006/relationships/hyperlink" Target="https://docs.peppol.eu/pracc/syntax/TenderingQuestions/tree/" TargetMode="External"/><Relationship Id="rId139" Type="http://schemas.openxmlformats.org/officeDocument/2006/relationships/hyperlink" Target="https://docs.peppol.eu/pracc/syntax/TenderWithdrawalResponse/tree/" TargetMode="External"/><Relationship Id="rId85" Type="http://schemas.openxmlformats.org/officeDocument/2006/relationships/image" Target="media/image8.png"/><Relationship Id="rId150" Type="http://schemas.openxmlformats.org/officeDocument/2006/relationships/hyperlink" Target="https://docs.peppol.eu/pracc/profiles/p010/index.html" TargetMode="External"/><Relationship Id="rId171" Type="http://schemas.openxmlformats.org/officeDocument/2006/relationships/hyperlink" Target="https://docs.peppol.eu/pracc/codelist/ublDocumentSchema/" TargetMode="External"/><Relationship Id="rId192" Type="http://schemas.openxmlformats.org/officeDocument/2006/relationships/fontTable" Target="fontTable.xml"/><Relationship Id="rId12" Type="http://schemas.openxmlformats.org/officeDocument/2006/relationships/footer" Target="footer1.xml"/><Relationship Id="rId33" Type="http://schemas.openxmlformats.org/officeDocument/2006/relationships/hyperlink" Target="https://standards.cencenelec.eu/dyn/www/f?p=205:110:0::::FSP_PROJECT:62055&amp;cs=1FA2AB7C9A0F601605C549112B7B93DA3" TargetMode="External"/><Relationship Id="rId108" Type="http://schemas.openxmlformats.org/officeDocument/2006/relationships/hyperlink" Target="https://docs.peppol.eu/pracc/rules/BIIT004/" TargetMode="External"/><Relationship Id="rId129" Type="http://schemas.openxmlformats.org/officeDocument/2006/relationships/hyperlink" Target="https://docs.peppol.eu/pracc/profiles/p006/index.html" TargetMode="External"/><Relationship Id="rId54" Type="http://schemas.openxmlformats.org/officeDocument/2006/relationships/hyperlink" Target="https://standards.cencenelec.eu/dyn/www/f?p=205:110:0::::FSP_PROJECT:62035&amp;cs=15E8443FF9806B2D1F6675A41EA29930F" TargetMode="External"/><Relationship Id="rId75" Type="http://schemas.openxmlformats.org/officeDocument/2006/relationships/hyperlink" Target="https://eur-lex.europa.eu/eli/reg_impl/2016/7/oj" TargetMode="External"/><Relationship Id="rId96" Type="http://schemas.openxmlformats.org/officeDocument/2006/relationships/hyperlink" Target="https://docs.peppol.eu/pracc/profiles/p001/index.html" TargetMode="External"/><Relationship Id="rId140" Type="http://schemas.openxmlformats.org/officeDocument/2006/relationships/hyperlink" Target="https://docs.peppol.eu/pracc/rules/T014/" TargetMode="External"/><Relationship Id="rId161" Type="http://schemas.openxmlformats.org/officeDocument/2006/relationships/hyperlink" Target="https://docs.peppol.eu/pracc/codelist/legalBasis/" TargetMode="External"/><Relationship Id="rId182" Type="http://schemas.openxmlformats.org/officeDocument/2006/relationships/hyperlink" Target="https://standards.cencenelec.eu/dyn/www/f?p=205:32:0::::FSP_ORG_ID,FSP_LANG_ID:2073699,25&amp;cs=1764296F93587711762A3AB227353671A" TargetMode="External"/><Relationship Id="rId6" Type="http://schemas.openxmlformats.org/officeDocument/2006/relationships/webSettings" Target="webSettings.xml"/><Relationship Id="rId23" Type="http://schemas.openxmlformats.org/officeDocument/2006/relationships/hyperlink" Target="https://peppol.eu/downloads/pre-award/" TargetMode="External"/><Relationship Id="rId119" Type="http://schemas.openxmlformats.org/officeDocument/2006/relationships/hyperlink" Target="https://docs.peppol.eu/pracc/rules/T007/" TargetMode="External"/><Relationship Id="rId44" Type="http://schemas.openxmlformats.org/officeDocument/2006/relationships/hyperlink" Target="https://docs.peppol.eu/pracc/transactions/T008/index.html" TargetMode="External"/><Relationship Id="rId65" Type="http://schemas.openxmlformats.org/officeDocument/2006/relationships/hyperlink" Target="https://docs.peppol.eu/pracc/transactions/T017/index.html" TargetMode="External"/><Relationship Id="rId86" Type="http://schemas.openxmlformats.org/officeDocument/2006/relationships/image" Target="media/image9.png"/><Relationship Id="rId130" Type="http://schemas.openxmlformats.org/officeDocument/2006/relationships/hyperlink" Target="https://docs.peppol.eu/pracc/syntax/SearchNoticeRequest/tree/" TargetMode="External"/><Relationship Id="rId151" Type="http://schemas.openxmlformats.org/officeDocument/2006/relationships/hyperlink" Target="https://docs.peppol.eu/pracc/syntax/TenderingMessageResponse/tree/" TargetMode="External"/><Relationship Id="rId172" Type="http://schemas.openxmlformats.org/officeDocument/2006/relationships/hyperlink" Target="https://docs.peppol.eu/pracc/codelist/UNCL1001/" TargetMode="External"/><Relationship Id="rId193" Type="http://schemas.openxmlformats.org/officeDocument/2006/relationships/theme" Target="theme/theme1.xml"/><Relationship Id="rId13" Type="http://schemas.openxmlformats.org/officeDocument/2006/relationships/hyperlink" Target="https://peppol.eu/" TargetMode="External"/><Relationship Id="rId109" Type="http://schemas.openxmlformats.org/officeDocument/2006/relationships/hyperlink" Target="https://docs.peppol.eu/pracc/profiles/p003/index.html" TargetMode="External"/><Relationship Id="rId34" Type="http://schemas.openxmlformats.org/officeDocument/2006/relationships/hyperlink" Target="https://standards.cencenelec.eu/dyn/www/f?p=205:110:0::::FSP_PROJECT:62029&amp;cs=16BDCBBEBAE1A6A235013E1B31A0B78D6" TargetMode="External"/><Relationship Id="rId50" Type="http://schemas.openxmlformats.org/officeDocument/2006/relationships/hyperlink" Target="https://standards.cencenelec.eu/dyn/www/f?p=205:110:0::::FSP_PROJECT:62010&amp;cs=1628543602EFDE54C11B8136021A5621A" TargetMode="External"/><Relationship Id="rId55" Type="http://schemas.openxmlformats.org/officeDocument/2006/relationships/hyperlink" Target="https://docs.peppol.eu/pracc/transactions/T013/index.html" TargetMode="External"/><Relationship Id="rId76" Type="http://schemas.openxmlformats.org/officeDocument/2006/relationships/hyperlink" Target="https://github.com/OP-TED/ESPD-EDM" TargetMode="External"/><Relationship Id="rId97" Type="http://schemas.openxmlformats.org/officeDocument/2006/relationships/hyperlink" Target="https://docs.peppol.eu/pracc/syntax/ExpressionOfInterestRequest/tree/" TargetMode="External"/><Relationship Id="rId104" Type="http://schemas.openxmlformats.org/officeDocument/2006/relationships/hyperlink" Target="https://docs.peppol.eu/pracc/rules/T003/" TargetMode="External"/><Relationship Id="rId120" Type="http://schemas.openxmlformats.org/officeDocument/2006/relationships/hyperlink" Target="https://docs.peppol.eu/pracc/rules/T008/" TargetMode="External"/><Relationship Id="rId125" Type="http://schemas.openxmlformats.org/officeDocument/2006/relationships/hyperlink" Target="https://docs.peppol.eu/pracc/rules/T009/" TargetMode="External"/><Relationship Id="rId141" Type="http://schemas.openxmlformats.org/officeDocument/2006/relationships/hyperlink" Target="https://docs.peppol.eu/pracc/profiles/p008/index.html" TargetMode="External"/><Relationship Id="rId146" Type="http://schemas.openxmlformats.org/officeDocument/2006/relationships/hyperlink" Target="https://docs.peppol.eu/pracc/rules/T016/" TargetMode="External"/><Relationship Id="rId167" Type="http://schemas.openxmlformats.org/officeDocument/2006/relationships/hyperlink" Target="https://docs.peppol.eu/pracc/codelist/statusReason/" TargetMode="External"/><Relationship Id="rId188" Type="http://schemas.openxmlformats.org/officeDocument/2006/relationships/hyperlink" Target="https://peppol.org/learn-more/pre-award-documentation/" TargetMode="External"/><Relationship Id="rId7" Type="http://schemas.openxmlformats.org/officeDocument/2006/relationships/footnotes" Target="footnotes.xml"/><Relationship Id="rId71" Type="http://schemas.openxmlformats.org/officeDocument/2006/relationships/hyperlink" Target="https://eur-lex.europa.eu/legal-content/DE/TXT/?uri=CELEX%3A32014L0025" TargetMode="External"/><Relationship Id="rId92" Type="http://schemas.openxmlformats.org/officeDocument/2006/relationships/header" Target="header4.xml"/><Relationship Id="rId162" Type="http://schemas.openxmlformats.org/officeDocument/2006/relationships/hyperlink" Target="https://docs.peppol.eu/pracc/codelist/legalBasis/" TargetMode="External"/><Relationship Id="rId183" Type="http://schemas.openxmlformats.org/officeDocument/2006/relationships/hyperlink" Target="https://eur-lex.europa.eu/eli/reg_impl/2019/1780/oj" TargetMode="External"/><Relationship Id="rId2" Type="http://schemas.openxmlformats.org/officeDocument/2006/relationships/customXml" Target="../customXml/item2.xml"/><Relationship Id="rId29" Type="http://schemas.openxmlformats.org/officeDocument/2006/relationships/hyperlink" Target="https://standards.cencenelec.eu/dyn/www/f?p=205:110:0::::FSP_PROJECT:62028&amp;cs=16B7CFE594685D73AD82275DFFE3FCC55" TargetMode="External"/><Relationship Id="rId24" Type="http://schemas.openxmlformats.org/officeDocument/2006/relationships/hyperlink" Target="https://docs.peppol.eu/pracc/" TargetMode="External"/><Relationship Id="rId40" Type="http://schemas.openxmlformats.org/officeDocument/2006/relationships/hyperlink" Target="https://docs.peppol.eu/pracc/transactions/T006/index.html" TargetMode="External"/><Relationship Id="rId45" Type="http://schemas.openxmlformats.org/officeDocument/2006/relationships/hyperlink" Target="https://docs.peppol.eu/pracc/profiles/p005/index.html" TargetMode="External"/><Relationship Id="rId66" Type="http://schemas.openxmlformats.org/officeDocument/2006/relationships/hyperlink" Target="https://docs.peppol.eu/pracc/profiles/p010/index.html" TargetMode="External"/><Relationship Id="rId87" Type="http://schemas.openxmlformats.org/officeDocument/2006/relationships/image" Target="media/image10.png"/><Relationship Id="rId110" Type="http://schemas.openxmlformats.org/officeDocument/2006/relationships/hyperlink" Target="https://docs.peppol.eu/pracc/syntax/TenderStatusRequest/tree/" TargetMode="External"/><Relationship Id="rId115" Type="http://schemas.openxmlformats.org/officeDocument/2006/relationships/hyperlink" Target="https://docs.peppol.eu/pracc/rules/T006/" TargetMode="External"/><Relationship Id="rId131" Type="http://schemas.openxmlformats.org/officeDocument/2006/relationships/hyperlink" Target="https://docs.peppol.eu/pracc/rules/T011/" TargetMode="External"/><Relationship Id="rId136" Type="http://schemas.openxmlformats.org/officeDocument/2006/relationships/hyperlink" Target="https://docs.peppol.eu/pracc/syntax/TenderWithdrawalRequest/tree/" TargetMode="External"/><Relationship Id="rId157" Type="http://schemas.openxmlformats.org/officeDocument/2006/relationships/hyperlink" Target="https://docs.peppol.eu/pracc/codelist/docType/" TargetMode="External"/><Relationship Id="rId178" Type="http://schemas.openxmlformats.org/officeDocument/2006/relationships/hyperlink" Target="https://eur-lex.europa.eu/legal-content/DE/TXT/?uri=CELEX%3A32014L0024" TargetMode="External"/><Relationship Id="rId61" Type="http://schemas.openxmlformats.org/officeDocument/2006/relationships/hyperlink" Target="https://docs.peppol.eu/pracc/transactions/T015/index.html" TargetMode="External"/><Relationship Id="rId82" Type="http://schemas.openxmlformats.org/officeDocument/2006/relationships/header" Target="header2.xml"/><Relationship Id="rId152" Type="http://schemas.openxmlformats.org/officeDocument/2006/relationships/hyperlink" Target="https://docs.peppol.eu/pracc/rules/T018/" TargetMode="External"/><Relationship Id="rId173" Type="http://schemas.openxmlformats.org/officeDocument/2006/relationships/hyperlink" Target="https://docs.peppol.eu/pracc/files/BIS-eDelivery-guide-for-pre-award-v1.3.pdf" TargetMode="External"/><Relationship Id="rId19" Type="http://schemas.openxmlformats.org/officeDocument/2006/relationships/hyperlink" Target="https://eur-lex.europa.eu/eli/reg_impl/2016/7/oj" TargetMode="External"/><Relationship Id="rId14" Type="http://schemas.openxmlformats.org/officeDocument/2006/relationships/hyperlink" Target="https://standards.cencenelec.eu/dyn/www/f?p=205:32:0::::FSP_ORG_ID,FSP_LANG_ID:2073699,25&amp;cs=1764296F93587711762A3AB227353671A" TargetMode="External"/><Relationship Id="rId30" Type="http://schemas.openxmlformats.org/officeDocument/2006/relationships/hyperlink" Target="https://docs.peppol.eu/pracc/transactions/T001/index.html" TargetMode="External"/><Relationship Id="rId35" Type="http://schemas.openxmlformats.org/officeDocument/2006/relationships/hyperlink" Target="https://docs.peppol.eu/pracc/transactions/T003/index.html" TargetMode="External"/><Relationship Id="rId56" Type="http://schemas.openxmlformats.org/officeDocument/2006/relationships/hyperlink" Target="https://docs.peppol.eu/pracc/transactions/T014/index.html" TargetMode="External"/><Relationship Id="rId77" Type="http://schemas.openxmlformats.org/officeDocument/2006/relationships/hyperlink" Target="https://docs.peppol.eu/pracc/catalogue/1.0/bis/" TargetMode="External"/><Relationship Id="rId100" Type="http://schemas.openxmlformats.org/officeDocument/2006/relationships/hyperlink" Target="https://docs.peppol.eu/pracc/syntax/ExpressionOfInterestResponse/tree/" TargetMode="External"/><Relationship Id="rId105" Type="http://schemas.openxmlformats.org/officeDocument/2006/relationships/hyperlink" Target="https://docs.peppol.eu/pracc/rules/T004/" TargetMode="External"/><Relationship Id="rId126" Type="http://schemas.openxmlformats.org/officeDocument/2006/relationships/hyperlink" Target="https://docs.peppol.eu/pracc/rules/T010/" TargetMode="External"/><Relationship Id="rId147" Type="http://schemas.openxmlformats.org/officeDocument/2006/relationships/hyperlink" Target="https://docs.peppol.eu/pracc/profiles/p009/index.html" TargetMode="External"/><Relationship Id="rId168" Type="http://schemas.openxmlformats.org/officeDocument/2006/relationships/hyperlink" Target="https://docs.peppol.eu/pracc/codelist/statusReasonSubset/" TargetMode="External"/><Relationship Id="rId8" Type="http://schemas.openxmlformats.org/officeDocument/2006/relationships/endnotes" Target="endnotes.xml"/><Relationship Id="rId51" Type="http://schemas.openxmlformats.org/officeDocument/2006/relationships/hyperlink" Target="https://docs.peppol.eu/pracc/transactions/T011/index.html" TargetMode="External"/><Relationship Id="rId72" Type="http://schemas.openxmlformats.org/officeDocument/2006/relationships/hyperlink" Target="https://eur-lex.europa.eu/eli/reg_impl/2019/1780/oj" TargetMode="External"/><Relationship Id="rId93" Type="http://schemas.openxmlformats.org/officeDocument/2006/relationships/footer" Target="footer3.xml"/><Relationship Id="rId98" Type="http://schemas.openxmlformats.org/officeDocument/2006/relationships/hyperlink" Target="https://docs.peppol.eu/pracc/rules/T001/" TargetMode="External"/><Relationship Id="rId121" Type="http://schemas.openxmlformats.org/officeDocument/2006/relationships/hyperlink" Target="https://docs.peppol.eu/pracc/syntax/TenderingAnswers/tree/" TargetMode="External"/><Relationship Id="rId142" Type="http://schemas.openxmlformats.org/officeDocument/2006/relationships/hyperlink" Target="https://docs.peppol.eu/pracc/syntax/PublishNotice/tree/" TargetMode="External"/><Relationship Id="rId163" Type="http://schemas.openxmlformats.org/officeDocument/2006/relationships/hyperlink" Target="https://docs.peppol.eu/pracc/codelist/noticeResponse/" TargetMode="External"/><Relationship Id="rId184" Type="http://schemas.openxmlformats.org/officeDocument/2006/relationships/hyperlink" Target="https://peppol.org/about/" TargetMode="External"/><Relationship Id="rId189" Type="http://schemas.openxmlformats.org/officeDocument/2006/relationships/hyperlink" Target="https://peppol.org/" TargetMode="External"/><Relationship Id="rId3" Type="http://schemas.openxmlformats.org/officeDocument/2006/relationships/numbering" Target="numbering.xml"/><Relationship Id="rId25" Type="http://schemas.openxmlformats.org/officeDocument/2006/relationships/hyperlink" Target="https://docs.peppol.eu/pracc/files/BIS-eDelivery-guide-for-pre-award-v1.2.pdf" TargetMode="External"/><Relationship Id="rId46" Type="http://schemas.openxmlformats.org/officeDocument/2006/relationships/hyperlink" Target="https://standards.cencenelec.eu/dyn/www/f?p=205:110:0::::FSP_PROJECT:62032&amp;cs=112E5165F9BCEE578DFD26A6C238464E2" TargetMode="External"/><Relationship Id="rId67" Type="http://schemas.openxmlformats.org/officeDocument/2006/relationships/hyperlink" Target="https://standards.cencenelec.eu/dyn/www/f?p=205:110:0::::FSP_PROJECT:61996&amp;cs=1F1CAB7AB3DA79B9397033D8EC7A317CE" TargetMode="External"/><Relationship Id="rId116" Type="http://schemas.openxmlformats.org/officeDocument/2006/relationships/hyperlink" Target="https://docs.peppol.eu/pracc/rules/BIIT006/" TargetMode="External"/><Relationship Id="rId137" Type="http://schemas.openxmlformats.org/officeDocument/2006/relationships/hyperlink" Target="https://docs.peppol.eu/pracc/rules/T013/" TargetMode="External"/><Relationship Id="rId158" Type="http://schemas.openxmlformats.org/officeDocument/2006/relationships/hyperlink" Target="https://docs.peppol.eu/pracc/codelist/EAS/" TargetMode="External"/><Relationship Id="rId20" Type="http://schemas.openxmlformats.org/officeDocument/2006/relationships/hyperlink" Target="https://peppol.eu/what-is-peppol/" TargetMode="External"/><Relationship Id="rId41" Type="http://schemas.openxmlformats.org/officeDocument/2006/relationships/hyperlink" Target="https://docs.peppol.eu/pracc/profiles/p004/index.html" TargetMode="External"/><Relationship Id="rId62" Type="http://schemas.openxmlformats.org/officeDocument/2006/relationships/hyperlink" Target="https://docs.peppol.eu/pracc/transactions/T016/index.html" TargetMode="External"/><Relationship Id="rId83" Type="http://schemas.openxmlformats.org/officeDocument/2006/relationships/footer" Target="footer2.xml"/><Relationship Id="rId88" Type="http://schemas.openxmlformats.org/officeDocument/2006/relationships/image" Target="media/image11.png"/><Relationship Id="rId111" Type="http://schemas.openxmlformats.org/officeDocument/2006/relationships/hyperlink" Target="https://docs.peppol.eu/pracc/rules/T005/" TargetMode="External"/><Relationship Id="rId132" Type="http://schemas.openxmlformats.org/officeDocument/2006/relationships/hyperlink" Target="https://docs.peppol.eu/pracc/rules/T012/" TargetMode="External"/><Relationship Id="rId153" Type="http://schemas.openxmlformats.org/officeDocument/2006/relationships/hyperlink" Target="https://docs.peppol.eu/pracc/codelist/addCond/" TargetMode="External"/><Relationship Id="rId174" Type="http://schemas.openxmlformats.org/officeDocument/2006/relationships/hyperlink" Target="https://docs.peppol.eu/pracc/files/BIS-eDocuments-guide-for-pre-award-v1.3.pdf" TargetMode="External"/><Relationship Id="rId179" Type="http://schemas.openxmlformats.org/officeDocument/2006/relationships/hyperlink" Target="https://eur-lex.europa.eu/legal-content/DE/TXT/?uri=CELEX%3A32014L0025" TargetMode="External"/><Relationship Id="rId190" Type="http://schemas.openxmlformats.org/officeDocument/2006/relationships/hyperlink" Target="https://docs.peppol.eu/pracc/files/BIS-eDelivery-guide-for-pre-award-v1.3.pdf" TargetMode="External"/><Relationship Id="rId15" Type="http://schemas.openxmlformats.org/officeDocument/2006/relationships/hyperlink" Target="https://standards.cencenelec.eu/dyn/www/f?p=205:110:0::::FSP_PROJECT:62023&amp;cs=19453F711D73A2988EC334F37EE564AB1" TargetMode="External"/><Relationship Id="rId36" Type="http://schemas.openxmlformats.org/officeDocument/2006/relationships/hyperlink" Target="https://docs.peppol.eu/pracc/transactions/T004/index.html" TargetMode="External"/><Relationship Id="rId57" Type="http://schemas.openxmlformats.org/officeDocument/2006/relationships/hyperlink" Target="https://docs.peppol.eu/pracc/profiles/p008/index.html" TargetMode="External"/><Relationship Id="rId106" Type="http://schemas.openxmlformats.org/officeDocument/2006/relationships/hyperlink" Target="https://docs.peppol.eu/pracc/syntax/CallForTenders/tree/" TargetMode="External"/><Relationship Id="rId127" Type="http://schemas.openxmlformats.org/officeDocument/2006/relationships/hyperlink" Target="https://docs.peppol.eu/pracc/syntax/TenderClarification/tree/" TargetMode="External"/><Relationship Id="rId10" Type="http://schemas.openxmlformats.org/officeDocument/2006/relationships/image" Target="media/image2.jpg"/><Relationship Id="rId31" Type="http://schemas.openxmlformats.org/officeDocument/2006/relationships/hyperlink" Target="https://docs.peppol.eu/pracc/transactions/T002/index.html" TargetMode="External"/><Relationship Id="rId52" Type="http://schemas.openxmlformats.org/officeDocument/2006/relationships/hyperlink" Target="https://docs.peppol.eu/pracc/transactions/T012/index.html" TargetMode="External"/><Relationship Id="rId73" Type="http://schemas.openxmlformats.org/officeDocument/2006/relationships/hyperlink" Target="https://eur-lex.europa.eu/eli/reg_impl/2016/7/oj" TargetMode="External"/><Relationship Id="rId78" Type="http://schemas.openxmlformats.org/officeDocument/2006/relationships/image" Target="media/image4.png"/><Relationship Id="rId94" Type="http://schemas.openxmlformats.org/officeDocument/2006/relationships/footer" Target="footer4.xml"/><Relationship Id="rId99" Type="http://schemas.openxmlformats.org/officeDocument/2006/relationships/hyperlink" Target="https://docs.peppol.eu/pracc/rules/T002/" TargetMode="External"/><Relationship Id="rId101" Type="http://schemas.openxmlformats.org/officeDocument/2006/relationships/hyperlink" Target="https://docs.peppol.eu/pracc/rules/T002/" TargetMode="External"/><Relationship Id="rId122" Type="http://schemas.openxmlformats.org/officeDocument/2006/relationships/hyperlink" Target="https://docs.peppol.eu/pracc/rules/T008/" TargetMode="External"/><Relationship Id="rId143" Type="http://schemas.openxmlformats.org/officeDocument/2006/relationships/hyperlink" Target="https://docs.peppol.eu/pracc/rules/T015/" TargetMode="External"/><Relationship Id="rId148" Type="http://schemas.openxmlformats.org/officeDocument/2006/relationships/hyperlink" Target="https://docs.peppol.eu/pracc/syntax/AwardingNotification/tree/" TargetMode="External"/><Relationship Id="rId164" Type="http://schemas.openxmlformats.org/officeDocument/2006/relationships/hyperlink" Target="https://docs.peppol.eu/pracc/codelist/procedureType/" TargetMode="External"/><Relationship Id="rId169" Type="http://schemas.openxmlformats.org/officeDocument/2006/relationships/hyperlink" Target="https://docs.peppol.eu/pracc/codelist/submissionMethod/" TargetMode="External"/><Relationship Id="rId185" Type="http://schemas.openxmlformats.org/officeDocument/2006/relationships/hyperlink" Target="https://peppol.org/peppol-interoperability-framework/"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standards.cencenelec.eu/dyn/www/f?p=205:110:0::::FSP_PROJECT:62023&amp;cs=19453F711D73A2988EC334F37EE564AB1" TargetMode="External"/><Relationship Id="rId26" Type="http://schemas.openxmlformats.org/officeDocument/2006/relationships/hyperlink" Target="https://docs.peppol.eu/pracc/files/BIS-eDocuments-guide-for-pre-award-v1.2.pdf" TargetMode="External"/><Relationship Id="rId47" Type="http://schemas.openxmlformats.org/officeDocument/2006/relationships/hyperlink" Target="https://docs.peppol.eu/pracc/transactions/T009/index.html" TargetMode="External"/><Relationship Id="rId68" Type="http://schemas.openxmlformats.org/officeDocument/2006/relationships/hyperlink" Target="https://docs.peppol.eu/pracc/transactions/T018/index.html" TargetMode="External"/><Relationship Id="rId89" Type="http://schemas.openxmlformats.org/officeDocument/2006/relationships/image" Target="media/image12.png"/><Relationship Id="rId112" Type="http://schemas.openxmlformats.org/officeDocument/2006/relationships/hyperlink" Target="https://docs.peppol.eu/pracc/rules/BIIT005/" TargetMode="External"/><Relationship Id="rId133" Type="http://schemas.openxmlformats.org/officeDocument/2006/relationships/hyperlink" Target="https://docs.peppol.eu/pracc/syntax/SearchNoticeResponse/tree/" TargetMode="External"/><Relationship Id="rId154" Type="http://schemas.openxmlformats.org/officeDocument/2006/relationships/hyperlink" Target="https://docs.peppol.eu/pracc/codelist/addCond/" TargetMode="External"/><Relationship Id="rId175" Type="http://schemas.openxmlformats.org/officeDocument/2006/relationships/hyperlink" Target="https://docs.peppol.eu/pracc/files/BIS-eDocuments-guide-for-pre-award-v1.3.pdf" TargetMode="External"/><Relationship Id="rId16" Type="http://schemas.openxmlformats.org/officeDocument/2006/relationships/hyperlink" Target="https://eur-lex.europa.eu/legal-content/DE/TXT/?uri=CELEX%3A32014L0024" TargetMode="External"/><Relationship Id="rId37" Type="http://schemas.openxmlformats.org/officeDocument/2006/relationships/hyperlink" Target="https://docs.peppol.eu/pracc/profiles/p003/index.html" TargetMode="External"/><Relationship Id="rId58" Type="http://schemas.openxmlformats.org/officeDocument/2006/relationships/hyperlink" Target="https://standards.cencenelec.eu/dyn/www/f?p=205:110:0::::FSP_PROJECT:62007&amp;cs=16D9EEBE9B7C024A15F0CCDEE76075355" TargetMode="External"/><Relationship Id="rId79" Type="http://schemas.openxmlformats.org/officeDocument/2006/relationships/image" Target="media/image5.emf"/><Relationship Id="rId102" Type="http://schemas.openxmlformats.org/officeDocument/2006/relationships/hyperlink" Target="https://docs.peppol.eu/pracc/profiles/p002/index.html" TargetMode="External"/><Relationship Id="rId123" Type="http://schemas.openxmlformats.org/officeDocument/2006/relationships/hyperlink" Target="https://docs.peppol.eu/pracc/profiles/p005/index.html" TargetMode="External"/><Relationship Id="rId144" Type="http://schemas.openxmlformats.org/officeDocument/2006/relationships/hyperlink" Target="https://docs.peppol.eu/pracc/rules/T016/" TargetMode="External"/><Relationship Id="rId90" Type="http://schemas.openxmlformats.org/officeDocument/2006/relationships/image" Target="media/image13.png"/><Relationship Id="rId165" Type="http://schemas.openxmlformats.org/officeDocument/2006/relationships/hyperlink" Target="https://docs.peppol.eu/pracc/codelist/procurementType/" TargetMode="External"/><Relationship Id="rId186" Type="http://schemas.openxmlformats.org/officeDocument/2006/relationships/hyperlink" Target="https://peppol.org/peppol-interoperability-framework/" TargetMode="External"/><Relationship Id="rId27" Type="http://schemas.openxmlformats.org/officeDocument/2006/relationships/hyperlink" Target="https://docs.peppol.eu/pracc/" TargetMode="External"/><Relationship Id="rId48" Type="http://schemas.openxmlformats.org/officeDocument/2006/relationships/hyperlink" Target="https://docs.peppol.eu/pracc/transactions/T010/index.html" TargetMode="External"/><Relationship Id="rId69" Type="http://schemas.openxmlformats.org/officeDocument/2006/relationships/hyperlink" Target="https://standards.cencenelec.eu/dyn/www/f?p=205:110:0::::FSP_PROJECT:61996&amp;cs=1F1CAB7AB3DA79B9397033D8EC7A317CE" TargetMode="External"/><Relationship Id="rId113" Type="http://schemas.openxmlformats.org/officeDocument/2006/relationships/hyperlink" Target="https://docs.peppol.eu/pracc/rules/T006/" TargetMode="External"/><Relationship Id="rId134" Type="http://schemas.openxmlformats.org/officeDocument/2006/relationships/hyperlink" Target="https://docs.peppol.eu/pracc/rules/T012/" TargetMode="External"/><Relationship Id="rId80" Type="http://schemas.openxmlformats.org/officeDocument/2006/relationships/package" Target="embeddings/Microsoft_Visio_Drawing.vsdx"/><Relationship Id="rId155" Type="http://schemas.openxmlformats.org/officeDocument/2006/relationships/hyperlink" Target="https://docs.peppol.eu/pracc/codelist/contractType/" TargetMode="External"/><Relationship Id="rId176" Type="http://schemas.openxmlformats.org/officeDocument/2006/relationships/hyperlink" Target="https://docs.peppol.eu/pracc/files/schematrons.zip" TargetMode="External"/><Relationship Id="rId17" Type="http://schemas.openxmlformats.org/officeDocument/2006/relationships/hyperlink" Target="https://eur-lex.europa.eu/legal-content/DE/TXT/?uri=CELEX%3A32014L0025" TargetMode="External"/><Relationship Id="rId38" Type="http://schemas.openxmlformats.org/officeDocument/2006/relationships/hyperlink" Target="https://standards.cencenelec.eu/dyn/www/f?p=205:110:0::::FSP_PROJECT:62036&amp;cs=12EBD786F7FC4B3EEB54EB811F8FCD901" TargetMode="External"/><Relationship Id="rId59" Type="http://schemas.openxmlformats.org/officeDocument/2006/relationships/hyperlink" Target="https://standards.cencenelec.eu/dyn/www/f?p=205:110:0::::FSP_PROJECT:62008&amp;cs=16824EF2775A9CE68B4E33893BA1F2A05" TargetMode="External"/><Relationship Id="rId103" Type="http://schemas.openxmlformats.org/officeDocument/2006/relationships/hyperlink" Target="https://docs.peppol.eu/pracc/syntax/TenderStatusRequest/tree/" TargetMode="External"/><Relationship Id="rId124" Type="http://schemas.openxmlformats.org/officeDocument/2006/relationships/hyperlink" Target="https://docs.peppol.eu/pracc/syntax/TenderClarificationRequest/tree/" TargetMode="External"/><Relationship Id="rId70" Type="http://schemas.openxmlformats.org/officeDocument/2006/relationships/hyperlink" Target="https://eur-lex.europa.eu/legal-content/DE/TXT/?uri=CELEX%3A32014L0024" TargetMode="External"/><Relationship Id="rId91" Type="http://schemas.openxmlformats.org/officeDocument/2006/relationships/header" Target="header3.xml"/><Relationship Id="rId145" Type="http://schemas.openxmlformats.org/officeDocument/2006/relationships/hyperlink" Target="https://docs.peppol.eu/pracc/syntax/NoticePublicationResponse/tree/" TargetMode="External"/><Relationship Id="rId166" Type="http://schemas.openxmlformats.org/officeDocument/2006/relationships/hyperlink" Target="https://docs.peppol.eu/pracc/codelist/publicationCondition/" TargetMode="External"/><Relationship Id="rId187" Type="http://schemas.openxmlformats.org/officeDocument/2006/relationships/hyperlink" Target="https://docs.peppol.eu/pracc/" TargetMode="External"/><Relationship Id="rId1" Type="http://schemas.openxmlformats.org/officeDocument/2006/relationships/customXml" Target="../customXml/item1.xml"/><Relationship Id="rId28" Type="http://schemas.openxmlformats.org/officeDocument/2006/relationships/hyperlink" Target="https://docs.peppol.eu/pracc/profiles/p001/index.html" TargetMode="External"/><Relationship Id="rId49" Type="http://schemas.openxmlformats.org/officeDocument/2006/relationships/hyperlink" Target="https://docs.peppol.eu/pracc/profiles/p006/index.html" TargetMode="External"/><Relationship Id="rId114" Type="http://schemas.openxmlformats.org/officeDocument/2006/relationships/hyperlink" Target="https://docs.peppol.eu/pracc/syntax/TenderReceipt/tree/" TargetMode="External"/><Relationship Id="rId60" Type="http://schemas.openxmlformats.org/officeDocument/2006/relationships/hyperlink" Target="https://standards.cencenelec.eu/dyn/www/f?p=205:110:0::::FSP_PROJECT:62009&amp;cs=1807B03E8AA497A2C66F5BA5A25A5A3AF" TargetMode="External"/><Relationship Id="rId81" Type="http://schemas.openxmlformats.org/officeDocument/2006/relationships/image" Target="media/image6.png"/><Relationship Id="rId135" Type="http://schemas.openxmlformats.org/officeDocument/2006/relationships/hyperlink" Target="https://docs.peppol.eu/pracc/profiles/p007/index.html" TargetMode="External"/><Relationship Id="rId156" Type="http://schemas.openxmlformats.org/officeDocument/2006/relationships/hyperlink" Target="https://docs.peppol.eu/pracc/codelist/docStatus/" TargetMode="External"/><Relationship Id="rId177" Type="http://schemas.openxmlformats.org/officeDocument/2006/relationships/hyperlink" Target="https://docs.peppol.eu/pracc/files/codelists.zip" TargetMode="External"/><Relationship Id="rId18" Type="http://schemas.openxmlformats.org/officeDocument/2006/relationships/hyperlink" Target="https://eur-lex.europa.eu/eli/reg_impl/2019/1780/oj" TargetMode="External"/><Relationship Id="rId39" Type="http://schemas.openxmlformats.org/officeDocument/2006/relationships/hyperlink" Target="https://docs.peppol.eu/pracc/transactions/T005/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13230</Words>
  <Characters>83356</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96394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3</cp:revision>
  <dcterms:created xsi:type="dcterms:W3CDTF">2023-03-01T10:56:00Z</dcterms:created>
  <dcterms:modified xsi:type="dcterms:W3CDTF">2023-03-01T11:29:00Z</dcterms:modified>
</cp:coreProperties>
</file>