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Arial" w:cs="Arial" w:eastAsia="Arial" w:hAnsi="Arial"/>
          <w:b/>
          <w:bCs/>
          <w:color w:val="1B3A5C"/>
          <w:sz w:val="72"/>
          <w:szCs w:val="72"/>
        </w:rPr>
        <w:t xml:space="preserve">WBC ΔΣ</w:t>
      </w:r>
    </w:p>
    <w:p>
      <w:pPr>
        <w:spacing w:after="100"/>
        <w:jc w:val="center"/>
      </w:pPr>
      <w:r>
        <w:rPr>
          <w:rFonts w:ascii="Arial" w:cs="Arial" w:eastAsia="Arial" w:hAnsi="Arial"/>
          <w:color w:val="2E75B6"/>
          <w:sz w:val="36"/>
          <w:szCs w:val="36"/>
        </w:rPr>
        <w:t xml:space="preserve">Manual Differential Counter</w:t>
      </w:r>
    </w:p>
    <w:p>
      <w:pPr>
        <w:pBdr>
          <w:bottom w:val="single" w:color="2E75B6" w:sz="6" w:space="1"/>
        </w:pBdr>
        <w:spacing w:after="600"/>
        <w:jc w:val="center"/>
      </w:pPr>
      <w:r>
        <w:rPr>
          <w:rFonts w:ascii="Arial" w:cs="Arial" w:eastAsia="Arial" w:hAnsi="Arial"/>
          <w:sz w:val="12"/>
          <w:szCs w:val="12"/>
        </w:rPr>
        <w:t xml:space="preserve"> </w:t>
      </w:r>
    </w:p>
    <w:p>
      <w:pPr>
        <w:spacing w:before="400" w:after="200"/>
        <w:jc w:val="center"/>
      </w:pPr>
      <w:r>
        <w:rPr>
          <w:rFonts w:ascii="Arial" w:cs="Arial" w:eastAsia="Arial" w:hAnsi="Arial"/>
          <w:b/>
          <w:bCs/>
          <w:color w:val="2C3E50"/>
          <w:sz w:val="40"/>
          <w:szCs w:val="40"/>
        </w:rPr>
        <w:t xml:space="preserve">Use Case Specification</w:t>
      </w:r>
    </w:p>
    <w:p>
      <w:pPr>
        <w:spacing w:after="100"/>
        <w:jc w:val="center"/>
      </w:pPr>
      <w:r>
        <w:rPr>
          <w:rFonts w:ascii="Arial" w:cs="Arial" w:eastAsia="Arial" w:hAnsi="Arial"/>
          <w:color w:val="2E75B6"/>
          <w:sz w:val="28"/>
          <w:szCs w:val="28"/>
        </w:rPr>
        <w:t xml:space="preserve">Configuration Architecture &amp; Detailed Requirements</w:t>
      </w:r>
    </w:p>
    <w:p>
      <w:pPr>
        <w:spacing w:before="600" w:after="100"/>
        <w:jc w:val="center"/>
      </w:pPr>
      <w:r>
        <w:rPr>
          <w:rFonts w:ascii="Arial" w:cs="Arial" w:eastAsia="Arial" w:hAnsi="Arial"/>
          <w:color w:val="666666"/>
          <w:sz w:val="22"/>
          <w:szCs w:val="22"/>
        </w:rPr>
        <w:t xml:space="preserve">Version 1.2  —  February 2026</w:t>
      </w:r>
    </w:p>
    <w:p>
      <w:pPr>
        <w:spacing w:after="100"/>
        <w:jc w:val="center"/>
      </w:pPr>
      <w:r>
        <w:rPr>
          <w:rFonts w:ascii="Arial" w:cs="Arial" w:eastAsia="Arial" w:hAnsi="Arial"/>
          <w:b/>
          <w:bCs/>
          <w:color w:val="CC3333"/>
          <w:sz w:val="22"/>
          <w:szCs w:val="22"/>
        </w:rPr>
        <w:t xml:space="preserve">DRAFT FOR REVIEW</w:t>
      </w:r>
    </w:p>
    <w:p>
      <w:pPr>
        <w:spacing w:before="200" w:after="60"/>
        <w:jc w:val="center"/>
      </w:pPr>
      <w:r>
        <w:rPr>
          <w:rFonts w:ascii="Arial" w:cs="Arial" w:eastAsia="Arial" w:hAnsi="Arial"/>
          <w:color w:val="666666"/>
          <w:sz w:val="20"/>
          <w:szCs w:val="20"/>
        </w:rPr>
        <w:t xml:space="preserve">Companion to URS-001 v2.0</w:t>
      </w:r>
    </w:p>
    <w:p>
      <w:r>
        <w:br w:type="page"/>
      </w:r>
    </w:p>
    <w:p>
      <w:pPr>
        <w:pStyle w:val="Heading1"/>
      </w:pPr>
      <w:r>
        <w:rPr>
          <w:rFonts w:ascii="Arial" w:cs="Arial" w:eastAsia="Arial" w:hAnsi="Arial"/>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Purpose</w:t>
      </w:r>
    </w:p>
    <w:p>
      <w:pPr>
        <w:spacing w:after="120" w:before="0"/>
        <w:jc w:val="left"/>
      </w:pPr>
      <w:r>
        <w:rPr>
          <w:rFonts w:ascii="Arial" w:cs="Arial" w:eastAsia="Arial" w:hAnsi="Arial"/>
          <w:color w:val="2C3E50"/>
          <w:sz w:val="22"/>
          <w:szCs w:val="22"/>
        </w:rPr>
        <w:t xml:space="preserve">This document specifies the use cases, configuration architecture, sensory feedback model, and behavioral requirements for </w:t>
      </w:r>
      <w:r>
        <w:rPr>
          <w:rFonts w:ascii="Arial" w:cs="Arial" w:eastAsia="Arial" w:hAnsi="Arial"/>
          <w:b/>
          <w:bCs/>
          <w:color w:val="2C3E50"/>
          <w:sz w:val="22"/>
          <w:szCs w:val="22"/>
        </w:rPr>
        <w:t xml:space="preserve">WBC ΔΣ</w:t>
      </w:r>
      <w:r>
        <w:rPr>
          <w:rFonts w:ascii="Arial" w:cs="Arial" w:eastAsia="Arial" w:hAnsi="Arial"/>
          <w:color w:val="2C3E50"/>
          <w:sz w:val="22"/>
          <w:szCs w:val="22"/>
        </w:rPr>
        <w:t xml:space="preserve"> (Eukrasia), a web-based manual white blood cell differential counter. It is the companion to URS-001 v2.0 (User Requirements Specification) and directly traces to those requirements. The central design challenge: </w:t>
      </w:r>
      <w:r>
        <w:rPr>
          <w:rFonts w:ascii="Arial" w:cs="Arial" w:eastAsia="Arial" w:hAnsi="Arial"/>
          <w:i/>
          <w:iCs/>
          <w:color w:val="2C3E50"/>
          <w:sz w:val="22"/>
          <w:szCs w:val="22"/>
        </w:rPr>
        <w:t xml:space="preserve">no single configuration is universally correct.</w:t>
      </w:r>
      <w:r>
        <w:rPr>
          <w:rFonts w:ascii="Arial" w:cs="Arial" w:eastAsia="Arial" w:hAnsi="Arial"/>
          <w:color w:val="2C3E50"/>
          <w:sz w:val="22"/>
          <w:szCs w:val="22"/>
        </w:rPr>
        <w:t xml:space="preserve"> Local configuration is therefore a first-class architectural concern.</w:t>
      </w:r>
    </w:p>
    <w:p>
      <w:pPr>
        <w:pStyle w:val="Heading2"/>
      </w:pPr>
      <w:r>
        <w:rPr>
          <w:rFonts w:ascii="Arial" w:cs="Arial" w:eastAsia="Arial" w:hAnsi="Arial"/>
        </w:rPr>
        <w:t xml:space="preserve">1.2 Scope</w:t>
      </w:r>
    </w:p>
    <w:p>
      <w:pPr>
        <w:spacing w:after="120" w:before="0"/>
        <w:jc w:val="left"/>
      </w:pPr>
      <w:r>
        <w:rPr>
          <w:rFonts w:ascii="Arial" w:cs="Arial" w:eastAsia="Arial" w:hAnsi="Arial"/>
          <w:color w:val="2C3E50"/>
          <w:sz w:val="22"/>
          <w:szCs w:val="22"/>
        </w:rPr>
        <w:t xml:space="preserve">Phase 1: configuration system (visual editor + catalog), keyboard-driven counting, real-time computation, audio/visual feedback, count resumption, morphology comments (free-text and structured), auto-save/recovery, and local export (JSON, CSV, clipboard, PDF/print). </w:t>
      </w:r>
      <w:r>
        <w:rPr>
          <w:rFonts w:ascii="Arial" w:cs="Arial" w:eastAsia="Arial" w:hAnsi="Arial"/>
          <w:b/>
          <w:bCs/>
          <w:color w:val="2C3E50"/>
          <w:sz w:val="22"/>
          <w:szCs w:val="22"/>
        </w:rPr>
        <w:t xml:space="preserve">Phase 2 (deferred):</w:t>
      </w:r>
      <w:r>
        <w:rPr>
          <w:rFonts w:ascii="Arial" w:cs="Arial" w:eastAsia="Arial" w:hAnsi="Arial"/>
          <w:color w:val="2C3E50"/>
          <w:sz w:val="22"/>
          <w:szCs w:val="22"/>
        </w:rPr>
        <w:t xml:space="preserve"> HL7/LIS integration, multi-examiner workflow, companion device input, reference range flagging, electronic signatures.</w:t>
      </w:r>
    </w:p>
    <w:p>
      <w:pPr>
        <w:pStyle w:val="Heading2"/>
      </w:pPr>
      <w:r>
        <w:rPr>
          <w:rFonts w:ascii="Arial" w:cs="Arial" w:eastAsia="Arial" w:hAnsi="Arial"/>
        </w:rPr>
        <w:t xml:space="preserve">1.3 Design Philosophy</w:t>
      </w:r>
    </w:p>
    <w:p>
      <w:pPr>
        <w:spacing w:after="120" w:before="0"/>
        <w:jc w:val="left"/>
      </w:pPr>
      <w:r>
        <w:rPr>
          <w:rFonts w:ascii="Arial" w:cs="Arial" w:eastAsia="Arial" w:hAnsi="Arial"/>
          <w:color w:val="2C3E50"/>
          <w:sz w:val="22"/>
          <w:szCs w:val="22"/>
        </w:rPr>
        <w:t xml:space="preserve">Build tools that amplify individual expertise rather than forcing standardization. The tool is given into the hands of the user — no different than a piece of paper on which they write with their left or right hand. However they choose to use it is up to them. The system provides sensible defaults, clear guidance, and unlimited configurability. Governance of configuration profiles and operational procedures is the responsibility of the deploying laboratory.</w:t>
      </w:r>
    </w:p>
    <w:p>
      <w:pPr>
        <w:pStyle w:val="Heading2"/>
      </w:pPr>
      <w:r>
        <w:rPr>
          <w:rFonts w:ascii="Arial" w:cs="Arial" w:eastAsia="Arial" w:hAnsi="Arial"/>
        </w:rPr>
        <w:t xml:space="preserve">1.4 The Standardization Problem</w:t>
      </w:r>
    </w:p>
    <w:p>
      <w:pPr>
        <w:spacing w:after="120" w:before="0"/>
        <w:jc w:val="left"/>
      </w:pPr>
      <w:r>
        <w:rPr>
          <w:rFonts w:ascii="Arial" w:cs="Arial" w:eastAsia="Arial" w:hAnsi="Arial"/>
          <w:color w:val="2C3E50"/>
          <w:sz w:val="22"/>
          <w:szCs w:val="22"/>
        </w:rPr>
        <w:t xml:space="preserve">Hematology manual differential counting has no meaningful standardization in practice. Laboratories differ in category count (5–18), band reporting, target cell count (100–500), keyboard mappings, and derived formulas. Even within a single institution, legacy mappings may differ between specimen types in ways that conflict with user muscle memory (see Section 4.2). Attempting to impose a single standard would fail. The pragmatic approach: provide well-documented presets, a visual editor for customization, and let institutional convention determine the details.</w:t>
      </w:r>
    </w:p>
    <w:p>
      <w:r>
        <w:br w:type="page"/>
      </w:r>
    </w:p>
    <w:p>
      <w:pPr>
        <w:pStyle w:val="Heading1"/>
      </w:pPr>
      <w:r>
        <w:rPr>
          <w:rFonts w:ascii="Arial" w:cs="Arial" w:eastAsia="Arial" w:hAnsi="Arial"/>
        </w:rPr>
        <w:t xml:space="preserve">2. Architecture Overview</w:t>
      </w:r>
    </w:p>
    <w:p>
      <w:pPr>
        <w:pStyle w:val="Heading2"/>
      </w:pPr>
      <w:r>
        <w:rPr>
          <w:rFonts w:ascii="Arial" w:cs="Arial" w:eastAsia="Arial" w:hAnsi="Arial"/>
        </w:rPr>
        <w:t xml:space="preserve">2.1 Deployment Model</w:t>
      </w:r>
    </w:p>
    <w:p>
      <w:pPr>
        <w:spacing w:after="120" w:before="0"/>
        <w:jc w:val="left"/>
      </w:pPr>
      <w:r>
        <w:rPr>
          <w:rFonts w:ascii="Arial" w:cs="Arial" w:eastAsia="Arial" w:hAnsi="Arial"/>
          <w:color w:val="2C3E50"/>
          <w:sz w:val="22"/>
          <w:szCs w:val="22"/>
        </w:rPr>
        <w:t xml:space="preserve">Static web application. Zero server-side infrastructure. No database, no authentication, no accounts, no network dependency during counting. Configuration fetched once from JSON catalog (GitHub Pages or static CDN), cached in browser localStorage.</w:t>
      </w:r>
    </w:p>
    <w:p>
      <w:pPr>
        <w:pStyle w:val="Heading2"/>
      </w:pPr>
      <w:r>
        <w:rPr>
          <w:rFonts w:ascii="Arial" w:cs="Arial" w:eastAsia="Arial" w:hAnsi="Arial"/>
        </w:rPr>
        <w:t xml:space="preserve">2.2 Component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Component</w:t>
            </w:r>
          </w:p>
        </w:tc>
        <w:tc>
          <w:tcPr>
            <w:tcW w:type="dxa" w:w="68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Configuration Catalog</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Remote JSON endpoint serving institutional presets. Read-only, fetched once, cached locally.</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Visual Config Editor</w:t>
            </w:r>
          </w:p>
        </w:tc>
        <w:tc>
          <w:tcPr>
            <w:tcW w:type="dxa" w:w="6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Interactive UI for cell selection, arrangement, aggregation, key assignment, and profile save/load. Phase 1 essential.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Local Config Cache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Browser localStorage storing active config. Survives restarts. No network dependency.</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Counting Engine</w:t>
            </w:r>
          </w:p>
        </w:tc>
        <w:tc>
          <w:tcPr>
            <w:tcW w:type="dxa" w:w="6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Core state machine: receives category-level input events (not raw keycodes). Input-source agnostic. Computes tallies, percentages, formulas in real time.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Audio Feedback Engine</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Produces configurable sounds: count confirmation (optionally speaks cell name), undo tone, text-entry typewriter sound, error indication. Independently togglable.</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Auto-Save Module</w:t>
            </w:r>
          </w:p>
        </w:tc>
        <w:tc>
          <w:tcPr>
            <w:tcW w:type="dxa" w:w="6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Writes current count state to localStorage after each keystroke. Offers recovery on relaunch. Configurable on/off.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Results Renderer</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Displays percentages, derived formulas, statistical confidence notes, absolute counts (if WBC entered). Offers Continue Counting.</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Export Module</w:t>
            </w:r>
          </w:p>
        </w:tc>
        <w:tc>
          <w:tcPr>
            <w:tcW w:type="dxa" w:w="68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Phase 1: JSON, CSV, clipboard, PDF/print. Phase 2: HL7v2 OBX via pluggable adapter.</w:t>
            </w:r>
          </w:p>
        </w:tc>
      </w:tr>
    </w:tbl>
    <w:p>
      <w:pPr>
        <w:spacing w:after="120" w:before="0"/>
        <w:jc w:val="left"/>
      </w:pPr>
      <w:r>
        <w:rPr>
          <w:rFonts w:ascii="Arial" w:cs="Arial" w:eastAsia="Arial" w:hAnsi="Arial"/>
          <w:color w:val="2C3E50"/>
          <w:sz w:val="22"/>
          <w:szCs w:val="22"/>
        </w:rPr>
        <w:t xml:space="preserve"/>
      </w:r>
    </w:p>
    <w:p>
      <w:r>
        <w:br w:type="page"/>
      </w:r>
    </w:p>
    <w:p>
      <w:pPr>
        <w:pStyle w:val="Heading1"/>
      </w:pPr>
      <w:r>
        <w:rPr>
          <w:rFonts w:ascii="Arial" w:cs="Arial" w:eastAsia="Arial" w:hAnsi="Arial"/>
        </w:rPr>
        <w:t xml:space="preserve">3. Configuration System</w:t>
      </w:r>
    </w:p>
    <w:p>
      <w:pPr>
        <w:pStyle w:val="Heading2"/>
      </w:pPr>
      <w:r>
        <w:rPr>
          <w:rFonts w:ascii="Arial" w:cs="Arial" w:eastAsia="Arial" w:hAnsi="Arial"/>
        </w:rPr>
        <w:t xml:space="preserve">3.1 Configuration Lifecycle</w:t>
      </w:r>
    </w:p>
    <w:p>
      <w:pPr>
        <w:spacing w:after="120" w:before="0"/>
        <w:jc w:val="left"/>
      </w:pPr>
      <w:r>
        <w:rPr>
          <w:rFonts w:ascii="Arial" w:cs="Arial" w:eastAsia="Arial" w:hAnsi="Arial"/>
          <w:b/>
          <w:bCs/>
          <w:color w:val="2C3E50"/>
          <w:sz w:val="22"/>
          <w:szCs w:val="22"/>
        </w:rPr>
        <w:t xml:space="preserve">First launch: </w:t>
      </w:r>
      <w:r>
        <w:rPr>
          <w:rFonts w:ascii="Arial" w:cs="Arial" w:eastAsia="Arial" w:hAnsi="Arial"/>
          <w:color w:val="2C3E50"/>
          <w:sz w:val="22"/>
          <w:szCs w:val="22"/>
        </w:rPr>
        <w:t xml:space="preserve">App opens → “Choose Your Configuration” screen with catalog presets → user selects preset, imports JSON, or opens visual editor → config cached, counting interface appears.</w:t>
      </w:r>
    </w:p>
    <w:p>
      <w:pPr>
        <w:spacing w:after="120" w:before="0"/>
        <w:jc w:val="left"/>
      </w:pPr>
      <w:r>
        <w:rPr>
          <w:rFonts w:ascii="Arial" w:cs="Arial" w:eastAsia="Arial" w:hAnsi="Arial"/>
          <w:b/>
          <w:bCs/>
          <w:color w:val="2C3E50"/>
          <w:sz w:val="22"/>
          <w:szCs w:val="22"/>
        </w:rPr>
        <w:t xml:space="preserve">Subsequent launches: </w:t>
      </w:r>
      <w:r>
        <w:rPr>
          <w:rFonts w:ascii="Arial" w:cs="Arial" w:eastAsia="Arial" w:hAnsi="Arial"/>
          <w:color w:val="2C3E50"/>
          <w:sz w:val="22"/>
          <w:szCs w:val="22"/>
        </w:rPr>
        <w:t xml:space="preserve">Config from cache. No network. Immediate counting.</w:t>
      </w:r>
    </w:p>
    <w:p>
      <w:pPr>
        <w:spacing w:after="120" w:before="0"/>
        <w:jc w:val="left"/>
      </w:pPr>
      <w:r>
        <w:rPr>
          <w:rFonts w:ascii="Arial" w:cs="Arial" w:eastAsia="Arial" w:hAnsi="Arial"/>
          <w:b/>
          <w:bCs/>
          <w:color w:val="2C3E50"/>
          <w:sz w:val="22"/>
          <w:szCs w:val="22"/>
        </w:rPr>
        <w:t xml:space="preserve">Customization: </w:t>
      </w:r>
      <w:r>
        <w:rPr>
          <w:rFonts w:ascii="Arial" w:cs="Arial" w:eastAsia="Arial" w:hAnsi="Arial"/>
          <w:color w:val="2C3E50"/>
          <w:sz w:val="22"/>
          <w:szCs w:val="22"/>
        </w:rPr>
        <w:t xml:space="preserve">Visual editor or direct JSON import at any time via Settings.</w:t>
      </w:r>
    </w:p>
    <w:p>
      <w:pPr>
        <w:pStyle w:val="Heading2"/>
      </w:pPr>
      <w:r>
        <w:rPr>
          <w:rFonts w:ascii="Arial" w:cs="Arial" w:eastAsia="Arial" w:hAnsi="Arial"/>
        </w:rPr>
        <w:t xml:space="preserve">3.2 Visual Configuration Editor (URS-102)</w:t>
      </w:r>
    </w:p>
    <w:p>
      <w:pPr>
        <w:spacing w:after="120" w:before="0"/>
        <w:jc w:val="left"/>
      </w:pPr>
      <w:r>
        <w:rPr>
          <w:rFonts w:ascii="Arial" w:cs="Arial" w:eastAsia="Arial" w:hAnsi="Arial"/>
          <w:b w:val="false"/>
          <w:bCs w:val="false"/>
          <w:color w:val="2C3E50"/>
          <w:sz w:val="22"/>
          <w:szCs w:val="22"/>
        </w:rPr>
        <w:t xml:space="preserve">The visual configuration editor is a </w:t>
      </w:r>
      <w:r>
        <w:rPr>
          <w:rFonts w:ascii="Arial" w:cs="Arial" w:eastAsia="Arial" w:hAnsi="Arial"/>
          <w:b/>
          <w:bCs/>
          <w:color w:val="2C3E50"/>
          <w:sz w:val="22"/>
          <w:szCs w:val="22"/>
        </w:rPr>
        <w:t xml:space="preserve">Phase 1 essential feature</w:t>
      </w:r>
      <w:r>
        <w:rPr>
          <w:rFonts w:ascii="Arial" w:cs="Arial" w:eastAsia="Arial" w:hAnsi="Arial"/>
          <w:color w:val="2C3E50"/>
          <w:sz w:val="22"/>
          <w:szCs w:val="22"/>
        </w:rPr>
        <w:t xml:space="preserve">, not an optional enhancement. It is the mechanism by which unlimited institutional variation is accommodated without requiring JSON editing. The editor provides:</w:t>
      </w:r>
    </w:p>
    <w:p>
      <w:pPr>
        <w:spacing w:after="120" w:before="0"/>
        <w:ind w:left="360"/>
        <w:jc w:val="left"/>
      </w:pPr>
      <w:r>
        <w:rPr>
          <w:rFonts w:ascii="Arial" w:cs="Arial" w:eastAsia="Arial" w:hAnsi="Arial"/>
          <w:b/>
          <w:bCs/>
          <w:color w:val="2C3E50"/>
          <w:sz w:val="22"/>
          <w:szCs w:val="22"/>
        </w:rPr>
        <w:t xml:space="preserve">1. Complete reference cell set: </w:t>
      </w:r>
      <w:r>
        <w:rPr>
          <w:rFonts w:ascii="Arial" w:cs="Arial" w:eastAsia="Arial" w:hAnsi="Arial"/>
          <w:color w:val="2C3E50"/>
          <w:sz w:val="22"/>
          <w:szCs w:val="22"/>
        </w:rPr>
        <w:t xml:space="preserve">All standard cell types displayed (NRBC, blasts, promyelocytes, myelocytes, metamyelocytes, bands, segmented neutrophils, basophils, eosinophils, monocytes, lymphocytes, plasma cells, mast cells, other). User selects which to include.</w:t>
      </w:r>
    </w:p>
    <w:p>
      <w:pPr>
        <w:spacing w:after="120" w:before="0"/>
        <w:ind w:left="360"/>
        <w:jc w:val="left"/>
      </w:pPr>
      <w:r>
        <w:rPr>
          <w:rFonts w:ascii="Arial" w:cs="Arial" w:eastAsia="Arial" w:hAnsi="Arial"/>
          <w:b/>
          <w:bCs/>
          <w:color w:val="2C3E50"/>
          <w:sz w:val="22"/>
          <w:szCs w:val="22"/>
        </w:rPr>
        <w:t xml:space="preserve">2. Drag-and-drop arrangement: </w:t>
      </w:r>
      <w:r>
        <w:rPr>
          <w:rFonts w:ascii="Arial" w:cs="Arial" w:eastAsia="Arial" w:hAnsi="Arial"/>
          <w:color w:val="2C3E50"/>
          <w:sz w:val="22"/>
          <w:szCs w:val="22"/>
        </w:rPr>
        <w:t xml:space="preserve">User arranges selected cell types in display order by dragging.</w:t>
      </w:r>
    </w:p>
    <w:p>
      <w:pPr>
        <w:spacing w:after="120" w:before="0"/>
        <w:ind w:left="360"/>
        <w:jc w:val="left"/>
      </w:pPr>
      <w:r>
        <w:rPr>
          <w:rFonts w:ascii="Arial" w:cs="Arial" w:eastAsia="Arial" w:hAnsi="Arial"/>
          <w:b/>
          <w:bCs/>
          <w:color w:val="2C3E50"/>
          <w:sz w:val="22"/>
          <w:szCs w:val="22"/>
        </w:rPr>
        <w:t xml:space="preserve">3. Cell aggregation: </w:t>
      </w:r>
      <w:r>
        <w:rPr>
          <w:rFonts w:ascii="Arial" w:cs="Arial" w:eastAsia="Arial" w:hAnsi="Arial"/>
          <w:color w:val="2C3E50"/>
          <w:sz w:val="22"/>
          <w:szCs w:val="22"/>
        </w:rPr>
        <w:t xml:space="preserve">User drags one cell type onto another to create an aggregated category. The system suggests a standard name (e.g., GRAN for granulocytes, NEUT for neutrophils). Tooltips show constituent types on mouseover (URS-096).</w:t>
      </w:r>
    </w:p>
    <w:p>
      <w:pPr>
        <w:spacing w:after="120" w:before="0"/>
        <w:ind w:left="360"/>
        <w:jc w:val="left"/>
      </w:pPr>
      <w:r>
        <w:rPr>
          <w:rFonts w:ascii="Arial" w:cs="Arial" w:eastAsia="Arial" w:hAnsi="Arial"/>
          <w:b/>
          <w:bCs/>
          <w:color w:val="2C3E50"/>
          <w:sz w:val="22"/>
          <w:szCs w:val="22"/>
        </w:rPr>
        <w:t xml:space="preserve">4. Key assignment: </w:t>
      </w:r>
      <w:r>
        <w:rPr>
          <w:rFonts w:ascii="Arial" w:cs="Arial" w:eastAsia="Arial" w:hAnsi="Arial"/>
          <w:color w:val="2C3E50"/>
          <w:sz w:val="22"/>
          <w:szCs w:val="22"/>
        </w:rPr>
        <w:t xml:space="preserve">User clicks a category and presses the desired key. System validates uniqueness and warns (not blocks) if outside the ergonomic zone.</w:t>
      </w:r>
    </w:p>
    <w:p>
      <w:pPr>
        <w:spacing w:after="120" w:before="0"/>
        <w:ind w:left="360"/>
        <w:jc w:val="left"/>
      </w:pPr>
      <w:r>
        <w:rPr>
          <w:rFonts w:ascii="Arial" w:cs="Arial" w:eastAsia="Arial" w:hAnsi="Arial"/>
          <w:b/>
          <w:bCs/>
          <w:color w:val="2C3E50"/>
          <w:sz w:val="22"/>
          <w:szCs w:val="22"/>
        </w:rPr>
        <w:t xml:space="preserve">5. Handedness presets: </w:t>
      </w:r>
      <w:r>
        <w:rPr>
          <w:rFonts w:ascii="Arial" w:cs="Arial" w:eastAsia="Arial" w:hAnsi="Arial"/>
          <w:color w:val="2C3E50"/>
          <w:sz w:val="22"/>
          <w:szCs w:val="22"/>
        </w:rPr>
        <w:t xml:space="preserve">Quick-apply buttons for left-hand (A–G, Z–B, Q–T) and right-hand (H–;, N–/, Y–P) zones.</w:t>
      </w:r>
    </w:p>
    <w:p>
      <w:pPr>
        <w:spacing w:after="120" w:before="0"/>
        <w:ind w:left="360"/>
        <w:jc w:val="left"/>
      </w:pPr>
      <w:r>
        <w:rPr>
          <w:rFonts w:ascii="Arial" w:cs="Arial" w:eastAsia="Arial" w:hAnsi="Arial"/>
          <w:b/>
          <w:bCs/>
          <w:color w:val="2C3E50"/>
          <w:sz w:val="22"/>
          <w:szCs w:val="22"/>
        </w:rPr>
        <w:t xml:space="preserve">6. Specimen type tabs: </w:t>
      </w:r>
      <w:r>
        <w:rPr>
          <w:rFonts w:ascii="Arial" w:cs="Arial" w:eastAsia="Arial" w:hAnsi="Arial"/>
          <w:color w:val="2C3E50"/>
          <w:sz w:val="22"/>
          <w:szCs w:val="22"/>
        </w:rPr>
        <w:t xml:space="preserve">Separate configuration per specimen type (PB, BM, BF). A “Copy from BM” button pre-fills PB from the BM layout for harmonized configurations.</w:t>
      </w:r>
    </w:p>
    <w:p>
      <w:pPr>
        <w:spacing w:after="120" w:before="0"/>
        <w:ind w:left="360"/>
        <w:jc w:val="left"/>
      </w:pPr>
      <w:r>
        <w:rPr>
          <w:rFonts w:ascii="Arial" w:cs="Arial" w:eastAsia="Arial" w:hAnsi="Arial"/>
          <w:b/>
          <w:bCs/>
          <w:color w:val="2C3E50"/>
          <w:sz w:val="22"/>
          <w:szCs w:val="22"/>
        </w:rPr>
        <w:t xml:space="preserve">7. Save/Load: </w:t>
      </w:r>
      <w:r>
        <w:rPr>
          <w:rFonts w:ascii="Arial" w:cs="Arial" w:eastAsia="Arial" w:hAnsi="Arial"/>
          <w:color w:val="2C3E50"/>
          <w:sz w:val="22"/>
          <w:szCs w:val="22"/>
        </w:rPr>
        <w:t xml:space="preserve">Export as JSON file. Import from file. Cached in localStorage.</w:t>
      </w:r>
    </w:p>
    <w:p>
      <w:pPr>
        <w:pStyle w:val="Heading2"/>
      </w:pPr>
      <w:r>
        <w:rPr>
          <w:rFonts w:ascii="Arial" w:cs="Arial" w:eastAsia="Arial" w:hAnsi="Arial"/>
        </w:rPr>
        <w:t xml:space="preserve">3.3 Configuration Schema</w:t>
      </w:r>
    </w:p>
    <w:p>
      <w:pPr>
        <w:spacing w:after="120" w:before="0"/>
        <w:jc w:val="left"/>
      </w:pPr>
      <w:r>
        <w:rPr>
          <w:rFonts w:ascii="Arial" w:cs="Arial" w:eastAsia="Arial" w:hAnsi="Arial"/>
          <w:color w:val="2C3E50"/>
          <w:sz w:val="22"/>
          <w:szCs w:val="22"/>
        </w:rPr>
        <w:t xml:space="preserve">The JSON schema is unchanged from SPC-001 v1.1 Sections 3.2.1–3.2.4 (top-level fields, specimen type definition, category definition, formula definition) with the following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5260"/>
      </w:tblGrid>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New Field</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Type</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Req’d</w:t>
            </w:r>
          </w:p>
        </w:tc>
        <w:tc>
          <w:tcPr>
            <w:tcW w:type="dxa" w:w="5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category.constituents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array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For aggregated categories: array of base cell type IDs that are combined (e.g., ["MYELO","META","BAND","SEG"] for GRAN). Displayed in tooltip.</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autosave</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2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Default: true. Enable auto-save of count state to localStorage.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audio.enabled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Default: false. Enable audio feedback.</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audio.speakNames</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bool</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2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Default: false. When true, speaks the cell category name on each 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absoluteCounts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"always", "optional", or "disabled". Default: "optional". Controls whether WBC input and absolute count computation are shown.</w:t>
            </w:r>
          </w:p>
        </w:tc>
      </w:tr>
      <w:tr>
        <w:tc>
          <w:tcPr>
            <w:tcW w:type="dxa" w:w="2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handedness</w:t>
            </w:r>
          </w:p>
        </w:tc>
        <w:tc>
          <w:tcPr>
            <w:tcW w:type="dxa" w:w="10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string</w:t>
            </w:r>
          </w:p>
        </w:tc>
        <w:tc>
          <w:tcPr>
            <w:tcW w:type="dxa" w:w="9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w:t>
            </w:r>
          </w:p>
        </w:tc>
        <w:tc>
          <w:tcPr>
            <w:tcW w:type="dxa" w:w="52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"left" or "right". Default: "left". Determines which keyboard zone is suggested in the config editor.</w:t>
            </w:r>
          </w:p>
        </w:tc>
      </w:tr>
    </w:tbl>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3.4 Preset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Preset</w:t>
            </w:r>
          </w:p>
        </w:tc>
        <w:tc>
          <w:tcPr>
            <w:tcW w:type="dxa" w:w="6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Harmonized 9-Part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BM-based key inheritance. 6/6 shared categories consistent across BM and PB. Recommended for new adopters.</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Legacy 9-Part</w:t>
            </w:r>
          </w:p>
        </w:tc>
        <w:tc>
          <w:tcPr>
            <w:tcW w:type="dxa" w:w="6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Preserves historical PB and BM mappings exactly. For institutions with entrenched muscle memory.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Full 14-Part Consensus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14 categories in two clinical-semantic rows. Identical keys for PB and BM. Maximum granularity.</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Minimal 5-Part</w:t>
            </w:r>
          </w:p>
        </w:tc>
        <w:tc>
          <w:tcPr>
            <w:tcW w:type="dxa" w:w="6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5 standard populations (NEUT, LYMPH, MONO, EOS, BASO). Bands grouped with neutrophils per ICSH. PB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Frequency-Ergonomic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Maps most frequent cells (neutrophils/POLY) to best ergonomic positions (home row, dominant finger). Optimizes for speed over cross-specimen consistency.</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Right-Hand Default</w:t>
            </w:r>
          </w:p>
        </w:tc>
        <w:tc>
          <w:tcPr>
            <w:tcW w:type="dxa" w:w="6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9-part mapping using right-hand QWERTY zone for left-handed microscope operators.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Body Fluid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Category set for CSF/pleural/peritoneal (lymphocytes, macrophages, neutrophils, eosinophils, mesothelial cells, malignant cells, other).</w:t>
            </w:r>
          </w:p>
        </w:tc>
      </w:tr>
      <w:tr>
        <w:tc>
          <w:tcPr>
            <w:tcW w:type="dxa" w:w="2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Custom</w:t>
            </w:r>
          </w:p>
        </w:tc>
        <w:tc>
          <w:tcPr>
            <w:tcW w:type="dxa" w:w="65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User-created via visual editor. Full control.</w:t>
            </w:r>
          </w:p>
        </w:tc>
      </w:tr>
    </w:tbl>
    <w:p>
      <w:pPr>
        <w:spacing w:after="120" w:before="0"/>
        <w:jc w:val="left"/>
      </w:pPr>
      <w:r>
        <w:rPr>
          <w:rFonts w:ascii="Arial" w:cs="Arial" w:eastAsia="Arial" w:hAnsi="Arial"/>
          <w:color w:val="2C3E50"/>
          <w:sz w:val="22"/>
          <w:szCs w:val="22"/>
        </w:rPr>
        <w:t xml:space="preserve"/>
      </w:r>
    </w:p>
    <w:p>
      <w:r>
        <w:br w:type="page"/>
      </w:r>
    </w:p>
    <w:p>
      <w:pPr>
        <w:pStyle w:val="Heading1"/>
      </w:pPr>
      <w:r>
        <w:rPr>
          <w:rFonts w:ascii="Arial" w:cs="Arial" w:eastAsia="Arial" w:hAnsi="Arial"/>
        </w:rPr>
        <w:t xml:space="preserve">4. Keyboard Mapping</w:t>
      </w:r>
    </w:p>
    <w:p>
      <w:pPr>
        <w:pStyle w:val="Heading2"/>
      </w:pPr>
      <w:r>
        <w:rPr>
          <w:rFonts w:ascii="Arial" w:cs="Arial" w:eastAsia="Arial" w:hAnsi="Arial"/>
        </w:rPr>
        <w:t xml:space="preserve">4.1 Ergonomic Zones</w:t>
      </w:r>
    </w:p>
    <w:p>
      <w:pPr>
        <w:spacing w:after="120" w:before="0"/>
        <w:jc w:val="left"/>
      </w:pPr>
      <w:r>
        <w:rPr>
          <w:rFonts w:ascii="Arial" w:cs="Arial" w:eastAsia="Arial" w:hAnsi="Arial"/>
          <w:b/>
          <w:bCs/>
          <w:color w:val="2C3E50"/>
          <w:sz w:val="22"/>
          <w:szCs w:val="22"/>
        </w:rPr>
        <w:t xml:space="preserve">Left-hand zone </w:t>
      </w:r>
      <w:r>
        <w:rPr>
          <w:rFonts w:ascii="Arial" w:cs="Arial" w:eastAsia="Arial" w:hAnsi="Arial"/>
          <w:color w:val="2C3E50"/>
          <w:sz w:val="22"/>
          <w:szCs w:val="22"/>
        </w:rPr>
        <w:t xml:space="preserve">(right-handed operators, microscope in right hand): Q–T (top), A–G (home), Z–B (bottom). 15 keys total. G is available but was not used in legacy Yale configurations.</w:t>
      </w:r>
    </w:p>
    <w:p>
      <w:pPr>
        <w:spacing w:after="120" w:before="0"/>
        <w:jc w:val="left"/>
      </w:pPr>
      <w:r>
        <w:rPr>
          <w:rFonts w:ascii="Arial" w:cs="Arial" w:eastAsia="Arial" w:hAnsi="Arial"/>
          <w:b/>
          <w:bCs/>
          <w:color w:val="2C3E50"/>
          <w:sz w:val="22"/>
          <w:szCs w:val="22"/>
        </w:rPr>
        <w:t xml:space="preserve">Right-hand zone </w:t>
      </w:r>
      <w:r>
        <w:rPr>
          <w:rFonts w:ascii="Arial" w:cs="Arial" w:eastAsia="Arial" w:hAnsi="Arial"/>
          <w:color w:val="2C3E50"/>
          <w:sz w:val="22"/>
          <w:szCs w:val="22"/>
        </w:rPr>
        <w:t xml:space="preserve">(left-handed operators, microscope in left hand): Y–P (top), H–; (home), N–/ (bottom). 15+ keys.</w:t>
      </w:r>
    </w:p>
    <w:p>
      <w:pPr>
        <w:spacing w:after="120" w:before="0"/>
        <w:jc w:val="left"/>
      </w:pPr>
      <w:r>
        <w:rPr>
          <w:rFonts w:ascii="Arial" w:cs="Arial" w:eastAsia="Arial" w:hAnsi="Arial"/>
          <w:color w:val="2C3E50"/>
          <w:sz w:val="22"/>
          <w:szCs w:val="22"/>
        </w:rPr>
        <w:t xml:space="preserve">Any key on the keyboard may be assigned to a category. The editor warns (does not block) if keys outside the ergonomic zone for the configured handedness are used.</w:t>
      </w:r>
    </w:p>
    <w:p>
      <w:pPr>
        <w:pStyle w:val="Heading2"/>
      </w:pPr>
      <w:r>
        <w:rPr>
          <w:rFonts w:ascii="Arial" w:cs="Arial" w:eastAsia="Arial" w:hAnsi="Arial"/>
        </w:rPr>
        <w:t xml:space="preserve">4.2 The Cross-Specimen Mapping Problem</w:t>
      </w:r>
    </w:p>
    <w:p>
      <w:pPr>
        <w:spacing w:after="120" w:before="0"/>
        <w:jc w:val="left"/>
      </w:pPr>
      <w:r>
        <w:rPr>
          <w:rFonts w:ascii="Arial" w:cs="Arial" w:eastAsia="Arial" w:hAnsi="Arial"/>
          <w:b w:val="false"/>
          <w:bCs w:val="false"/>
          <w:color w:val="2C3E50"/>
          <w:sz w:val="22"/>
          <w:szCs w:val="22"/>
        </w:rPr>
        <w:t xml:space="preserve">Analysis of legacy and current production systems reveals that </w:t>
      </w:r>
      <w:r>
        <w:rPr>
          <w:rFonts w:ascii="Arial" w:cs="Arial" w:eastAsia="Arial" w:hAnsi="Arial"/>
          <w:b/>
          <w:bCs/>
          <w:color w:val="2C3E50"/>
          <w:sz w:val="22"/>
          <w:szCs w:val="22"/>
        </w:rPr>
        <w:t xml:space="preserve">0 of 6 shared cell categories maintain the same key</w:t>
      </w:r>
      <w:r>
        <w:rPr>
          <w:rFonts w:ascii="Arial" w:cs="Arial" w:eastAsia="Arial" w:hAnsi="Arial"/>
          <w:color w:val="2C3E50"/>
          <w:sz w:val="22"/>
          <w:szCs w:val="22"/>
        </w:rPr>
        <w:t xml:space="preserve"> between bone marrow and peripheral blood modes. This is a long-standing design flaw carried forward across system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300"/>
        <w:gridCol w:w="1300"/>
        <w:gridCol w:w="3660"/>
      </w:tblGrid>
      <w:tr>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Category</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BM Key</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PB Key</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Match?</w:t>
            </w:r>
          </w:p>
        </w:tc>
        <w:tc>
          <w:tcPr>
            <w:tcW w:type="dxa" w:w="36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Impact</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BLAST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V</w:t>
            </w:r>
          </w:p>
        </w:tc>
        <w:tc>
          <w:tcPr>
            <w:tcW w:type="dxa" w:w="13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Moved from home row pinky to bottom row index</w:t>
            </w:r>
          </w:p>
        </w:tc>
      </w:tr>
      <w:tr>
        <w:tc>
          <w:tcPr>
            <w:tcW w:type="dxa" w:w="1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PRO</w:t>
            </w:r>
          </w:p>
        </w:tc>
        <w:tc>
          <w:tcPr>
            <w:tcW w:type="dxa" w:w="13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S</w:t>
            </w:r>
          </w:p>
        </w:tc>
        <w:tc>
          <w:tcPr>
            <w:tcW w:type="dxa" w:w="13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C</w:t>
            </w:r>
          </w:p>
        </w:tc>
        <w:tc>
          <w:tcPr>
            <w:tcW w:type="dxa" w:w="13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6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Moved from home row ring to bottom row middle</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BASO</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Z</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X</w:t>
            </w:r>
          </w:p>
        </w:tc>
        <w:tc>
          <w:tcPr>
            <w:tcW w:type="dxa" w:w="13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Swapped with EOS</w:t>
            </w:r>
          </w:p>
        </w:tc>
      </w:tr>
      <w:tr>
        <w:tc>
          <w:tcPr>
            <w:tcW w:type="dxa" w:w="1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EOS</w:t>
            </w:r>
          </w:p>
        </w:tc>
        <w:tc>
          <w:tcPr>
            <w:tcW w:type="dxa" w:w="13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X</w:t>
            </w:r>
          </w:p>
        </w:tc>
        <w:tc>
          <w:tcPr>
            <w:tcW w:type="dxa" w:w="13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Z</w:t>
            </w:r>
          </w:p>
        </w:tc>
        <w:tc>
          <w:tcPr>
            <w:tcW w:type="dxa" w:w="13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6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Swapped with BASO</w:t>
            </w:r>
          </w:p>
        </w:tc>
      </w:tr>
      <w:tr>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LYMPH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V</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D</w:t>
            </w:r>
          </w:p>
        </w:tc>
        <w:tc>
          <w:tcPr>
            <w:tcW w:type="dxa" w:w="13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Moved from bottom to home row</w:t>
            </w:r>
          </w:p>
        </w:tc>
      </w:tr>
      <w:tr>
        <w:tc>
          <w:tcPr>
            <w:tcW w:type="dxa" w:w="17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MONO</w:t>
            </w:r>
          </w:p>
        </w:tc>
        <w:tc>
          <w:tcPr>
            <w:tcW w:type="dxa" w:w="13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B</w:t>
            </w:r>
          </w:p>
        </w:tc>
        <w:tc>
          <w:tcPr>
            <w:tcW w:type="dxa" w:w="13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center"/>
            </w:pPr>
            <w:r>
              <w:rPr>
                <w:rFonts w:ascii="Courier New" w:cs="Courier New" w:eastAsia="Courier New" w:hAnsi="Courier New"/>
                <w:b w:val="false"/>
                <w:bCs w:val="false"/>
                <w:color w:val="2C3E50"/>
                <w:sz w:val="20"/>
                <w:szCs w:val="20"/>
              </w:rPr>
              <w:t xml:space="preserve">F</w:t>
            </w:r>
          </w:p>
        </w:tc>
        <w:tc>
          <w:tcPr>
            <w:tcW w:type="dxa" w:w="13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No</w:t>
            </w:r>
          </w:p>
        </w:tc>
        <w:tc>
          <w:tcPr>
            <w:tcW w:type="dxa" w:w="36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Moved from bottom to home row</w:t>
            </w:r>
          </w:p>
        </w:tc>
      </w:tr>
    </w:tbl>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4.3 Resolution Approaches</w:t>
      </w:r>
    </w:p>
    <w:p>
      <w:pPr>
        <w:spacing w:after="120" w:before="0"/>
        <w:jc w:val="left"/>
      </w:pPr>
      <w:r>
        <w:rPr>
          <w:rFonts w:ascii="Arial" w:cs="Arial" w:eastAsia="Arial" w:hAnsi="Arial"/>
          <w:color w:val="2C3E50"/>
          <w:sz w:val="22"/>
          <w:szCs w:val="22"/>
        </w:rPr>
        <w:t xml:space="preserve">The specification offers multiple preset approaches rather than mandating one. Users may also create fully custom mappings via the visual configuration editor.</w:t>
      </w:r>
    </w:p>
    <w:p>
      <w:pPr>
        <w:spacing w:after="120" w:before="0"/>
        <w:jc w:val="left"/>
      </w:pPr>
      <w:r>
        <w:rPr>
          <w:rFonts w:ascii="Arial" w:cs="Arial" w:eastAsia="Arial" w:hAnsi="Arial"/>
          <w:b/>
          <w:bCs/>
          <w:color w:val="2C3E50"/>
          <w:sz w:val="22"/>
          <w:szCs w:val="22"/>
        </w:rPr>
        <w:t xml:space="preserve">Approach A — Harmonized (BM-based inheritance): </w:t>
      </w:r>
      <w:r>
        <w:rPr>
          <w:rFonts w:ascii="Arial" w:cs="Arial" w:eastAsia="Arial" w:hAnsi="Arial"/>
          <w:color w:val="2C3E50"/>
          <w:sz w:val="22"/>
          <w:szCs w:val="22"/>
        </w:rPr>
        <w:t xml:space="preserve">Shared categories keep BM keys. PB-unique categories fill freed slots. Achieves 6/6 shared-category consistency. Recommended for new adopters.</w:t>
      </w:r>
    </w:p>
    <w:p>
      <w:pPr>
        <w:spacing w:after="120" w:before="0"/>
        <w:jc w:val="left"/>
      </w:pPr>
      <w:r>
        <w:rPr>
          <w:rFonts w:ascii="Arial" w:cs="Arial" w:eastAsia="Arial" w:hAnsi="Arial"/>
          <w:b/>
          <w:bCs/>
          <w:color w:val="2C3E50"/>
          <w:sz w:val="22"/>
          <w:szCs w:val="22"/>
        </w:rPr>
        <w:t xml:space="preserve">Approach B — Frequency-ergonomic: </w:t>
      </w:r>
      <w:r>
        <w:rPr>
          <w:rFonts w:ascii="Arial" w:cs="Arial" w:eastAsia="Arial" w:hAnsi="Arial"/>
          <w:color w:val="2C3E50"/>
          <w:sz w:val="22"/>
          <w:szCs w:val="22"/>
        </w:rPr>
        <w:t xml:space="preserve">Most frequent cells (POLY in PB, GRAN in BM) get best ergonomic positions regardless of cross-specimen consistency. Optimizes per-specimen-type counting speed.</w:t>
      </w:r>
    </w:p>
    <w:p>
      <w:pPr>
        <w:spacing w:after="120" w:before="0"/>
        <w:jc w:val="left"/>
      </w:pPr>
      <w:r>
        <w:rPr>
          <w:rFonts w:ascii="Arial" w:cs="Arial" w:eastAsia="Arial" w:hAnsi="Arial"/>
          <w:b/>
          <w:bCs/>
          <w:color w:val="2C3E50"/>
          <w:sz w:val="22"/>
          <w:szCs w:val="22"/>
        </w:rPr>
        <w:t xml:space="preserve">Approach C — Full 14-part unified: </w:t>
      </w:r>
      <w:r>
        <w:rPr>
          <w:rFonts w:ascii="Arial" w:cs="Arial" w:eastAsia="Arial" w:hAnsi="Arial"/>
          <w:color w:val="2C3E50"/>
          <w:sz w:val="22"/>
          <w:szCs w:val="22"/>
        </w:rPr>
        <w:t xml:space="preserve">Same 14 categories and keys for both PB and BM. Zero inconsistency. Requires three keyboard rows.</w:t>
      </w:r>
    </w:p>
    <w:p>
      <w:pPr>
        <w:spacing w:after="120" w:before="0"/>
        <w:jc w:val="left"/>
      </w:pPr>
      <w:r>
        <w:rPr>
          <w:rFonts w:ascii="Arial" w:cs="Arial" w:eastAsia="Arial" w:hAnsi="Arial"/>
          <w:b/>
          <w:bCs/>
          <w:color w:val="2C3E50"/>
          <w:sz w:val="22"/>
          <w:szCs w:val="22"/>
        </w:rPr>
        <w:t xml:space="preserve">Approach D — Legacy: </w:t>
      </w:r>
      <w:r>
        <w:rPr>
          <w:rFonts w:ascii="Arial" w:cs="Arial" w:eastAsia="Arial" w:hAnsi="Arial"/>
          <w:color w:val="2C3E50"/>
          <w:sz w:val="22"/>
          <w:szCs w:val="22"/>
        </w:rPr>
        <w:t xml:space="preserve">Preserves historical mappings exactly. For institutions unwilling to retrain.</w:t>
      </w:r>
    </w:p>
    <w:p>
      <w:pPr>
        <w:spacing w:after="120" w:before="0"/>
        <w:jc w:val="left"/>
      </w:pPr>
      <w:r>
        <w:rPr>
          <w:rFonts w:ascii="Arial" w:cs="Arial" w:eastAsia="Arial" w:hAnsi="Arial"/>
          <w:b/>
          <w:bCs/>
          <w:color w:val="2C3E50"/>
          <w:sz w:val="22"/>
          <w:szCs w:val="22"/>
        </w:rPr>
        <w:t xml:space="preserve">Approach E — Custom: </w:t>
      </w:r>
      <w:r>
        <w:rPr>
          <w:rFonts w:ascii="Arial" w:cs="Arial" w:eastAsia="Arial" w:hAnsi="Arial"/>
          <w:color w:val="2C3E50"/>
          <w:sz w:val="22"/>
          <w:szCs w:val="22"/>
        </w:rPr>
        <w:t xml:space="preserve">User arranges cells and assigns keys through the visual editor. Saved as personal or institutional profile.</w:t>
      </w:r>
    </w:p>
    <w:p>
      <w:pPr>
        <w:pStyle w:val="Heading2"/>
      </w:pPr>
      <w:r>
        <w:rPr>
          <w:rFonts w:ascii="Arial" w:cs="Arial" w:eastAsia="Arial" w:hAnsi="Arial"/>
        </w:rPr>
        <w:t xml:space="preserve">4.4 Mapping Rules</w:t>
      </w:r>
    </w:p>
    <w:p>
      <w:pPr>
        <w:spacing w:after="120" w:before="0"/>
        <w:jc w:val="left"/>
      </w:pPr>
      <w:r>
        <w:rPr>
          <w:rFonts w:ascii="Arial" w:cs="Arial" w:eastAsia="Arial" w:hAnsi="Arial"/>
          <w:b/>
          <w:bCs/>
          <w:color w:val="2C3E50"/>
          <w:sz w:val="22"/>
          <w:szCs w:val="22"/>
        </w:rPr>
        <w:t xml:space="preserve">R1. </w:t>
      </w:r>
      <w:r>
        <w:rPr>
          <w:rFonts w:ascii="Arial" w:cs="Arial" w:eastAsia="Arial" w:hAnsi="Arial"/>
          <w:color w:val="2C3E50"/>
          <w:sz w:val="22"/>
          <w:szCs w:val="22"/>
        </w:rPr>
        <w:t xml:space="preserve">One key per category per specimen type. No shared keys.</w:t>
      </w:r>
    </w:p>
    <w:p>
      <w:pPr>
        <w:spacing w:after="120" w:before="0"/>
        <w:jc w:val="left"/>
      </w:pPr>
      <w:r>
        <w:rPr>
          <w:rFonts w:ascii="Arial" w:cs="Arial" w:eastAsia="Arial" w:hAnsi="Arial"/>
          <w:b/>
          <w:bCs/>
          <w:color w:val="2C3E50"/>
          <w:sz w:val="22"/>
          <w:szCs w:val="22"/>
        </w:rPr>
        <w:t xml:space="preserve">R2. </w:t>
      </w:r>
      <w:r>
        <w:rPr>
          <w:rFonts w:ascii="Arial" w:cs="Arial" w:eastAsia="Arial" w:hAnsi="Arial"/>
          <w:color w:val="2C3E50"/>
          <w:sz w:val="22"/>
          <w:szCs w:val="22"/>
        </w:rPr>
        <w:t xml:space="preserve">Case-insensitive. Shift+key = undo. Count cannot go below 0.</w:t>
      </w:r>
    </w:p>
    <w:p>
      <w:pPr>
        <w:spacing w:after="120" w:before="0"/>
        <w:jc w:val="left"/>
      </w:pPr>
      <w:r>
        <w:rPr>
          <w:rFonts w:ascii="Arial" w:cs="Arial" w:eastAsia="Arial" w:hAnsi="Arial"/>
          <w:b/>
          <w:bCs/>
          <w:color w:val="2C3E50"/>
          <w:sz w:val="22"/>
          <w:szCs w:val="22"/>
        </w:rPr>
        <w:t xml:space="preserve">R3. </w:t>
      </w:r>
      <w:r>
        <w:rPr>
          <w:rFonts w:ascii="Arial" w:cs="Arial" w:eastAsia="Arial" w:hAnsi="Arial"/>
          <w:color w:val="2C3E50"/>
          <w:sz w:val="22"/>
          <w:szCs w:val="22"/>
        </w:rPr>
        <w:t xml:space="preserve">Unmapped keys: silently ignored (no sound, no visual feedback).</w:t>
      </w:r>
    </w:p>
    <w:p>
      <w:pPr>
        <w:spacing w:after="120" w:before="0"/>
        <w:jc w:val="left"/>
      </w:pPr>
      <w:r>
        <w:rPr>
          <w:rFonts w:ascii="Arial" w:cs="Arial" w:eastAsia="Arial" w:hAnsi="Arial"/>
          <w:b/>
          <w:bCs/>
          <w:color w:val="2C3E50"/>
          <w:sz w:val="22"/>
          <w:szCs w:val="22"/>
        </w:rPr>
        <w:t xml:space="preserve">R4. </w:t>
      </w:r>
      <w:r>
        <w:rPr>
          <w:rFonts w:ascii="Arial" w:cs="Arial" w:eastAsia="Arial" w:hAnsi="Arial"/>
          <w:color w:val="2C3E50"/>
          <w:sz w:val="22"/>
          <w:szCs w:val="22"/>
        </w:rPr>
        <w:t xml:space="preserve">Key mappings are per specimen type. Config editor can copy from BM to PB for harmonized setups.</w:t>
      </w:r>
    </w:p>
    <w:p>
      <w:pPr>
        <w:spacing w:after="120" w:before="0"/>
        <w:jc w:val="left"/>
      </w:pPr>
      <w:r>
        <w:rPr>
          <w:rFonts w:ascii="Arial" w:cs="Arial" w:eastAsia="Arial" w:hAnsi="Arial"/>
          <w:b/>
          <w:bCs/>
          <w:color w:val="2C3E50"/>
          <w:sz w:val="22"/>
          <w:szCs w:val="22"/>
        </w:rPr>
        <w:t xml:space="preserve">R5. </w:t>
      </w:r>
      <w:r>
        <w:rPr>
          <w:rFonts w:ascii="Arial" w:cs="Arial" w:eastAsia="Arial" w:hAnsi="Arial"/>
          <w:color w:val="2C3E50"/>
          <w:sz w:val="22"/>
          <w:szCs w:val="22"/>
        </w:rPr>
        <w:t xml:space="preserve">Any keyboard key is technically assignable; the editor warns about non-ergonomic choices.</w:t>
      </w:r>
    </w:p>
    <w:p>
      <w:r>
        <w:br w:type="page"/>
      </w:r>
    </w:p>
    <w:p>
      <w:pPr>
        <w:pStyle w:val="Heading1"/>
      </w:pPr>
      <w:r>
        <w:rPr>
          <w:rFonts w:ascii="Arial" w:cs="Arial" w:eastAsia="Arial" w:hAnsi="Arial"/>
        </w:rPr>
        <w:t xml:space="preserve">5. Sensory Feedback Model</w:t>
      </w:r>
    </w:p>
    <w:p>
      <w:pPr>
        <w:pStyle w:val="Heading2"/>
      </w:pPr>
      <w:r>
        <w:rPr>
          <w:rFonts w:ascii="Arial" w:cs="Arial" w:eastAsia="Arial" w:hAnsi="Arial"/>
        </w:rPr>
        <w:t xml:space="preserve">5.1 Audio Feedback (URS-027, URS-097)</w:t>
      </w:r>
    </w:p>
    <w:p>
      <w:pPr>
        <w:spacing w:after="120" w:before="0"/>
        <w:jc w:val="left"/>
      </w:pPr>
      <w:r>
        <w:rPr>
          <w:rFonts w:ascii="Arial" w:cs="Arial" w:eastAsia="Arial" w:hAnsi="Arial"/>
          <w:color w:val="2C3E50"/>
          <w:sz w:val="22"/>
          <w:szCs w:val="22"/>
        </w:rPr>
        <w:t xml:space="preserve">Audio feedback is the primary confirmation channel when the operator’s eyes are on the microscope. The system provides configurable sounds for all interaction modes. Audio is independently togglable (on/off) and all sounds are soft/non-intrusive.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Event</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Sound</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Purpose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Valid cell count keystroke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Short click (optionally speaks cell name, e.g., soft “blast”)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Confirms count registered and identifies which category was incremented</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Undo (Shift+key)</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Distinct reverse/undo tone</w:t>
            </w:r>
          </w:p>
        </w:tc>
        <w:tc>
          <w:tcPr>
            <w:tcW w:type="dxa" w:w="4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Distinguishes decrement from increment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Target count reached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Brief chime or bell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Non-blocking notification that advisory target is met</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Text entry in comments</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Typewriter-style keystroke sound</w:t>
            </w:r>
          </w:p>
        </w:tc>
        <w:tc>
          <w:tcPr>
            <w:tcW w:type="dxa" w:w="4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Indicates keystrokes are going to comments, not counter — prevents focus confusion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Unmapped key during counting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Silence (no sound)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Unmapped keys are ignored, not errored</w:t>
            </w:r>
          </w:p>
        </w:tc>
      </w:tr>
      <w:tr>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Error condition (e.g., Shift+key when count=0)</w:t>
            </w:r>
          </w:p>
        </w:tc>
        <w:tc>
          <w:tcPr>
            <w:tcW w:type="dxa" w:w="25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Silence or very soft thud</w:t>
            </w:r>
          </w:p>
        </w:tc>
        <w:tc>
          <w:tcPr>
            <w:tcW w:type="dxa" w:w="4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Minimal — non-events should not alarm</w:t>
            </w:r>
          </w:p>
        </w:tc>
      </w:tr>
    </w:tbl>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5.2 Visual Feedback</w:t>
      </w:r>
    </w:p>
    <w:p>
      <w:pPr>
        <w:spacing w:after="120" w:before="0"/>
        <w:jc w:val="left"/>
      </w:pPr>
      <w:r>
        <w:rPr>
          <w:rFonts w:ascii="Arial" w:cs="Arial" w:eastAsia="Arial" w:hAnsi="Arial"/>
          <w:b/>
          <w:bCs/>
          <w:color w:val="2C3E50"/>
          <w:sz w:val="22"/>
          <w:szCs w:val="22"/>
        </w:rPr>
        <w:t xml:space="preserve">Valid keystroke: </w:t>
      </w:r>
      <w:r>
        <w:rPr>
          <w:rFonts w:ascii="Arial" w:cs="Arial" w:eastAsia="Arial" w:hAnsi="Arial"/>
          <w:color w:val="2C3E50"/>
          <w:sz w:val="22"/>
          <w:szCs w:val="22"/>
        </w:rPr>
        <w:t xml:space="preserve">Brief highlight flash on the incremented category column (color pulse, ~200ms).</w:t>
      </w:r>
    </w:p>
    <w:p>
      <w:pPr>
        <w:spacing w:after="120" w:before="0"/>
        <w:jc w:val="left"/>
      </w:pPr>
      <w:r>
        <w:rPr>
          <w:rFonts w:ascii="Arial" w:cs="Arial" w:eastAsia="Arial" w:hAnsi="Arial"/>
          <w:b/>
          <w:bCs/>
          <w:color w:val="2C3E50"/>
          <w:sz w:val="22"/>
          <w:szCs w:val="22"/>
        </w:rPr>
        <w:t xml:space="preserve">Target reached: </w:t>
      </w:r>
      <w:r>
        <w:rPr>
          <w:rFonts w:ascii="Arial" w:cs="Arial" w:eastAsia="Arial" w:hAnsi="Arial"/>
          <w:color w:val="2C3E50"/>
          <w:sz w:val="22"/>
          <w:szCs w:val="22"/>
        </w:rPr>
        <w:t xml:space="preserve">Progress bar turns green. No modal, no dialog.</w:t>
      </w:r>
    </w:p>
    <w:p>
      <w:pPr>
        <w:spacing w:after="120" w:before="0"/>
        <w:jc w:val="left"/>
      </w:pPr>
      <w:r>
        <w:rPr>
          <w:rFonts w:ascii="Arial" w:cs="Arial" w:eastAsia="Arial" w:hAnsi="Arial"/>
          <w:b/>
          <w:bCs/>
          <w:color w:val="2C3E50"/>
          <w:sz w:val="22"/>
          <w:szCs w:val="22"/>
        </w:rPr>
        <w:t xml:space="preserve">Abnormal cell in PB: </w:t>
      </w:r>
      <w:r>
        <w:rPr>
          <w:rFonts w:ascii="Arial" w:cs="Arial" w:eastAsia="Arial" w:hAnsi="Arial"/>
          <w:color w:val="2C3E50"/>
          <w:sz w:val="22"/>
          <w:szCs w:val="22"/>
        </w:rPr>
        <w:t xml:space="preserve">Categories flagged abnormalInPB render with distinct visual treatment (e.g., outlined, different background) when counted.</w:t>
      </w:r>
    </w:p>
    <w:p>
      <w:pPr>
        <w:spacing w:after="120" w:before="0"/>
        <w:jc w:val="left"/>
      </w:pPr>
      <w:r>
        <w:rPr>
          <w:rFonts w:ascii="Arial" w:cs="Arial" w:eastAsia="Arial" w:hAnsi="Arial"/>
          <w:b/>
          <w:bCs/>
          <w:color w:val="2C3E50"/>
          <w:sz w:val="22"/>
          <w:szCs w:val="22"/>
        </w:rPr>
        <w:t xml:space="preserve">Aggregated category: </w:t>
      </w:r>
      <w:r>
        <w:rPr>
          <w:rFonts w:ascii="Arial" w:cs="Arial" w:eastAsia="Arial" w:hAnsi="Arial"/>
          <w:color w:val="2C3E50"/>
          <w:sz w:val="22"/>
          <w:szCs w:val="22"/>
        </w:rPr>
        <w:t xml:space="preserve">Tooltip on mouseover lists constituent cell types (URS-096).</w:t>
      </w:r>
    </w:p>
    <w:p>
      <w:pPr>
        <w:pStyle w:val="Heading2"/>
      </w:pPr>
      <w:r>
        <w:rPr>
          <w:rFonts w:ascii="Arial" w:cs="Arial" w:eastAsia="Arial" w:hAnsi="Arial"/>
        </w:rPr>
        <w:t xml:space="preserve">5.3 Focus Management</w:t>
      </w:r>
    </w:p>
    <w:p>
      <w:pPr>
        <w:spacing w:after="120" w:before="0"/>
        <w:jc w:val="left"/>
      </w:pPr>
      <w:r>
        <w:rPr>
          <w:rFonts w:ascii="Arial" w:cs="Arial" w:eastAsia="Arial" w:hAnsi="Arial"/>
          <w:color w:val="2C3E50"/>
          <w:sz w:val="22"/>
          <w:szCs w:val="22"/>
        </w:rPr>
        <w:t xml:space="preserve">Counting keystrokes are captured at the document/window level. When the Morphology Comments section is expanded and focused, keystrokes go to the text field — signaled by typewriter audio feedback. Collapsing the comments section (clicking its header or pressing Escape) returns focus to the counting grid. Audio feedback immediately switches from typewriter sounds to count-confirmation sounds, providing an unambiguous signal of focus state.</w:t>
      </w:r>
    </w:p>
    <w:p>
      <w:r>
        <w:br w:type="page"/>
      </w:r>
    </w:p>
    <w:p>
      <w:pPr>
        <w:pStyle w:val="Heading1"/>
      </w:pPr>
      <w:r>
        <w:rPr>
          <w:rFonts w:ascii="Arial" w:cs="Arial" w:eastAsia="Arial" w:hAnsi="Arial"/>
        </w:rPr>
        <w:t xml:space="preserve">6. Use Cases</w:t>
      </w:r>
    </w:p>
    <w:p>
      <w:pPr>
        <w:spacing w:after="120" w:before="0"/>
        <w:jc w:val="left"/>
      </w:pPr>
      <w:r>
        <w:rPr>
          <w:rFonts w:ascii="Arial" w:cs="Arial" w:eastAsia="Arial" w:hAnsi="Arial"/>
          <w:color w:val="2C3E50"/>
          <w:sz w:val="22"/>
          <w:szCs w:val="22"/>
        </w:rPr>
        <w:t xml:space="preserve">Each use case traces to URS-001 v2.0 requirements. Full actor/precondition/trigger/flow/alternative structure.</w:t>
      </w:r>
    </w:p>
    <w:p>
      <w:pPr>
        <w:pStyle w:val="Heading2"/>
      </w:pPr>
      <w:r>
        <w:rPr>
          <w:rFonts w:ascii="Arial" w:cs="Arial" w:eastAsia="Arial" w:hAnsi="Arial"/>
        </w:rPr>
        <w:t xml:space="preserve">6.1 UC-01: First Launch / Configuration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Any user</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No config cached.</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Navigate to app.</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Config Selection screen: catalog presets, import JSON, or open visual editor.</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User selects or creates config.</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Config cached in localStorage.</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Counting screen with default specimen type.</w:t>
      </w:r>
    </w:p>
    <w:p>
      <w:pPr>
        <w:spacing w:after="120" w:before="4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2a. Visual editor: interactive cell arrangement, key assignment, save.</w:t>
      </w:r>
    </w:p>
    <w:p>
      <w:pPr>
        <w:spacing w:after="120" w:before="0"/>
        <w:ind w:left="360"/>
        <w:jc w:val="left"/>
      </w:pPr>
      <w:r>
        <w:rPr>
          <w:rFonts w:ascii="Arial" w:cs="Arial" w:eastAsia="Arial" w:hAnsi="Arial"/>
          <w:i/>
          <w:iCs/>
          <w:color w:val="2C3E50"/>
          <w:sz w:val="22"/>
          <w:szCs w:val="22"/>
        </w:rPr>
        <w:t xml:space="preserve">3a. Network error: import local JSON.</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6.2 UC-02: Start a New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Config loaded.</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Select specimen type, optionally enter case number, press Start Count.</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Specimen-type selector visible. Case number field present (optional unless config requires it).</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User presses Start Count (button or Enter key). System timestamps count start.</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All counters at 0. Progress: 0 / target. Keyboard capturing begins.</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Audio feedback activates (if enabled).</w:t>
      </w:r>
    </w:p>
    <w:p>
      <w:pPr>
        <w:spacing w:after="120" w:before="4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2a. Barcode scanner: scans case number + Enter → auto-starts count.</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6.3 UC-03: Count Cells via Keyboard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active.</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Press mapped key.</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Category +1. Total +1. Percentages and formulas recalculate.</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Audio confirmation (click or spoken name). Visual column flash.</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Progress updates. At target: bar turns green, optional chime. No blocking. Counting continues.</w:t>
      </w:r>
    </w:p>
    <w:p>
      <w:pPr>
        <w:spacing w:after="120" w:before="40"/>
        <w:jc w:val="left"/>
      </w:pPr>
      <w:r>
        <w:rPr>
          <w:rFonts w:ascii="Arial" w:cs="Arial" w:eastAsia="Arial" w:hAnsi="Arial"/>
          <w:b/>
          <w:bCs/>
          <w:color w:val="2C3E50"/>
          <w:sz w:val="22"/>
          <w:szCs w:val="22"/>
        </w:rPr>
        <w:t xml:space="preserve">Alternatives:</w:t>
      </w:r>
    </w:p>
    <w:p>
      <w:pPr>
        <w:spacing w:after="120" w:before="0"/>
        <w:ind w:left="360"/>
        <w:jc w:val="left"/>
      </w:pPr>
      <w:r>
        <w:rPr>
          <w:rFonts w:ascii="Arial" w:cs="Arial" w:eastAsia="Arial" w:hAnsi="Arial"/>
          <w:i/>
          <w:iCs/>
          <w:color w:val="2C3E50"/>
          <w:sz w:val="22"/>
          <w:szCs w:val="22"/>
        </w:rPr>
        <w:t xml:space="preserve">Unmapped key: silent ignore.</w:t>
      </w:r>
    </w:p>
    <w:p>
      <w:pPr>
        <w:spacing w:after="120" w:before="0"/>
        <w:ind w:left="360"/>
        <w:jc w:val="left"/>
      </w:pPr>
      <w:r>
        <w:rPr>
          <w:rFonts w:ascii="Arial" w:cs="Arial" w:eastAsia="Arial" w:hAnsi="Arial"/>
          <w:i/>
          <w:iCs/>
          <w:color w:val="2C3E50"/>
          <w:sz w:val="22"/>
          <w:szCs w:val="22"/>
        </w:rPr>
        <w:t xml:space="preserve">Shift+key: decrement by 1 (if &gt;0), undo sound.</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6.4 UC-04: Complete Count and View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Total &gt; 0.</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Click Count Done.</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Results screen: case number, specimen type, total, per-category counts/%, formulas, absolute counts (if WBC entered).</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Sub-target: informational note. No blocking dialog.</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Continue Counting → button prominent.</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Export options: JSON, CSV, Clipboard, PDF/Print.</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6.5 UC-05: Resume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Results screen.</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Click Continue Counting →.</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Returns to counting with all tallies, comments preserved.</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Additional keystrokes add to existing counts.</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Count Done returns to updated Results.</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6.6 UC-06: Low-Count / Paucicellular Specimen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&lt; target.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Done at any total.</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Results with normal percentages.</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Inline: “47-cell count; confidence reduced for populations &lt;5%.”</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No blocking, no confirmation.</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Continue Counting available if additional material obtained.</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6.7 UC-07: Export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Any user</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Results screen.</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Select format.</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JSON: full CountSession object.</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CSV: metadata + data rows.</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Clipboard: formatted text for LIS paste.</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PDF/Print: print-friendly layout.</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6.8 UC-08: Enter Absolute Count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Counting or Results screen. absoluteCounts ≠ "disabled".</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enters total WBC from analyzer.</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Optional WBC input field accepts numeric value.</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Absolute counts computed: WBC × percentage / 100 for each category.</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Absolute counts displayed alongside percentages.</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Included in exports.</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6.9 UC-09: Record Morphology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Counting screen.</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Expand comments section.</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Collapsible area expands. Focus shifts to text field. Audio switches to typewriter sounds.</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Free-text entry. Optional structured checkboxes (if config defines templates).</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Collapse (click header or Escape): focus returns to counting grid, audio switches back.</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Comments preserved across Count Done / Continue Counting cycles.</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6.10 UC-10: Configure via Visual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Any user</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Settings or first launch.</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Open configuration editor.</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Complete reference cell set displayed.</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User selects cells to include, drags to arrange order.</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Aggregation: drag one cell onto another → merged category with standard name and tooltip.</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Assign keys: click category, press key.</w:t>
      </w:r>
    </w:p>
    <w:p>
      <w:pPr>
        <w:spacing w:after="120" w:before="0"/>
        <w:ind w:left="360"/>
        <w:jc w:val="left"/>
      </w:pPr>
      <w:r>
        <w:rPr>
          <w:rFonts w:ascii="Arial" w:cs="Arial" w:eastAsia="Arial" w:hAnsi="Arial"/>
          <w:b/>
          <w:bCs/>
          <w:color w:val="2C3E50"/>
          <w:sz w:val="22"/>
          <w:szCs w:val="22"/>
        </w:rPr>
        <w:t xml:space="preserve">5. </w:t>
      </w:r>
      <w:r>
        <w:rPr>
          <w:rFonts w:ascii="Arial" w:cs="Arial" w:eastAsia="Arial" w:hAnsi="Arial"/>
          <w:color w:val="2C3E50"/>
          <w:sz w:val="22"/>
          <w:szCs w:val="22"/>
        </w:rPr>
        <w:t xml:space="preserve">Set target counts, formulas, handedness.</w:t>
      </w:r>
    </w:p>
    <w:p>
      <w:pPr>
        <w:spacing w:after="120" w:before="0"/>
        <w:ind w:left="360"/>
        <w:jc w:val="left"/>
      </w:pPr>
      <w:r>
        <w:rPr>
          <w:rFonts w:ascii="Arial" w:cs="Arial" w:eastAsia="Arial" w:hAnsi="Arial"/>
          <w:b/>
          <w:bCs/>
          <w:color w:val="2C3E50"/>
          <w:sz w:val="22"/>
          <w:szCs w:val="22"/>
        </w:rPr>
        <w:t xml:space="preserve">6. </w:t>
      </w:r>
      <w:r>
        <w:rPr>
          <w:rFonts w:ascii="Arial" w:cs="Arial" w:eastAsia="Arial" w:hAnsi="Arial"/>
          <w:color w:val="2C3E50"/>
          <w:sz w:val="22"/>
          <w:szCs w:val="22"/>
        </w:rPr>
        <w:t xml:space="preserve">Save as JSON file and/or apply directly.</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6.11 UC-11: Recover from Browser Crash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Any user</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autosave: true. Browser closed during count.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User reopens app.</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App detects saved count state in localStorage.</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Prompt: “Recover interrupted count? Case: S1234, 342/500 cells.”</w:t>
      </w:r>
    </w:p>
    <w:p>
      <w:pPr>
        <w:spacing w:after="120" w:before="0"/>
        <w:ind w:left="360"/>
        <w:jc w:val="left"/>
      </w:pPr>
      <w:r>
        <w:rPr>
          <w:rFonts w:ascii="Arial" w:cs="Arial" w:eastAsia="Arial" w:hAnsi="Arial"/>
          <w:b/>
          <w:bCs/>
          <w:color w:val="2C3E50"/>
          <w:sz w:val="22"/>
          <w:szCs w:val="22"/>
        </w:rPr>
        <w:t xml:space="preserve">3. </w:t>
      </w:r>
      <w:r>
        <w:rPr>
          <w:rFonts w:ascii="Arial" w:cs="Arial" w:eastAsia="Arial" w:hAnsi="Arial"/>
          <w:color w:val="2C3E50"/>
          <w:sz w:val="22"/>
          <w:szCs w:val="22"/>
        </w:rPr>
        <w:t xml:space="preserve">User confirms: counting resumes exactly where interrupted.</w:t>
      </w:r>
    </w:p>
    <w:p>
      <w:pPr>
        <w:spacing w:after="120" w:before="0"/>
        <w:ind w:left="360"/>
        <w:jc w:val="left"/>
      </w:pPr>
      <w:r>
        <w:rPr>
          <w:rFonts w:ascii="Arial" w:cs="Arial" w:eastAsia="Arial" w:hAnsi="Arial"/>
          <w:b/>
          <w:bCs/>
          <w:color w:val="2C3E50"/>
          <w:sz w:val="22"/>
          <w:szCs w:val="22"/>
        </w:rPr>
        <w:t xml:space="preserve">4. </w:t>
      </w:r>
      <w:r>
        <w:rPr>
          <w:rFonts w:ascii="Arial" w:cs="Arial" w:eastAsia="Arial" w:hAnsi="Arial"/>
          <w:color w:val="2C3E50"/>
          <w:sz w:val="22"/>
          <w:szCs w:val="22"/>
        </w:rPr>
        <w:t xml:space="preserve">User declines: saved state cleared, normal start.</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6.12 UC-12: Switch Specimen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Config with multiple specimen types.</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Change selector.</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If count in progress: confirmation. Save to session history if case number present.</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Tallies reset, mappings change, categories update.</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6.13 UC-13: Reset Current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Actor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Pathologist</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Precondition</w:t>
            </w:r>
          </w:p>
        </w:tc>
        <w:tc>
          <w:tcPr>
            <w:tcW w:type="dxa" w:w="77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active.</w:t>
            </w:r>
          </w:p>
        </w:tc>
      </w:tr>
      <w:tr>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2C3E50"/>
                <w:sz w:val="20"/>
                <w:szCs w:val="20"/>
              </w:rPr>
              <w:t xml:space="preserve">Trigger</w:t>
            </w:r>
          </w:p>
        </w:tc>
        <w:tc>
          <w:tcPr>
            <w:tcW w:type="dxa" w:w="7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Click Reset.</w:t>
            </w:r>
          </w:p>
        </w:tc>
      </w:tr>
    </w:tbl>
    <w:p>
      <w:pPr>
        <w:spacing w:after="120" w:before="80"/>
        <w:jc w:val="left"/>
      </w:pPr>
      <w:r>
        <w:rPr>
          <w:rFonts w:ascii="Arial" w:cs="Arial" w:eastAsia="Arial" w:hAnsi="Arial"/>
          <w:b/>
          <w:bCs/>
          <w:color w:val="2C3E50"/>
          <w:sz w:val="22"/>
          <w:szCs w:val="22"/>
        </w:rPr>
        <w:t xml:space="preserve">Flow:</w:t>
      </w:r>
    </w:p>
    <w:p>
      <w:pPr>
        <w:spacing w:after="120" w:before="0"/>
        <w:ind w:left="360"/>
        <w:jc w:val="left"/>
      </w:pPr>
      <w:r>
        <w:rPr>
          <w:rFonts w:ascii="Arial" w:cs="Arial" w:eastAsia="Arial" w:hAnsi="Arial"/>
          <w:b/>
          <w:bCs/>
          <w:color w:val="2C3E50"/>
          <w:sz w:val="22"/>
          <w:szCs w:val="22"/>
        </w:rPr>
        <w:t xml:space="preserve">1. </w:t>
      </w:r>
      <w:r>
        <w:rPr>
          <w:rFonts w:ascii="Arial" w:cs="Arial" w:eastAsia="Arial" w:hAnsi="Arial"/>
          <w:color w:val="2C3E50"/>
          <w:sz w:val="22"/>
          <w:szCs w:val="22"/>
        </w:rPr>
        <w:t xml:space="preserve">Confirmation: “Reset all counts to zero?”</w:t>
      </w:r>
    </w:p>
    <w:p>
      <w:pPr>
        <w:spacing w:after="120" w:before="0"/>
        <w:ind w:left="360"/>
        <w:jc w:val="left"/>
      </w:pPr>
      <w:r>
        <w:rPr>
          <w:rFonts w:ascii="Arial" w:cs="Arial" w:eastAsia="Arial" w:hAnsi="Arial"/>
          <w:b/>
          <w:bCs/>
          <w:color w:val="2C3E50"/>
          <w:sz w:val="22"/>
          <w:szCs w:val="22"/>
        </w:rPr>
        <w:t xml:space="preserve">2. </w:t>
      </w:r>
      <w:r>
        <w:rPr>
          <w:rFonts w:ascii="Arial" w:cs="Arial" w:eastAsia="Arial" w:hAnsi="Arial"/>
          <w:color w:val="2C3E50"/>
          <w:sz w:val="22"/>
          <w:szCs w:val="22"/>
        </w:rPr>
        <w:t xml:space="preserve">All tallies to 0. Specimen type and config preserved. Case number cleared, cursor in case field.</w:t>
      </w:r>
    </w:p>
    <w:p>
      <w:pPr>
        <w:spacing w:after="120" w:before="0"/>
        <w:jc w:val="left"/>
      </w:pPr>
      <w:r>
        <w:rPr>
          <w:rFonts w:ascii="Arial" w:cs="Arial" w:eastAsia="Arial" w:hAnsi="Arial"/>
          <w:color w:val="2C3E50"/>
          <w:sz w:val="22"/>
          <w:szCs w:val="22"/>
        </w:rPr>
        <w:t xml:space="preserve"/>
      </w:r>
    </w:p>
    <w:p>
      <w:r>
        <w:br w:type="page"/>
      </w:r>
    </w:p>
    <w:p>
      <w:pPr>
        <w:pStyle w:val="Heading1"/>
      </w:pPr>
      <w:r>
        <w:rPr>
          <w:rFonts w:ascii="Arial" w:cs="Arial" w:eastAsia="Arial" w:hAnsi="Arial"/>
        </w:rPr>
        <w:t xml:space="preserve">7. Data Model</w:t>
      </w:r>
    </w:p>
    <w:p>
      <w:pPr>
        <w:pStyle w:val="Heading2"/>
      </w:pPr>
      <w:r>
        <w:rPr>
          <w:rFonts w:ascii="Arial" w:cs="Arial" w:eastAsia="Arial" w:hAnsi="Arial"/>
        </w:rPr>
        <w:t xml:space="preserve">7.1 CountSession Object</w:t>
      </w:r>
    </w:p>
    <w:p>
      <w:pPr>
        <w:shd w:fill="F0F4F8" w:val="clear"/>
        <w:spacing w:after="40" w:before="40"/>
        <w:ind w:left="360"/>
      </w:pPr>
      <w:r>
        <w:rPr>
          <w:rFonts w:ascii="Courier New" w:cs="Courier New" w:eastAsia="Courier New" w:hAnsi="Courier New"/>
          <w:color w:val="333333"/>
          <w:sz w:val="18"/>
          <w:szCs w:val="18"/>
        </w:rPr>
        <w:t xml:space="preserve">{</w:t>
      </w:r>
    </w:p>
    <w:p>
      <w:pPr>
        <w:shd w:fill="F0F4F8" w:val="clear"/>
        <w:spacing w:after="40" w:before="40"/>
        <w:ind w:left="360"/>
      </w:pPr>
      <w:r>
        <w:rPr>
          <w:rFonts w:ascii="Courier New" w:cs="Courier New" w:eastAsia="Courier New" w:hAnsi="Courier New"/>
          <w:color w:val="333333"/>
          <w:sz w:val="18"/>
          <w:szCs w:val="18"/>
        </w:rPr>
        <w:t xml:space="preserve">  "sessionId": "uuid-v4",</w:t>
      </w:r>
    </w:p>
    <w:p>
      <w:pPr>
        <w:shd w:fill="F0F4F8" w:val="clear"/>
        <w:spacing w:after="40" w:before="40"/>
        <w:ind w:left="360"/>
      </w:pPr>
      <w:r>
        <w:rPr>
          <w:rFonts w:ascii="Courier New" w:cs="Courier New" w:eastAsia="Courier New" w:hAnsi="Courier New"/>
          <w:color w:val="333333"/>
          <w:sz w:val="18"/>
          <w:szCs w:val="18"/>
        </w:rPr>
        <w:t xml:space="preserve">  "configId": "harmonized-9part",</w:t>
      </w:r>
    </w:p>
    <w:p>
      <w:pPr>
        <w:shd w:fill="F0F4F8" w:val="clear"/>
        <w:spacing w:after="40" w:before="40"/>
        <w:ind w:left="360"/>
      </w:pPr>
      <w:r>
        <w:rPr>
          <w:rFonts w:ascii="Courier New" w:cs="Courier New" w:eastAsia="Courier New" w:hAnsi="Courier New"/>
          <w:color w:val="333333"/>
          <w:sz w:val="18"/>
          <w:szCs w:val="18"/>
        </w:rPr>
        <w:t xml:space="preserve">  "configVersion": "1.0.0",</w:t>
      </w:r>
    </w:p>
    <w:p>
      <w:pPr>
        <w:shd w:fill="F0F4F8" w:val="clear"/>
        <w:spacing w:after="40" w:before="40"/>
        <w:ind w:left="360"/>
      </w:pPr>
      <w:r>
        <w:rPr>
          <w:rFonts w:ascii="Courier New" w:cs="Courier New" w:eastAsia="Courier New" w:hAnsi="Courier New"/>
          <w:color w:val="333333"/>
          <w:sz w:val="18"/>
          <w:szCs w:val="18"/>
        </w:rPr>
        <w:t xml:space="preserve">  "specimenType": "peripheralBlood",</w:t>
      </w:r>
    </w:p>
    <w:p>
      <w:pPr>
        <w:shd w:fill="F0F4F8" w:val="clear"/>
        <w:spacing w:after="40" w:before="40"/>
        <w:ind w:left="360"/>
      </w:pPr>
      <w:r>
        <w:rPr>
          <w:rFonts w:ascii="Courier New" w:cs="Courier New" w:eastAsia="Courier New" w:hAnsi="Courier New"/>
          <w:color w:val="333333"/>
          <w:sz w:val="18"/>
          <w:szCs w:val="18"/>
        </w:rPr>
        <w:t xml:space="preserve">  "caseNumber": "S1234" | null,</w:t>
      </w:r>
    </w:p>
    <w:p>
      <w:pPr>
        <w:shd w:fill="F0F4F8" w:val="clear"/>
        <w:spacing w:after="40" w:before="40"/>
        <w:ind w:left="360"/>
      </w:pPr>
      <w:r>
        <w:rPr>
          <w:rFonts w:ascii="Courier New" w:cs="Courier New" w:eastAsia="Courier New" w:hAnsi="Courier New"/>
          <w:color w:val="333333"/>
          <w:sz w:val="18"/>
          <w:szCs w:val="18"/>
        </w:rPr>
        <w:t xml:space="preserve">  "examiner": null,             // Reserved for Phase 2</w:t>
      </w:r>
    </w:p>
    <w:p>
      <w:pPr>
        <w:shd w:fill="F0F4F8" w:val="clear"/>
        <w:spacing w:after="40" w:before="40"/>
        <w:ind w:left="360"/>
      </w:pPr>
      <w:r>
        <w:rPr>
          <w:rFonts w:ascii="Courier New" w:cs="Courier New" w:eastAsia="Courier New" w:hAnsi="Courier New"/>
          <w:color w:val="333333"/>
          <w:sz w:val="18"/>
          <w:szCs w:val="18"/>
        </w:rPr>
        <w:t xml:space="preserve">  "startedAt": "2026-02-24T08:15:00Z",</w:t>
      </w:r>
    </w:p>
    <w:p>
      <w:pPr>
        <w:shd w:fill="F0F4F8" w:val="clear"/>
        <w:spacing w:after="40" w:before="40"/>
        <w:ind w:left="360"/>
      </w:pPr>
      <w:r>
        <w:rPr>
          <w:rFonts w:ascii="Courier New" w:cs="Courier New" w:eastAsia="Courier New" w:hAnsi="Courier New"/>
          <w:color w:val="333333"/>
          <w:sz w:val="18"/>
          <w:szCs w:val="18"/>
        </w:rPr>
        <w:t xml:space="preserve">  "completedAt": "2026-02-24T08:17:42Z" | null,</w:t>
      </w:r>
    </w:p>
    <w:p>
      <w:pPr>
        <w:shd w:fill="F0F4F8" w:val="clear"/>
        <w:spacing w:after="40" w:before="40"/>
        <w:ind w:left="360"/>
      </w:pPr>
      <w:r>
        <w:rPr>
          <w:rFonts w:ascii="Courier New" w:cs="Courier New" w:eastAsia="Courier New" w:hAnsi="Courier New"/>
          <w:color w:val="333333"/>
          <w:sz w:val="18"/>
          <w:szCs w:val="18"/>
        </w:rPr>
        <w:t xml:space="preserve">  "targetCount": 100,</w:t>
      </w:r>
    </w:p>
    <w:p>
      <w:pPr>
        <w:shd w:fill="F0F4F8" w:val="clear"/>
        <w:spacing w:after="40" w:before="40"/>
        <w:ind w:left="360"/>
      </w:pPr>
      <w:r>
        <w:rPr>
          <w:rFonts w:ascii="Courier New" w:cs="Courier New" w:eastAsia="Courier New" w:hAnsi="Courier New"/>
          <w:color w:val="333333"/>
          <w:sz w:val="18"/>
          <w:szCs w:val="18"/>
        </w:rPr>
        <w:t xml:space="preserve">  "counts": { "BLAST":1, "PRO":0, "POLY":62, ... },</w:t>
      </w:r>
    </w:p>
    <w:p>
      <w:pPr>
        <w:shd w:fill="F0F4F8" w:val="clear"/>
        <w:spacing w:after="40" w:before="40"/>
        <w:ind w:left="360"/>
      </w:pPr>
      <w:r>
        <w:rPr>
          <w:rFonts w:ascii="Courier New" w:cs="Courier New" w:eastAsia="Courier New" w:hAnsi="Courier New"/>
          <w:color w:val="333333"/>
          <w:sz w:val="18"/>
          <w:szCs w:val="18"/>
        </w:rPr>
        <w:t xml:space="preserve">  "totalCount": 100,</w:t>
      </w:r>
    </w:p>
    <w:p>
      <w:pPr>
        <w:shd w:fill="F0F4F8" w:val="clear"/>
        <w:spacing w:after="40" w:before="40"/>
        <w:ind w:left="360"/>
      </w:pPr>
      <w:r>
        <w:rPr>
          <w:rFonts w:ascii="Courier New" w:cs="Courier New" w:eastAsia="Courier New" w:hAnsi="Courier New"/>
          <w:color w:val="333333"/>
          <w:sz w:val="18"/>
          <w:szCs w:val="18"/>
        </w:rPr>
        <w:t xml:space="preserve">  "percentages": { ... },</w:t>
      </w:r>
    </w:p>
    <w:p>
      <w:pPr>
        <w:shd w:fill="F0F4F8" w:val="clear"/>
        <w:spacing w:after="40" w:before="40"/>
        <w:ind w:left="360"/>
      </w:pPr>
      <w:r>
        <w:rPr>
          <w:rFonts w:ascii="Courier New" w:cs="Courier New" w:eastAsia="Courier New" w:hAnsi="Courier New"/>
          <w:color w:val="333333"/>
          <w:sz w:val="18"/>
          <w:szCs w:val="18"/>
        </w:rPr>
        <w:t xml:space="preserve">  "wbcTotal": 8500 | null,      // Analyzer WBC for absolute counts</w:t>
      </w:r>
    </w:p>
    <w:p>
      <w:pPr>
        <w:shd w:fill="F0F4F8" w:val="clear"/>
        <w:spacing w:after="40" w:before="40"/>
        <w:ind w:left="360"/>
      </w:pPr>
      <w:r>
        <w:rPr>
          <w:rFonts w:ascii="Courier New" w:cs="Courier New" w:eastAsia="Courier New" w:hAnsi="Courier New"/>
          <w:color w:val="333333"/>
          <w:sz w:val="18"/>
          <w:szCs w:val="18"/>
        </w:rPr>
        <w:t xml:space="preserve">  "absoluteCounts": { "POLY": 5270, ... } | null,</w:t>
      </w:r>
    </w:p>
    <w:p>
      <w:pPr>
        <w:shd w:fill="F0F4F8" w:val="clear"/>
        <w:spacing w:after="40" w:before="40"/>
        <w:ind w:left="360"/>
      </w:pPr>
      <w:r>
        <w:rPr>
          <w:rFonts w:ascii="Courier New" w:cs="Courier New" w:eastAsia="Courier New" w:hAnsi="Courier New"/>
          <w:color w:val="333333"/>
          <w:sz w:val="18"/>
          <w:szCs w:val="18"/>
        </w:rPr>
        <w:t xml:space="preserve">  "formulas": { "ME_ratio": { "value": null, "display": "N/A" } },</w:t>
      </w:r>
    </w:p>
    <w:p>
      <w:pPr>
        <w:shd w:fill="F0F4F8" w:val="clear"/>
        <w:spacing w:after="40" w:before="40"/>
        <w:ind w:left="360"/>
      </w:pPr>
      <w:r>
        <w:rPr>
          <w:rFonts w:ascii="Courier New" w:cs="Courier New" w:eastAsia="Courier New" w:hAnsi="Courier New"/>
          <w:color w:val="333333"/>
          <w:sz w:val="18"/>
          <w:szCs w:val="18"/>
        </w:rPr>
        <w:t xml:space="preserve">  "comments": "Toxic granulation noted",</w:t>
      </w:r>
    </w:p>
    <w:p>
      <w:pPr>
        <w:shd w:fill="F0F4F8" w:val="clear"/>
        <w:spacing w:after="40" w:before="40"/>
        <w:ind w:left="360"/>
      </w:pPr>
      <w:r>
        <w:rPr>
          <w:rFonts w:ascii="Courier New" w:cs="Courier New" w:eastAsia="Courier New" w:hAnsi="Courier New"/>
          <w:color w:val="333333"/>
          <w:sz w:val="18"/>
          <w:szCs w:val="18"/>
        </w:rPr>
        <w:t xml:space="preserve">  "structuredComments": { "toxicGranulation": true, ... } | null,</w:t>
      </w:r>
    </w:p>
    <w:p>
      <w:pPr>
        <w:shd w:fill="F0F4F8" w:val="clear"/>
        <w:spacing w:after="40" w:before="40"/>
        <w:ind w:left="360"/>
      </w:pPr>
      <w:r>
        <w:rPr>
          <w:rFonts w:ascii="Courier New" w:cs="Courier New" w:eastAsia="Courier New" w:hAnsi="Courier New"/>
          <w:color w:val="333333"/>
          <w:sz w:val="18"/>
          <w:szCs w:val="18"/>
        </w:rPr>
        <w:t xml:space="preserve">  "resumeCount": 0,</w:t>
      </w:r>
    </w:p>
    <w:p>
      <w:pPr>
        <w:shd w:fill="F0F4F8" w:val="clear"/>
        <w:spacing w:after="40" w:before="40"/>
        <w:ind w:left="360"/>
      </w:pPr>
      <w:r>
        <w:rPr>
          <w:rFonts w:ascii="Courier New" w:cs="Courier New" w:eastAsia="Courier New" w:hAnsi="Courier New"/>
          <w:color w:val="333333"/>
          <w:sz w:val="18"/>
          <w:szCs w:val="18"/>
        </w:rPr>
        <w:t xml:space="preserve">  "audioEnabled": true</w:t>
      </w:r>
    </w:p>
    <w:p>
      <w:pPr>
        <w:shd w:fill="F0F4F8" w:val="clear"/>
        <w:spacing w:after="40" w:before="40"/>
        <w:ind w:left="360"/>
      </w:pPr>
      <w:r>
        <w:rPr>
          <w:rFonts w:ascii="Courier New" w:cs="Courier New" w:eastAsia="Courier New" w:hAnsi="Courier New"/>
          <w:color w:val="333333"/>
          <w:sz w:val="18"/>
          <w:szCs w:val="18"/>
        </w:rPr>
        <w:t xml:space="preserve">}</w:t>
      </w:r>
    </w:p>
    <w:p>
      <w:pPr>
        <w:spacing w:after="120" w:before="0"/>
        <w:jc w:val="left"/>
      </w:pPr>
      <w:r>
        <w:rPr>
          <w:rFonts w:ascii="Arial" w:cs="Arial" w:eastAsia="Arial" w:hAnsi="Arial"/>
          <w:color w:val="2C3E50"/>
          <w:sz w:val="22"/>
          <w:szCs w:val="22"/>
        </w:rPr>
        <w:t xml:space="preserve"/>
      </w:r>
    </w:p>
    <w:p>
      <w:pPr>
        <w:pStyle w:val="Heading2"/>
      </w:pPr>
      <w:r>
        <w:rPr>
          <w:rFonts w:ascii="Arial" w:cs="Arial" w:eastAsia="Arial" w:hAnsi="Arial"/>
        </w:rPr>
        <w:t xml:space="preserve">7.2 Computation Rules</w:t>
      </w:r>
    </w:p>
    <w:p>
      <w:pPr>
        <w:spacing w:after="120" w:before="0"/>
        <w:jc w:val="left"/>
      </w:pPr>
      <w:r>
        <w:rPr>
          <w:rFonts w:ascii="Arial" w:cs="Arial" w:eastAsia="Arial" w:hAnsi="Arial"/>
          <w:b/>
          <w:bCs/>
          <w:color w:val="2C3E50"/>
          <w:sz w:val="22"/>
          <w:szCs w:val="22"/>
        </w:rPr>
        <w:t xml:space="preserve">Percentages: </w:t>
      </w:r>
      <w:r>
        <w:rPr>
          <w:rFonts w:ascii="Arial" w:cs="Arial" w:eastAsia="Arial" w:hAnsi="Arial"/>
          <w:color w:val="2C3E50"/>
          <w:sz w:val="22"/>
          <w:szCs w:val="22"/>
        </w:rPr>
        <w:t xml:space="preserve">count/total × 100, 2 decimal places. Rounding adjustment on largest category. Sum = 100.00%.</w:t>
      </w:r>
    </w:p>
    <w:p>
      <w:pPr>
        <w:spacing w:after="120" w:before="0"/>
        <w:jc w:val="left"/>
      </w:pPr>
      <w:r>
        <w:rPr>
          <w:rFonts w:ascii="Arial" w:cs="Arial" w:eastAsia="Arial" w:hAnsi="Arial"/>
          <w:b/>
          <w:bCs/>
          <w:color w:val="2C3E50"/>
          <w:sz w:val="22"/>
          <w:szCs w:val="22"/>
        </w:rPr>
        <w:t xml:space="preserve">M:E Ratio: </w:t>
      </w:r>
      <w:r>
        <w:rPr>
          <w:rFonts w:ascii="Arial" w:cs="Arial" w:eastAsia="Arial" w:hAnsi="Arial"/>
          <w:color w:val="2C3E50"/>
          <w:sz w:val="22"/>
          <w:szCs w:val="22"/>
        </w:rPr>
        <w:t xml:space="preserve">sum(numerator)/sum(denominator) as “N.N : 1.” If denominator=0: “N/A.” Reference: 2.0–4.0 : 1.</w:t>
      </w:r>
    </w:p>
    <w:p>
      <w:pPr>
        <w:spacing w:after="120" w:before="0"/>
        <w:jc w:val="left"/>
      </w:pPr>
      <w:r>
        <w:rPr>
          <w:rFonts w:ascii="Arial" w:cs="Arial" w:eastAsia="Arial" w:hAnsi="Arial"/>
          <w:b/>
          <w:bCs/>
          <w:color w:val="2C3E50"/>
          <w:sz w:val="22"/>
          <w:szCs w:val="22"/>
        </w:rPr>
        <w:t xml:space="preserve">Absolute Counts: </w:t>
      </w:r>
      <w:r>
        <w:rPr>
          <w:rFonts w:ascii="Arial" w:cs="Arial" w:eastAsia="Arial" w:hAnsi="Arial"/>
          <w:color w:val="2C3E50"/>
          <w:sz w:val="22"/>
          <w:szCs w:val="22"/>
        </w:rPr>
        <w:t xml:space="preserve">wbcTotal × percentage / 100. Displayed only when wbcTotal is entered. Rounded to nearest integer.</w:t>
      </w:r>
    </w:p>
    <w:p>
      <w:r>
        <w:br w:type="page"/>
      </w:r>
    </w:p>
    <w:p>
      <w:pPr>
        <w:pStyle w:val="Heading1"/>
      </w:pPr>
      <w:r>
        <w:rPr>
          <w:rFonts w:ascii="Arial" w:cs="Arial" w:eastAsia="Arial" w:hAnsi="Arial"/>
        </w:rPr>
        <w:t xml:space="preserve">8. Export Specification</w:t>
      </w:r>
    </w:p>
    <w:p>
      <w:pPr>
        <w:spacing w:after="120" w:before="0"/>
        <w:jc w:val="left"/>
      </w:pPr>
      <w:r>
        <w:rPr>
          <w:rFonts w:ascii="Arial" w:cs="Arial" w:eastAsia="Arial" w:hAnsi="Arial"/>
          <w:b/>
          <w:bCs/>
          <w:color w:val="2C3E50"/>
          <w:sz w:val="22"/>
          <w:szCs w:val="22"/>
        </w:rPr>
        <w:t xml:space="preserve">JSON: </w:t>
      </w:r>
      <w:r>
        <w:rPr>
          <w:rFonts w:ascii="Arial" w:cs="Arial" w:eastAsia="Arial" w:hAnsi="Arial"/>
          <w:color w:val="2C3E50"/>
          <w:sz w:val="22"/>
          <w:szCs w:val="22"/>
        </w:rPr>
        <w:t xml:space="preserve">Full CountSession object. Filename: {case}_{specimen}_{timestamp}.json.</w:t>
      </w:r>
    </w:p>
    <w:p>
      <w:pPr>
        <w:spacing w:after="120" w:before="0"/>
        <w:jc w:val="left"/>
      </w:pPr>
      <w:r>
        <w:rPr>
          <w:rFonts w:ascii="Arial" w:cs="Arial" w:eastAsia="Arial" w:hAnsi="Arial"/>
          <w:b/>
          <w:bCs/>
          <w:color w:val="2C3E50"/>
          <w:sz w:val="22"/>
          <w:szCs w:val="22"/>
        </w:rPr>
        <w:t xml:space="preserve">CSV: </w:t>
      </w:r>
      <w:r>
        <w:rPr>
          <w:rFonts w:ascii="Arial" w:cs="Arial" w:eastAsia="Arial" w:hAnsi="Arial"/>
          <w:color w:val="2C3E50"/>
          <w:sz w:val="22"/>
          <w:szCs w:val="22"/>
        </w:rPr>
        <w:t xml:space="preserve">Metadata header + Category/Count/Percentage/AbsoluteCount rows + formula rows.</w:t>
      </w:r>
    </w:p>
    <w:p>
      <w:pPr>
        <w:spacing w:after="120" w:before="0"/>
        <w:jc w:val="left"/>
      </w:pPr>
      <w:r>
        <w:rPr>
          <w:rFonts w:ascii="Arial" w:cs="Arial" w:eastAsia="Arial" w:hAnsi="Arial"/>
          <w:b/>
          <w:bCs/>
          <w:color w:val="2C3E50"/>
          <w:sz w:val="22"/>
          <w:szCs w:val="22"/>
        </w:rPr>
        <w:t xml:space="preserve">Clipboard: </w:t>
      </w:r>
      <w:r>
        <w:rPr>
          <w:rFonts w:ascii="Arial" w:cs="Arial" w:eastAsia="Arial" w:hAnsi="Arial"/>
          <w:color w:val="2C3E50"/>
          <w:sz w:val="22"/>
          <w:szCs w:val="22"/>
        </w:rPr>
        <w:t xml:space="preserve">Formatted text for LIS paste.</w:t>
      </w:r>
    </w:p>
    <w:p>
      <w:pPr>
        <w:spacing w:after="120" w:before="0"/>
        <w:jc w:val="left"/>
      </w:pPr>
      <w:r>
        <w:rPr>
          <w:rFonts w:ascii="Arial" w:cs="Arial" w:eastAsia="Arial" w:hAnsi="Arial"/>
          <w:b/>
          <w:bCs/>
          <w:color w:val="2C3E50"/>
          <w:sz w:val="22"/>
          <w:szCs w:val="22"/>
        </w:rPr>
        <w:t xml:space="preserve">PDF/Print: </w:t>
      </w:r>
      <w:r>
        <w:rPr>
          <w:rFonts w:ascii="Arial" w:cs="Arial" w:eastAsia="Arial" w:hAnsi="Arial"/>
          <w:color w:val="2C3E50"/>
          <w:sz w:val="22"/>
          <w:szCs w:val="22"/>
        </w:rPr>
        <w:t xml:space="preserve">Print-friendly single-page layout. Triggerable from Results screen. Includes all data from URS-052.</w:t>
      </w:r>
    </w:p>
    <w:p>
      <w:pPr>
        <w:spacing w:after="120" w:before="0"/>
        <w:jc w:val="left"/>
      </w:pPr>
      <w:r>
        <w:rPr>
          <w:rFonts w:ascii="Arial" w:cs="Arial" w:eastAsia="Arial" w:hAnsi="Arial"/>
          <w:b/>
          <w:bCs/>
          <w:color w:val="2C3E50"/>
          <w:sz w:val="22"/>
          <w:szCs w:val="22"/>
        </w:rPr>
        <w:t xml:space="preserve">Phase 2 — HL7: </w:t>
      </w:r>
      <w:r>
        <w:rPr>
          <w:rFonts w:ascii="Arial" w:cs="Arial" w:eastAsia="Arial" w:hAnsi="Arial"/>
          <w:color w:val="2C3E50"/>
          <w:sz w:val="22"/>
          <w:szCs w:val="22"/>
        </w:rPr>
        <w:t xml:space="preserve">Pluggable adapter transforms CountSession JSON → HL7v2 OBR/OBX with LOINC codes. Options: local agent, middleware proxy, or clipboard-to-LIS.</w:t>
      </w:r>
    </w:p>
    <w:p>
      <w:r>
        <w:br w:type="page"/>
      </w:r>
    </w:p>
    <w:p>
      <w:pPr>
        <w:pStyle w:val="Heading1"/>
      </w:pPr>
      <w:r>
        <w:rPr>
          <w:rFonts w:ascii="Arial" w:cs="Arial" w:eastAsia="Arial" w:hAnsi="Arial"/>
        </w:rPr>
        <w:t xml:space="preserve">9. Regulatory Position and Governance</w:t>
      </w:r>
    </w:p>
    <w:p>
      <w:pPr>
        <w:pStyle w:val="Heading2"/>
      </w:pPr>
      <w:r>
        <w:rPr>
          <w:rFonts w:ascii="Arial" w:cs="Arial" w:eastAsia="Arial" w:hAnsi="Arial"/>
        </w:rPr>
        <w:t xml:space="preserve">9.1 Regulatory Classification</w:t>
      </w:r>
    </w:p>
    <w:p>
      <w:pPr>
        <w:spacing w:after="120" w:before="0"/>
        <w:jc w:val="left"/>
      </w:pPr>
      <w:r>
        <w:rPr>
          <w:rFonts w:ascii="Arial" w:cs="Arial" w:eastAsia="Arial" w:hAnsi="Arial"/>
          <w:b w:val="false"/>
          <w:bCs w:val="false"/>
          <w:color w:val="2C3E50"/>
          <w:sz w:val="22"/>
          <w:szCs w:val="22"/>
        </w:rPr>
        <w:t xml:space="preserve">WBC ΔΣ is a general-purpose manual counting tool — the digital equivalent of a mechanical differential counter. It performs no automated cell recognition and makes no diagnostic decisions. It is most likely </w:t>
      </w:r>
      <w:r>
        <w:rPr>
          <w:rFonts w:ascii="Arial" w:cs="Arial" w:eastAsia="Arial" w:hAnsi="Arial"/>
          <w:b/>
          <w:bCs/>
          <w:color w:val="2C3E50"/>
          <w:sz w:val="22"/>
          <w:szCs w:val="22"/>
        </w:rPr>
        <w:t xml:space="preserve">excluded</w:t>
      </w:r>
      <w:r>
        <w:rPr>
          <w:rFonts w:ascii="Arial" w:cs="Arial" w:eastAsia="Arial" w:hAnsi="Arial"/>
          <w:color w:val="2C3E50"/>
          <w:sz w:val="22"/>
          <w:szCs w:val="22"/>
        </w:rPr>
        <w:t xml:space="preserve"> from FDA device classification under 21 CFR 864.2260 (automated differential cell counter) because it performs no automated analysis. However, the design and documentation follow quality principles from applicable standards:</w:t>
      </w:r>
    </w:p>
    <w:p>
      <w:pPr>
        <w:spacing w:after="120" w:before="0"/>
        <w:ind w:left="360"/>
        <w:jc w:val="left"/>
      </w:pPr>
      <w:r>
        <w:rPr>
          <w:rFonts w:ascii="Arial" w:cs="Arial" w:eastAsia="Arial" w:hAnsi="Arial"/>
          <w:b/>
          <w:bCs/>
          <w:color w:val="2C3E50"/>
          <w:sz w:val="22"/>
          <w:szCs w:val="22"/>
        </w:rPr>
        <w:t xml:space="preserve">• IEC 62304 </w:t>
      </w:r>
      <w:r>
        <w:rPr>
          <w:rFonts w:ascii="Arial" w:cs="Arial" w:eastAsia="Arial" w:hAnsi="Arial"/>
          <w:color w:val="2C3E50"/>
          <w:sz w:val="22"/>
          <w:szCs w:val="22"/>
        </w:rPr>
        <w:t xml:space="preserve">(medical device software lifecycle): traceable design history from URS through specification through verification.</w:t>
      </w:r>
    </w:p>
    <w:p>
      <w:pPr>
        <w:spacing w:after="120" w:before="0"/>
        <w:ind w:left="360"/>
        <w:jc w:val="left"/>
      </w:pPr>
      <w:r>
        <w:rPr>
          <w:rFonts w:ascii="Arial" w:cs="Arial" w:eastAsia="Arial" w:hAnsi="Arial"/>
          <w:b/>
          <w:bCs/>
          <w:color w:val="2C3E50"/>
          <w:sz w:val="22"/>
          <w:szCs w:val="22"/>
        </w:rPr>
        <w:t xml:space="preserve">• 21 CFR 820 </w:t>
      </w:r>
      <w:r>
        <w:rPr>
          <w:rFonts w:ascii="Arial" w:cs="Arial" w:eastAsia="Arial" w:hAnsi="Arial"/>
          <w:color w:val="2C3E50"/>
          <w:sz w:val="22"/>
          <w:szCs w:val="22"/>
        </w:rPr>
        <w:t xml:space="preserve">(Quality System Regulation): design controls documented in the DHF.</w:t>
      </w:r>
    </w:p>
    <w:p>
      <w:pPr>
        <w:spacing w:after="120" w:before="0"/>
        <w:ind w:left="360"/>
        <w:jc w:val="left"/>
      </w:pPr>
      <w:r>
        <w:rPr>
          <w:rFonts w:ascii="Arial" w:cs="Arial" w:eastAsia="Arial" w:hAnsi="Arial"/>
          <w:b/>
          <w:bCs/>
          <w:color w:val="2C3E50"/>
          <w:sz w:val="22"/>
          <w:szCs w:val="22"/>
        </w:rPr>
        <w:t xml:space="preserve">• ISO 15189 </w:t>
      </w:r>
      <w:r>
        <w:rPr>
          <w:rFonts w:ascii="Arial" w:cs="Arial" w:eastAsia="Arial" w:hAnsi="Arial"/>
          <w:color w:val="2C3E50"/>
          <w:sz w:val="22"/>
          <w:szCs w:val="22"/>
        </w:rPr>
        <w:t xml:space="preserve">(medical laboratory accreditation): configuration traceability in every export supports laboratory quality management.</w:t>
      </w:r>
    </w:p>
    <w:p>
      <w:pPr>
        <w:spacing w:after="120" w:before="0"/>
        <w:jc w:val="left"/>
      </w:pPr>
      <w:r>
        <w:rPr>
          <w:rFonts w:ascii="Arial" w:cs="Arial" w:eastAsia="Arial" w:hAnsi="Arial"/>
          <w:color w:val="2C3E50"/>
          <w:sz w:val="22"/>
          <w:szCs w:val="22"/>
        </w:rPr>
        <w:t xml:space="preserve">Each deploying laboratory should perform local validation per their quality management system, verifying that their configuration profile produces correct counts and percentages.</w:t>
      </w:r>
    </w:p>
    <w:p>
      <w:pPr>
        <w:pStyle w:val="Heading2"/>
      </w:pPr>
      <w:r>
        <w:rPr>
          <w:rFonts w:ascii="Arial" w:cs="Arial" w:eastAsia="Arial" w:hAnsi="Arial"/>
        </w:rPr>
        <w:t xml:space="preserve">9.2 Governance</w:t>
      </w:r>
    </w:p>
    <w:p>
      <w:pPr>
        <w:spacing w:after="120" w:before="0"/>
        <w:jc w:val="left"/>
      </w:pPr>
      <w:r>
        <w:rPr>
          <w:rFonts w:ascii="Arial" w:cs="Arial" w:eastAsia="Arial" w:hAnsi="Arial"/>
          <w:color w:val="2C3E50"/>
          <w:sz w:val="22"/>
          <w:szCs w:val="22"/>
        </w:rPr>
        <w:t xml:space="preserve">The tool is given into the hands of the user. Governance of configuration profiles, operational procedures, and result review is the responsibility of the deploying laboratory. The system imposes no system-level governance (no logins, no central administration, no approval workflows). Institutions may distribute locally certified configuration profiles to their workstations through whatever means they use for other laboratory tools. Configuration profile traceability (ID + version in every export) enables audit without requiring system-level access control.</w:t>
      </w:r>
    </w:p>
    <w:p>
      <w:r>
        <w:br w:type="page"/>
      </w:r>
    </w:p>
    <w:p>
      <w:pPr>
        <w:pStyle w:val="Heading1"/>
      </w:pPr>
      <w:r>
        <w:rPr>
          <w:rFonts w:ascii="Arial" w:cs="Arial" w:eastAsia="Arial" w:hAnsi="Arial"/>
        </w:rPr>
        <w:t xml:space="preserve">Appendix A: URS Traceability Matrix</w:t>
      </w:r>
    </w:p>
    <w:p>
      <w:pPr>
        <w:spacing w:after="120" w:before="0"/>
        <w:jc w:val="left"/>
      </w:pPr>
      <w:r>
        <w:rPr>
          <w:rFonts w:ascii="Arial" w:cs="Arial" w:eastAsia="Arial" w:hAnsi="Arial"/>
          <w:color w:val="2C3E50"/>
          <w:sz w:val="22"/>
          <w:szCs w:val="22"/>
        </w:rPr>
        <w:t xml:space="preserve">Each use case traces to one or more URS-001 v2.0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33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Use Case</w:t>
            </w:r>
          </w:p>
        </w:tc>
        <w:tc>
          <w:tcPr>
            <w:tcW w:type="dxa" w:w="4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Title</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jc w:val="left"/>
            </w:pPr>
            <w:r>
              <w:rPr>
                <w:rFonts w:ascii="Arial" w:cs="Arial" w:eastAsia="Arial" w:hAnsi="Arial"/>
                <w:b/>
                <w:bCs/>
                <w:color w:val="1B3A5C"/>
                <w:sz w:val="20"/>
                <w:szCs w:val="20"/>
              </w:rPr>
              <w:t xml:space="preserve">URS Requirements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UC-01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Configuration Selection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URS-100,101,102,103,106</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UC-02</w:t>
            </w:r>
          </w:p>
        </w:tc>
        <w:tc>
          <w:tcPr>
            <w:tcW w:type="dxa" w:w="4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Start a New Count</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URS-001–006,010–012,028</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UC-03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Count Cells via Keyboard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URS-020–027</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UC-04</w:t>
            </w:r>
          </w:p>
        </w:tc>
        <w:tc>
          <w:tcPr>
            <w:tcW w:type="dxa" w:w="4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Complete Count and View Results</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URS-040,041,050–054</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UC-05</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Resume Counting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URS-042,073</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UC-06</w:t>
            </w:r>
          </w:p>
        </w:tc>
        <w:tc>
          <w:tcPr>
            <w:tcW w:type="dxa" w:w="4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Low-Count Specimen</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URS-041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UC-07</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Export Results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URS-051–054,084</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UC-08</w:t>
            </w:r>
          </w:p>
        </w:tc>
        <w:tc>
          <w:tcPr>
            <w:tcW w:type="dxa" w:w="4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Absolute Count Data</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URS-036</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UC-09</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Morphology Comments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URS-070–073</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UC-10</w:t>
            </w:r>
          </w:p>
        </w:tc>
        <w:tc>
          <w:tcPr>
            <w:tcW w:type="dxa" w:w="4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Visual Config Editor</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URS-096,102–105</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UC-11</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Crash Recovery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URS-085</w:t>
            </w:r>
          </w:p>
        </w:tc>
      </w:tr>
      <w:tr>
        <w:tc>
          <w:tcPr>
            <w:tcW w:type="dxa" w:w="12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bCs/>
                <w:color w:val="2C3E50"/>
                <w:sz w:val="20"/>
                <w:szCs w:val="20"/>
              </w:rPr>
              <w:t xml:space="preserve">UC-12</w:t>
            </w:r>
          </w:p>
        </w:tc>
        <w:tc>
          <w:tcPr>
            <w:tcW w:type="dxa" w:w="480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Switch Specimen Type</w:t>
            </w:r>
          </w:p>
        </w:tc>
        <w:tc>
          <w:tcPr>
            <w:tcW w:type="dxa" w:w="3360"/>
            <w:tcBorders>
              <w:top w:val="single" w:color="CCCCCC" w:sz="1"/>
              <w:left w:val="single" w:color="CCCCCC" w:sz="1"/>
              <w:bottom w:val="single" w:color="CCCCCC" w:sz="1"/>
              <w:right w:val="single" w:color="CCCCCC" w:sz="1"/>
            </w:tcBorders>
            <w:shd w:fill="F5F8FA" w:val="clear"/>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URS-013</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2C3E50"/>
                <w:sz w:val="20"/>
                <w:szCs w:val="20"/>
              </w:rPr>
              <w:t xml:space="preserve">UC-13</w:t>
            </w:r>
          </w:p>
        </w:tc>
        <w:tc>
          <w:tcPr>
            <w:tcW w:type="dxa" w:w="4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Reset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2C3E50"/>
                <w:sz w:val="20"/>
                <w:szCs w:val="20"/>
              </w:rPr>
              <w:t xml:space="preserve">URS-060–063</w:t>
            </w:r>
          </w:p>
        </w:tc>
      </w:tr>
    </w:tbl>
    <w:p>
      <w:pPr>
        <w:spacing w:after="120" w:before="0"/>
        <w:jc w:val="left"/>
      </w:pPr>
      <w:r>
        <w:rPr>
          <w:rFonts w:ascii="Arial" w:cs="Arial" w:eastAsia="Arial" w:hAnsi="Arial"/>
          <w:color w:val="2C3E50"/>
          <w:sz w:val="22"/>
          <w:szCs w:val="22"/>
        </w:rPr>
        <w:t xml:space="preserve"/>
      </w:r>
    </w:p>
    <w:p>
      <w:r>
        <w:br w:type="page"/>
      </w:r>
    </w:p>
    <w:p>
      <w:pPr>
        <w:pStyle w:val="Heading1"/>
      </w:pPr>
      <w:r>
        <w:rPr>
          <w:rFonts w:ascii="Arial" w:cs="Arial" w:eastAsia="Arial" w:hAnsi="Arial"/>
        </w:rPr>
        <w:t xml:space="preserve">Appendix B: Keyboard Zone Reference</w:t>
      </w:r>
    </w:p>
    <w:p>
      <w:pPr>
        <w:pStyle w:val="Heading3"/>
      </w:pPr>
      <w:r>
        <w:rPr>
          <w:rFonts w:ascii="Arial" w:cs="Arial" w:eastAsia="Arial" w:hAnsi="Arial"/>
        </w:rPr>
        <w:t xml:space="preserve">Left-Hand Zone (right-handed operators)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tblGrid>
      <w:tr>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Q</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W</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R</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T</w:t>
            </w:r>
          </w:p>
        </w:tc>
      </w:tr>
      <w:tr>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A</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S</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D</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F</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G</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Z</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X</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C</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V</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B</w:t>
            </w:r>
          </w:p>
        </w:tc>
      </w:tr>
    </w:tbl>
    <w:p>
      <w:pPr>
        <w:spacing w:after="120" w:before="0"/>
        <w:jc w:val="left"/>
      </w:pPr>
      <w:r>
        <w:rPr>
          <w:rFonts w:ascii="Arial" w:cs="Arial" w:eastAsia="Arial" w:hAnsi="Arial"/>
          <w:color w:val="2C3E50"/>
          <w:sz w:val="22"/>
          <w:szCs w:val="22"/>
        </w:rPr>
        <w:t xml:space="preserve"/>
      </w:r>
    </w:p>
    <w:p>
      <w:pPr>
        <w:pStyle w:val="Heading3"/>
      </w:pPr>
      <w:r>
        <w:rPr>
          <w:rFonts w:ascii="Arial" w:cs="Arial" w:eastAsia="Arial" w:hAnsi="Arial"/>
        </w:rPr>
        <w:t xml:space="preserve">Right-Hand Zone (left-handed operators)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tblGrid>
      <w:tr>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Y</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U</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I</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O</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P</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w:t>
            </w:r>
          </w:p>
        </w:tc>
      </w:tr>
      <w:tr>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H</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J</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K</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L</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w:t>
            </w:r>
          </w:p>
        </w:tc>
        <w:tc>
          <w:tcPr>
            <w:tcW w:type="dxa" w:w="12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w:t>
            </w:r>
          </w:p>
        </w:tc>
      </w:tr>
      <w:tr>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N</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M</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w:t>
            </w:r>
          </w:p>
        </w:tc>
        <w:tc>
          <w:tcPr>
            <w:tcW w:type="dxa" w:w="12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C3E50"/>
                <w:sz w:val="24"/>
                <w:szCs w:val="24"/>
              </w:rPr>
              <w:t xml:space="preserve"/>
            </w:r>
          </w:p>
        </w:tc>
      </w:tr>
    </w:tbl>
    <w:p>
      <w:pPr>
        <w:spacing w:after="120" w:before="0"/>
        <w:jc w:val="left"/>
      </w:pPr>
      <w:r>
        <w:rPr>
          <w:rFonts w:ascii="Arial" w:cs="Arial" w:eastAsia="Arial" w:hAnsi="Arial"/>
          <w:color w:val="2C3E50"/>
          <w:sz w:val="22"/>
          <w:szCs w:val="22"/>
        </w:rPr>
        <w:t xml:space="preserve"/>
      </w:r>
    </w:p>
    <w:p>
      <w:r>
        <w:br w:type="page"/>
      </w:r>
    </w:p>
    <w:p>
      <w:pPr>
        <w:pStyle w:val="Heading1"/>
      </w:pPr>
      <w:r>
        <w:rPr>
          <w:rFonts w:ascii="Arial" w:cs="Arial" w:eastAsia="Arial" w:hAnsi="Arial"/>
        </w:rPr>
        <w:t xml:space="preserve">Appendix C: Future Considerations (Phase 2+)</w:t>
      </w:r>
    </w:p>
    <w:p>
      <w:pPr>
        <w:spacing w:after="120" w:before="0"/>
        <w:jc w:val="left"/>
      </w:pPr>
      <w:r>
        <w:rPr>
          <w:rFonts w:ascii="Arial" w:cs="Arial" w:eastAsia="Arial" w:hAnsi="Arial"/>
          <w:b/>
          <w:bCs/>
          <w:color w:val="2C3E50"/>
          <w:sz w:val="22"/>
          <w:szCs w:val="22"/>
        </w:rPr>
        <w:t xml:space="preserve">Multi-examiner workflow: </w:t>
      </w:r>
      <w:r>
        <w:rPr>
          <w:rFonts w:ascii="Arial" w:cs="Arial" w:eastAsia="Arial" w:hAnsi="Arial"/>
          <w:color w:val="2C3E50"/>
          <w:sz w:val="22"/>
          <w:szCs w:val="22"/>
        </w:rPr>
        <w:t xml:space="preserve">Two-examiner counts per CLSI H20-A2. Examiner identity, paired-count data model, statistical comparison. CountSession reserves examiner field.</w:t>
      </w:r>
    </w:p>
    <w:p>
      <w:pPr>
        <w:spacing w:after="120" w:before="0"/>
        <w:jc w:val="left"/>
      </w:pPr>
      <w:r>
        <w:rPr>
          <w:rFonts w:ascii="Arial" w:cs="Arial" w:eastAsia="Arial" w:hAnsi="Arial"/>
          <w:b/>
          <w:bCs/>
          <w:color w:val="2C3E50"/>
          <w:sz w:val="22"/>
          <w:szCs w:val="22"/>
        </w:rPr>
        <w:t xml:space="preserve">Companion mobile keypad: </w:t>
      </w:r>
      <w:r>
        <w:rPr>
          <w:rFonts w:ascii="Arial" w:cs="Arial" w:eastAsia="Arial" w:hAnsi="Arial"/>
          <w:color w:val="2C3E50"/>
          <w:sz w:val="22"/>
          <w:szCs w:val="22"/>
        </w:rPr>
        <w:t xml:space="preserve">iPhone/iPad displaying labeled buttons with cell morphology images, connected via WebSocket or BLE HID. Counting engine is input-source agnostic.</w:t>
      </w:r>
    </w:p>
    <w:p>
      <w:pPr>
        <w:spacing w:after="120" w:before="0"/>
        <w:jc w:val="left"/>
      </w:pPr>
      <w:r>
        <w:rPr>
          <w:rFonts w:ascii="Arial" w:cs="Arial" w:eastAsia="Arial" w:hAnsi="Arial"/>
          <w:b/>
          <w:bCs/>
          <w:color w:val="2C3E50"/>
          <w:sz w:val="22"/>
          <w:szCs w:val="22"/>
        </w:rPr>
        <w:t xml:space="preserve">Reference range flagging: </w:t>
      </w:r>
      <w:r>
        <w:rPr>
          <w:rFonts w:ascii="Arial" w:cs="Arial" w:eastAsia="Arial" w:hAnsi="Arial"/>
          <w:color w:val="2C3E50"/>
          <w:sz w:val="22"/>
          <w:szCs w:val="22"/>
        </w:rPr>
        <w:t xml:space="preserve">Auto-flag abnormal percentages per institution-specific ranges.</w:t>
      </w:r>
    </w:p>
    <w:p>
      <w:pPr>
        <w:spacing w:after="120" w:before="0"/>
        <w:jc w:val="left"/>
      </w:pPr>
      <w:r>
        <w:rPr>
          <w:rFonts w:ascii="Arial" w:cs="Arial" w:eastAsia="Arial" w:hAnsi="Arial"/>
          <w:b/>
          <w:bCs/>
          <w:color w:val="2C3E50"/>
          <w:sz w:val="22"/>
          <w:szCs w:val="22"/>
        </w:rPr>
        <w:t xml:space="preserve">Speech-to-text comments: </w:t>
      </w:r>
      <w:r>
        <w:rPr>
          <w:rFonts w:ascii="Arial" w:cs="Arial" w:eastAsia="Arial" w:hAnsi="Arial"/>
          <w:color w:val="2C3E50"/>
          <w:sz w:val="22"/>
          <w:szCs w:val="22"/>
        </w:rPr>
        <w:t xml:space="preserve">Voice input for morphology observations using browser SpeechRecognition API.</w:t>
      </w:r>
    </w:p>
    <w:p>
      <w:pPr>
        <w:spacing w:after="120" w:before="0"/>
        <w:jc w:val="left"/>
      </w:pPr>
      <w:r>
        <w:rPr>
          <w:rFonts w:ascii="Arial" w:cs="Arial" w:eastAsia="Arial" w:hAnsi="Arial"/>
          <w:b/>
          <w:bCs/>
          <w:color w:val="2C3E50"/>
          <w:sz w:val="22"/>
          <w:szCs w:val="22"/>
        </w:rPr>
        <w:t xml:space="preserve">USB numeric keypad: </w:t>
      </w:r>
      <w:r>
        <w:rPr>
          <w:rFonts w:ascii="Arial" w:cs="Arial" w:eastAsia="Arial" w:hAnsi="Arial"/>
          <w:color w:val="2C3E50"/>
          <w:sz w:val="22"/>
          <w:szCs w:val="22"/>
        </w:rPr>
        <w:t xml:space="preserve">Dedicated input device. Config schema already supports arbitrary key assignments.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WBC ΔΣ — SPC-001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2026-02-24T22:11:18.053Z</dcterms:created>
  <dcterms:modified xsi:type="dcterms:W3CDTF">2026-02-24T22:11:18.054Z</dcterms:modified>
</cp:coreProperties>
</file>

<file path=docProps/custom.xml><?xml version="1.0" encoding="utf-8"?>
<Properties xmlns="http://schemas.openxmlformats.org/officeDocument/2006/custom-properties" xmlns:vt="http://schemas.openxmlformats.org/officeDocument/2006/docPropsVTypes"/>
</file>