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9D911" w14:textId="77777777" w:rsidR="001A651F" w:rsidRDefault="000465C3">
      <w:pPr>
        <w:pStyle w:val="WPTitle"/>
      </w:pPr>
      <w:r>
        <w:t>Toward Multimodal, Topology-Driven Authoring for Pathology Reports</w:t>
      </w:r>
    </w:p>
    <w:p w14:paraId="2AF932B3" w14:textId="77777777" w:rsidR="001A651F" w:rsidRDefault="000465C3">
      <w:pPr>
        <w:pStyle w:val="WPSubtitle"/>
      </w:pPr>
      <w:r>
        <w:t>A white paper on the real authoring problem in anatomic pathology, why current systems underperform, and how AI can be used safely to support rapid entry of diagnostic information</w:t>
      </w:r>
    </w:p>
    <w:p w14:paraId="351AC87B" w14:textId="77777777" w:rsidR="001A651F" w:rsidRDefault="000465C3">
      <w:pPr>
        <w:pStyle w:val="WPMeta"/>
      </w:pPr>
      <w:r>
        <w:t>March 15, 2026</w:t>
      </w:r>
    </w:p>
    <w:p w14:paraId="5F89ED26" w14:textId="77777777" w:rsidR="001A651F" w:rsidRDefault="000465C3">
      <w:pPr>
        <w:pStyle w:val="WPMeta"/>
      </w:pPr>
      <w:r>
        <w:t>Prepared for internal design and product strategy discussion</w:t>
      </w:r>
    </w:p>
    <w:p w14:paraId="495BBC2C" w14:textId="77777777" w:rsidR="001A651F" w:rsidRDefault="001A651F"/>
    <w:tbl>
      <w:tblPr>
        <w:tblW w:w="0" w:type="auto"/>
        <w:jc w:val="center"/>
        <w:tblLayout w:type="fixed"/>
        <w:tblLook w:val="04A0" w:firstRow="1" w:lastRow="0" w:firstColumn="1" w:lastColumn="0" w:noHBand="0" w:noVBand="1"/>
      </w:tblPr>
      <w:tblGrid>
        <w:gridCol w:w="9648"/>
      </w:tblGrid>
      <w:tr w:rsidR="001A651F" w14:paraId="69CF8517" w14:textId="77777777">
        <w:trPr>
          <w:jc w:val="center"/>
        </w:trPr>
        <w:tc>
          <w:tcPr>
            <w:tcW w:w="9360" w:type="dxa"/>
            <w:tcBorders>
              <w:top w:val="single" w:sz="8" w:space="0" w:color="1F5A89"/>
              <w:left w:val="single" w:sz="8" w:space="0" w:color="1F5A89"/>
              <w:bottom w:val="single" w:sz="8" w:space="0" w:color="1F5A89"/>
              <w:right w:val="single" w:sz="8" w:space="0" w:color="1F5A89"/>
            </w:tcBorders>
            <w:shd w:val="clear" w:color="auto" w:fill="1F5A89"/>
          </w:tcPr>
          <w:p w14:paraId="5F4EB701" w14:textId="77777777" w:rsidR="001A651F" w:rsidRDefault="000465C3">
            <w:r>
              <w:rPr>
                <w:b/>
                <w:color w:val="FFFFFF"/>
                <w:sz w:val="20"/>
              </w:rPr>
              <w:t>Core thesis</w:t>
            </w:r>
          </w:p>
        </w:tc>
      </w:tr>
      <w:tr w:rsidR="001A651F" w14:paraId="63CC4645" w14:textId="77777777">
        <w:trPr>
          <w:jc w:val="center"/>
        </w:trPr>
        <w:tc>
          <w:tcPr>
            <w:tcW w:w="9648" w:type="dxa"/>
            <w:tcBorders>
              <w:top w:val="single" w:sz="6" w:space="0" w:color="BFC9D5"/>
              <w:left w:val="single" w:sz="6" w:space="0" w:color="BFC9D5"/>
              <w:bottom w:val="single" w:sz="6" w:space="0" w:color="BFC9D5"/>
              <w:right w:val="single" w:sz="6" w:space="0" w:color="BFC9D5"/>
            </w:tcBorders>
            <w:shd w:val="clear" w:color="auto" w:fill="F4F8FB"/>
          </w:tcPr>
          <w:p w14:paraId="5931BA7E" w14:textId="77777777" w:rsidR="001A651F" w:rsidRDefault="000465C3">
            <w:pPr>
              <w:pStyle w:val="CalloutText"/>
            </w:pPr>
            <w:r>
              <w:t>The pathology reporting problem has been modeled too narrowly. The real task is not to force pathologists into either a blank dictation page or a rigid template. It is to support several valid authoring grammars—mnemonics, speech, free text, targeted fields, and reusable topologies—while preserving one canonical internal case model, strong provenance, and human control.</w:t>
            </w:r>
          </w:p>
        </w:tc>
      </w:tr>
    </w:tbl>
    <w:p w14:paraId="2EB09E62" w14:textId="77777777" w:rsidR="001A651F" w:rsidRDefault="001A651F"/>
    <w:p w14:paraId="48B8DCDC" w14:textId="77777777" w:rsidR="001A651F" w:rsidRDefault="000465C3">
      <w:r>
        <w:br w:type="page"/>
      </w:r>
    </w:p>
    <w:p w14:paraId="76FDB3CB" w14:textId="77777777" w:rsidR="001A651F" w:rsidRDefault="000465C3">
      <w:pPr>
        <w:pStyle w:val="Heading1"/>
      </w:pPr>
      <w:r>
        <w:lastRenderedPageBreak/>
        <w:t>Executive Summary</w:t>
      </w:r>
    </w:p>
    <w:p w14:paraId="7DE764B5" w14:textId="77777777" w:rsidR="001A651F" w:rsidRDefault="000465C3">
      <w:r>
        <w:t xml:space="preserve">Pathology report authoring is often discussed as a choice between narrative dictation and structured synoptic reporting. That framing is incomplete. In routine anatomic pathology, the report is first a specimen-centered legal-clinical artifact: it must preserve part identity, source wording, traceability, and operational context before it can serve as a polished interpretive narrative. This is one reason why many authoring systems feel wrong in daily practice. They optimize one mode of entry but ignore the </w:t>
      </w:r>
      <w:r>
        <w:t>fact that real sign-out moves fluidly among mnemonics, short commands, dictation, targeted structured entry, and free-form clarification.</w:t>
      </w:r>
    </w:p>
    <w:p w14:paraId="310F7E99" w14:textId="77777777" w:rsidR="001A651F" w:rsidRDefault="000465C3">
      <w:r>
        <w:t>The literature already tells part of this story. Synoptic reporting improves completeness and supports collection of required cancer data elements, particularly when integrated into AP-LIS workflow.</w:t>
      </w:r>
      <w:r>
        <w:rPr>
          <w:color w:val="5A5A5A"/>
          <w:sz w:val="18"/>
        </w:rPr>
        <w:t>[1,2]</w:t>
      </w:r>
      <w:r>
        <w:t xml:space="preserve"> But synoptic reporting does not solve the broader pathology authoring problem by itself, because much of surgical pathology remains heterogeneous, specimen-centric, and locally idiomatic. A separate body of evidence shows that speech-centric workflows can improve efficiency, but also that speech recognition introduces nontrivial error risk and therefore requires editing, validation, and robust interface design.[8,9,15]</w:t>
      </w:r>
    </w:p>
    <w:p w14:paraId="3A787D63" w14:textId="77777777" w:rsidR="001A651F" w:rsidRDefault="000465C3">
      <w:r>
        <w:t xml:space="preserve">This white paper argues for a different abstraction: pathology authoring should be designed as topology-driven, multimodal case construction. Under this model, the system begins not with a blank page but with specimen topology and accession context. It then supports multiple entry grammars that all populate the same canonical internal representation. AI belongs at the ambiguity boundaries—ranking likely scaffolds, extracting structure from dictated text, surfacing missing elements, normalizing terminology, </w:t>
      </w:r>
      <w:r>
        <w:t>and checking consistency—not as an unconstrained autonomous report writer.</w:t>
      </w:r>
    </w:p>
    <w:p w14:paraId="3B6F1595" w14:textId="77777777" w:rsidR="001A651F" w:rsidRDefault="000465C3">
      <w:r>
        <w:t xml:space="preserve">The proposal in this paper is therefore architectural rather than merely cosmetic. It separates the internal case model from its final wording, treats mnemonics as commands rather than text, preserves both exact source labels and normalized meaning, records provenance for every meaningful report element, and allows users to move fluidly among authoring modes within one case. This design is supported not only by pathology-specific evidence, but also by lessons from radiology structured reporting and ambient </w:t>
      </w:r>
      <w:r>
        <w:t>AI documentation, where adoption improves when systems preserve workflow flexibility and reduce clerical burden without taking final professional judgment away from the clinician.</w:t>
      </w:r>
      <w:r>
        <w:rPr>
          <w:color w:val="5A5A5A"/>
          <w:sz w:val="18"/>
        </w:rPr>
        <w:t>[10–14,16]</w:t>
      </w:r>
    </w:p>
    <w:p w14:paraId="2F9BCE12" w14:textId="77777777" w:rsidR="001A651F" w:rsidRDefault="000465C3">
      <w:pPr>
        <w:pStyle w:val="Heading1"/>
      </w:pPr>
      <w:r>
        <w:t>1. The actual problem in pathology report authoring</w:t>
      </w:r>
    </w:p>
    <w:p w14:paraId="073D5352" w14:textId="77777777" w:rsidR="001A651F" w:rsidRDefault="000465C3">
      <w:r>
        <w:t>The most common design mistake is to assume that the pathology report is primarily a disease form. In practice, it is more accurate to say that the report is an inventory of specimen reality with interpretive layers attached. That inventory includes parts, laterality, site, labels as received, relationships among blocks and stains, and traceability to the accessioned material. Only after that foundation is in place does the interpretive text become stable.</w:t>
      </w:r>
    </w:p>
    <w:p w14:paraId="56B22EE7" w14:textId="77777777" w:rsidR="001A651F" w:rsidRDefault="000465C3">
      <w:r>
        <w:t xml:space="preserve">This matters because different subspecialties express this specimen reality through different micro-languages. A 12-core prostate biopsy behaves like a repeated-unit topology. A GI case with multiple polyps behaves like a location-sensitive multipart topology in which the exact naming used by the </w:t>
      </w:r>
      <w:r>
        <w:lastRenderedPageBreak/>
        <w:t>endoscopist may need to be preserved verbatim while still being normalized internally. A cancer resection may combine specimen inventory, disease interpretation, and CAP synoptic elements in the same sign-out. A consult case may require free-form narrative, historical comparison, and unusual caveats. These are not random variations; they are recurring grammar families.</w:t>
      </w:r>
    </w:p>
    <w:p w14:paraId="0CBE4404" w14:textId="77777777" w:rsidR="001A651F" w:rsidRDefault="000465C3">
      <w:r>
        <w:t>The design implication is substantial: the problem is not lack of structure. The problem is that the structure is distributed across many partially overlapping forms, conventions, and shortcuts. Experienced pathologists and pathology assistants compress these patterns into mnemonics, favorite macros, spoken triggers, and stylistic defaults because the authoring task is repetitive in some ways, but still too variable for one rigid template.</w:t>
      </w:r>
    </w:p>
    <w:p w14:paraId="7A43F6BC" w14:textId="77777777" w:rsidR="001A651F" w:rsidRDefault="000465C3">
      <w:pPr>
        <w:pStyle w:val="Heading1"/>
      </w:pPr>
      <w:r>
        <w:t>2. Why current systems underperform</w:t>
      </w:r>
    </w:p>
    <w:p w14:paraId="1C5D8DB9" w14:textId="77777777" w:rsidR="001A651F" w:rsidRDefault="000465C3">
      <w:r>
        <w:t>Current systems usually fail in one of four ways. First, they begin from a blank page. That forces the pathologist to reconstruct specimen topology manually, even when accession data already contains the outline of the case. Second, they assume one input mode per user or per case: either dictation or structured entry or template-driven reporting. Third, they treat free text as unstructured noise rather than as compressed domain grammar. Fourth, when AI is added, it is often aimed at drafting prose instead o</w:t>
      </w:r>
      <w:r>
        <w:t>f supporting the deeper tasks of scaffold selection, structural extraction, and consistency control.</w:t>
      </w:r>
    </w:p>
    <w:tbl>
      <w:tblPr>
        <w:tblStyle w:val="TableGrid"/>
        <w:tblW w:w="0" w:type="auto"/>
        <w:jc w:val="center"/>
        <w:tblLook w:val="04A0" w:firstRow="1" w:lastRow="0" w:firstColumn="1" w:lastColumn="0" w:noHBand="0" w:noVBand="1"/>
      </w:tblPr>
      <w:tblGrid>
        <w:gridCol w:w="2232"/>
        <w:gridCol w:w="3168"/>
        <w:gridCol w:w="3888"/>
      </w:tblGrid>
      <w:tr w:rsidR="001A651F" w14:paraId="18700E11"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4C12BC9C" w14:textId="77777777" w:rsidR="001A651F" w:rsidRDefault="000465C3">
            <w:pPr>
              <w:spacing w:after="20" w:line="252" w:lineRule="auto"/>
            </w:pPr>
            <w:r>
              <w:rPr>
                <w:b/>
                <w:sz w:val="19"/>
              </w:rPr>
              <w:t>Failure mode</w:t>
            </w:r>
          </w:p>
        </w:tc>
        <w:tc>
          <w:tcPr>
            <w:tcW w:w="3168"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05DA94AD" w14:textId="77777777" w:rsidR="001A651F" w:rsidRDefault="000465C3">
            <w:pPr>
              <w:spacing w:after="20" w:line="252" w:lineRule="auto"/>
            </w:pPr>
            <w:r>
              <w:rPr>
                <w:b/>
                <w:sz w:val="19"/>
              </w:rPr>
              <w:t>Why it happens</w:t>
            </w:r>
          </w:p>
        </w:tc>
        <w:tc>
          <w:tcPr>
            <w:tcW w:w="3888"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2D8668D2" w14:textId="77777777" w:rsidR="001A651F" w:rsidRDefault="000465C3">
            <w:pPr>
              <w:spacing w:after="20" w:line="252" w:lineRule="auto"/>
            </w:pPr>
            <w:r>
              <w:rPr>
                <w:b/>
                <w:sz w:val="19"/>
              </w:rPr>
              <w:t>Operational consequence</w:t>
            </w:r>
          </w:p>
        </w:tc>
      </w:tr>
      <w:tr w:rsidR="001A651F" w14:paraId="6FD5783A"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1DD86A7C" w14:textId="77777777" w:rsidR="001A651F" w:rsidRDefault="000465C3">
            <w:pPr>
              <w:spacing w:after="20" w:line="252" w:lineRule="auto"/>
            </w:pPr>
            <w:r>
              <w:rPr>
                <w:sz w:val="19"/>
              </w:rPr>
              <w:t>Blank-page authoring</w:t>
            </w:r>
          </w:p>
        </w:tc>
        <w:tc>
          <w:tcPr>
            <w:tcW w:w="3168" w:type="dxa"/>
            <w:tcBorders>
              <w:top w:val="single" w:sz="6" w:space="0" w:color="BFC9D5"/>
              <w:left w:val="single" w:sz="6" w:space="0" w:color="BFC9D5"/>
              <w:bottom w:val="single" w:sz="6" w:space="0" w:color="BFC9D5"/>
              <w:right w:val="single" w:sz="6" w:space="0" w:color="BFC9D5"/>
            </w:tcBorders>
            <w:vAlign w:val="center"/>
          </w:tcPr>
          <w:p w14:paraId="1279D564" w14:textId="77777777" w:rsidR="001A651F" w:rsidRDefault="000465C3">
            <w:pPr>
              <w:spacing w:after="20" w:line="252" w:lineRule="auto"/>
            </w:pPr>
            <w:r>
              <w:rPr>
                <w:sz w:val="19"/>
              </w:rPr>
              <w:t>System starts with text composition instead of specimen topology.</w:t>
            </w:r>
          </w:p>
        </w:tc>
        <w:tc>
          <w:tcPr>
            <w:tcW w:w="3888" w:type="dxa"/>
            <w:tcBorders>
              <w:top w:val="single" w:sz="6" w:space="0" w:color="BFC9D5"/>
              <w:left w:val="single" w:sz="6" w:space="0" w:color="BFC9D5"/>
              <w:bottom w:val="single" w:sz="6" w:space="0" w:color="BFC9D5"/>
              <w:right w:val="single" w:sz="6" w:space="0" w:color="BFC9D5"/>
            </w:tcBorders>
            <w:vAlign w:val="center"/>
          </w:tcPr>
          <w:p w14:paraId="66FC1599" w14:textId="77777777" w:rsidR="001A651F" w:rsidRDefault="000465C3">
            <w:pPr>
              <w:spacing w:after="20" w:line="252" w:lineRule="auto"/>
            </w:pPr>
            <w:r>
              <w:rPr>
                <w:sz w:val="19"/>
              </w:rPr>
              <w:t>Users rebuild parts and labels manually; slower start and more clerical friction.</w:t>
            </w:r>
          </w:p>
        </w:tc>
      </w:tr>
      <w:tr w:rsidR="001A651F" w14:paraId="12ECCF7E"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6B724D9E" w14:textId="77777777" w:rsidR="001A651F" w:rsidRDefault="000465C3">
            <w:pPr>
              <w:spacing w:after="20" w:line="252" w:lineRule="auto"/>
            </w:pPr>
            <w:r>
              <w:rPr>
                <w:sz w:val="19"/>
              </w:rPr>
              <w:t>Rigid single-mode workflow</w:t>
            </w:r>
          </w:p>
        </w:tc>
        <w:tc>
          <w:tcPr>
            <w:tcW w:w="316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B188CAE" w14:textId="77777777" w:rsidR="001A651F" w:rsidRDefault="000465C3">
            <w:pPr>
              <w:spacing w:after="20" w:line="252" w:lineRule="auto"/>
            </w:pPr>
            <w:r>
              <w:rPr>
                <w:sz w:val="19"/>
              </w:rPr>
              <w:t>Product assumes one preferred style of sign-out.</w:t>
            </w:r>
          </w:p>
        </w:tc>
        <w:tc>
          <w:tcPr>
            <w:tcW w:w="388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7D9A071" w14:textId="77777777" w:rsidR="001A651F" w:rsidRDefault="000465C3">
            <w:pPr>
              <w:spacing w:after="20" w:line="252" w:lineRule="auto"/>
            </w:pPr>
            <w:r>
              <w:rPr>
                <w:sz w:val="19"/>
              </w:rPr>
              <w:t>Users fight the interface whenever the case demands a different approach.</w:t>
            </w:r>
          </w:p>
        </w:tc>
      </w:tr>
      <w:tr w:rsidR="001A651F" w14:paraId="0CF4FAC1"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21E0D058" w14:textId="77777777" w:rsidR="001A651F" w:rsidRDefault="000465C3">
            <w:pPr>
              <w:spacing w:after="20" w:line="252" w:lineRule="auto"/>
            </w:pPr>
            <w:r>
              <w:rPr>
                <w:sz w:val="19"/>
              </w:rPr>
              <w:t>Template overreach</w:t>
            </w:r>
          </w:p>
        </w:tc>
        <w:tc>
          <w:tcPr>
            <w:tcW w:w="3168" w:type="dxa"/>
            <w:tcBorders>
              <w:top w:val="single" w:sz="6" w:space="0" w:color="BFC9D5"/>
              <w:left w:val="single" w:sz="6" w:space="0" w:color="BFC9D5"/>
              <w:bottom w:val="single" w:sz="6" w:space="0" w:color="BFC9D5"/>
              <w:right w:val="single" w:sz="6" w:space="0" w:color="BFC9D5"/>
            </w:tcBorders>
            <w:vAlign w:val="center"/>
          </w:tcPr>
          <w:p w14:paraId="48A582F4" w14:textId="77777777" w:rsidR="001A651F" w:rsidRDefault="000465C3">
            <w:pPr>
              <w:spacing w:after="20" w:line="252" w:lineRule="auto"/>
            </w:pPr>
            <w:r>
              <w:rPr>
                <w:sz w:val="19"/>
              </w:rPr>
              <w:t>Structured forms are extended beyond the subset of cases they fit naturally.</w:t>
            </w:r>
          </w:p>
        </w:tc>
        <w:tc>
          <w:tcPr>
            <w:tcW w:w="3888" w:type="dxa"/>
            <w:tcBorders>
              <w:top w:val="single" w:sz="6" w:space="0" w:color="BFC9D5"/>
              <w:left w:val="single" w:sz="6" w:space="0" w:color="BFC9D5"/>
              <w:bottom w:val="single" w:sz="6" w:space="0" w:color="BFC9D5"/>
              <w:right w:val="single" w:sz="6" w:space="0" w:color="BFC9D5"/>
            </w:tcBorders>
            <w:vAlign w:val="center"/>
          </w:tcPr>
          <w:p w14:paraId="109DB352" w14:textId="77777777" w:rsidR="001A651F" w:rsidRDefault="000465C3">
            <w:pPr>
              <w:spacing w:after="20" w:line="252" w:lineRule="auto"/>
            </w:pPr>
            <w:r>
              <w:rPr>
                <w:sz w:val="19"/>
              </w:rPr>
              <w:t>Resistance rises; users bypass or partially complete forms.</w:t>
            </w:r>
          </w:p>
        </w:tc>
      </w:tr>
      <w:tr w:rsidR="001A651F" w14:paraId="09C94E5B"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2D4466CD" w14:textId="77777777" w:rsidR="001A651F" w:rsidRDefault="000465C3">
            <w:pPr>
              <w:spacing w:after="20" w:line="252" w:lineRule="auto"/>
            </w:pPr>
            <w:r>
              <w:rPr>
                <w:sz w:val="19"/>
              </w:rPr>
              <w:t>Narrative overreliance</w:t>
            </w:r>
          </w:p>
        </w:tc>
        <w:tc>
          <w:tcPr>
            <w:tcW w:w="316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34289227" w14:textId="77777777" w:rsidR="001A651F" w:rsidRDefault="000465C3">
            <w:pPr>
              <w:spacing w:after="20" w:line="252" w:lineRule="auto"/>
            </w:pPr>
            <w:r>
              <w:rPr>
                <w:sz w:val="19"/>
              </w:rPr>
              <w:t>Free text is used because it is flexible, but without structural support.</w:t>
            </w:r>
          </w:p>
        </w:tc>
        <w:tc>
          <w:tcPr>
            <w:tcW w:w="388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37BA72E" w14:textId="77777777" w:rsidR="001A651F" w:rsidRDefault="000465C3">
            <w:pPr>
              <w:spacing w:after="20" w:line="252" w:lineRule="auto"/>
            </w:pPr>
            <w:r>
              <w:rPr>
                <w:sz w:val="19"/>
              </w:rPr>
              <w:t>Important elements become harder to validate, extract, or reuse.</w:t>
            </w:r>
          </w:p>
        </w:tc>
      </w:tr>
      <w:tr w:rsidR="001A651F" w14:paraId="7149D2DD"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0ACFA6D8" w14:textId="77777777" w:rsidR="001A651F" w:rsidRDefault="000465C3">
            <w:pPr>
              <w:spacing w:after="20" w:line="252" w:lineRule="auto"/>
            </w:pPr>
            <w:r>
              <w:rPr>
                <w:sz w:val="19"/>
              </w:rPr>
              <w:t>AI as prose generator</w:t>
            </w:r>
          </w:p>
        </w:tc>
        <w:tc>
          <w:tcPr>
            <w:tcW w:w="3168" w:type="dxa"/>
            <w:tcBorders>
              <w:top w:val="single" w:sz="6" w:space="0" w:color="BFC9D5"/>
              <w:left w:val="single" w:sz="6" w:space="0" w:color="BFC9D5"/>
              <w:bottom w:val="single" w:sz="6" w:space="0" w:color="BFC9D5"/>
              <w:right w:val="single" w:sz="6" w:space="0" w:color="BFC9D5"/>
            </w:tcBorders>
            <w:vAlign w:val="center"/>
          </w:tcPr>
          <w:p w14:paraId="5B405F45" w14:textId="77777777" w:rsidR="001A651F" w:rsidRDefault="000465C3">
            <w:pPr>
              <w:spacing w:after="20" w:line="252" w:lineRule="auto"/>
            </w:pPr>
            <w:r>
              <w:rPr>
                <w:sz w:val="19"/>
              </w:rPr>
              <w:t>Model is asked to write the report rather than support the case model.</w:t>
            </w:r>
          </w:p>
        </w:tc>
        <w:tc>
          <w:tcPr>
            <w:tcW w:w="3888" w:type="dxa"/>
            <w:tcBorders>
              <w:top w:val="single" w:sz="6" w:space="0" w:color="BFC9D5"/>
              <w:left w:val="single" w:sz="6" w:space="0" w:color="BFC9D5"/>
              <w:bottom w:val="single" w:sz="6" w:space="0" w:color="BFC9D5"/>
              <w:right w:val="single" w:sz="6" w:space="0" w:color="BFC9D5"/>
            </w:tcBorders>
            <w:vAlign w:val="center"/>
          </w:tcPr>
          <w:p w14:paraId="4F93B9C0" w14:textId="77777777" w:rsidR="001A651F" w:rsidRDefault="000465C3">
            <w:pPr>
              <w:spacing w:after="20" w:line="252" w:lineRule="auto"/>
            </w:pPr>
            <w:r>
              <w:rPr>
                <w:sz w:val="19"/>
              </w:rPr>
              <w:t>Hallucination risk rises and trust falls.</w:t>
            </w:r>
          </w:p>
        </w:tc>
      </w:tr>
    </w:tbl>
    <w:p w14:paraId="382B5981" w14:textId="77777777" w:rsidR="001A651F" w:rsidRDefault="001A651F"/>
    <w:p w14:paraId="72156F05" w14:textId="77777777" w:rsidR="001A651F" w:rsidRDefault="000465C3">
      <w:r>
        <w:t>The evidence base around synoptic reporting helps clarify the limits of the current paradigm. Systematic review data show that synoptic reporting increases completeness of pathology reports for solid tumors and improves reporting of critical elements such as margins and vascular or perineural invasion.</w:t>
      </w:r>
      <w:r>
        <w:rPr>
          <w:color w:val="5A5A5A"/>
          <w:sz w:val="18"/>
        </w:rPr>
        <w:t>[2]</w:t>
      </w:r>
      <w:r>
        <w:t xml:space="preserve"> CAP's electronic Cancer Protocols are explicitly designed to capture necessary required elements within routine AP-LIS workflow.</w:t>
      </w:r>
      <w:r>
        <w:rPr>
          <w:color w:val="5A5A5A"/>
          <w:sz w:val="18"/>
        </w:rPr>
        <w:t>[1]</w:t>
      </w:r>
      <w:r>
        <w:t xml:space="preserve"> But that success should not be overgeneralized. Synoptic tools solved the problem they were designed to solve—completeness of required cancer data elements—not the entire problem of pathology authorship.</w:t>
      </w:r>
    </w:p>
    <w:p w14:paraId="3B5105C2" w14:textId="77777777" w:rsidR="001A651F" w:rsidRDefault="000465C3">
      <w:r>
        <w:t>Even within synoptic workflows, interface design matters. Renshaw and colleagues showed that completeness, amendment rates, ancillary testing behavior, and extraction performance vary significantly with the method used to construct the synoptic report.</w:t>
      </w:r>
      <w:r>
        <w:rPr>
          <w:color w:val="5A5A5A"/>
          <w:sz w:val="18"/>
        </w:rPr>
        <w:t>[3]</w:t>
      </w:r>
      <w:r>
        <w:t xml:space="preserve"> That finding is crucial: the interface and interaction model are not superficial details. They directly influence quality.</w:t>
      </w:r>
    </w:p>
    <w:p w14:paraId="2E56AF61" w14:textId="77777777" w:rsidR="001A651F" w:rsidRDefault="000465C3">
      <w:pPr>
        <w:pStyle w:val="Heading1"/>
      </w:pPr>
      <w:r>
        <w:lastRenderedPageBreak/>
        <w:t>3. A better abstraction: one model, many entry grammars</w:t>
      </w:r>
    </w:p>
    <w:p w14:paraId="4E92F627" w14:textId="77777777" w:rsidR="001A651F" w:rsidRDefault="000465C3">
      <w:r>
        <w:t>The right unifying idea is not a universal template. It is a canonical case model underneath multiple authoring grammars. In other words, different pathologists should be allowed to enter the same case through different high-efficiency routes, while the system converges those routes into the same internal representation.</w:t>
      </w:r>
    </w:p>
    <w:p w14:paraId="76FA0ECE" w14:textId="77777777" w:rsidR="001A651F" w:rsidRDefault="000465C3">
      <w:r>
        <w:t>This internal representation should not be plain text. It should be a specimen-centered graph or object model that can represent accession context, parts, normalized anatomy, exact source wording, observations, diagnoses, ancillary links, synoptic elements, comments, and provenance. Final prose becomes a rendering of that model, not the model itself.</w:t>
      </w:r>
    </w:p>
    <w:p w14:paraId="7216F077" w14:textId="77777777" w:rsidR="001A651F" w:rsidRDefault="000465C3">
      <w:pPr>
        <w:pStyle w:val="Heading2"/>
      </w:pPr>
      <w:r>
        <w:t>The canonical model should preserve at least these layers:</w:t>
      </w:r>
    </w:p>
    <w:tbl>
      <w:tblPr>
        <w:tblStyle w:val="TableGrid"/>
        <w:tblW w:w="0" w:type="auto"/>
        <w:jc w:val="center"/>
        <w:tblLook w:val="04A0" w:firstRow="1" w:lastRow="0" w:firstColumn="1" w:lastColumn="0" w:noHBand="0" w:noVBand="1"/>
      </w:tblPr>
      <w:tblGrid>
        <w:gridCol w:w="2304"/>
        <w:gridCol w:w="7056"/>
      </w:tblGrid>
      <w:tr w:rsidR="001A651F" w14:paraId="26219860" w14:textId="77777777">
        <w:trPr>
          <w:jc w:val="center"/>
        </w:trPr>
        <w:tc>
          <w:tcPr>
            <w:tcW w:w="2304"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7513FA31" w14:textId="77777777" w:rsidR="001A651F" w:rsidRDefault="000465C3">
            <w:pPr>
              <w:spacing w:after="20" w:line="252" w:lineRule="auto"/>
            </w:pPr>
            <w:r>
              <w:rPr>
                <w:b/>
                <w:sz w:val="19"/>
              </w:rPr>
              <w:t>Layer</w:t>
            </w:r>
          </w:p>
        </w:tc>
        <w:tc>
          <w:tcPr>
            <w:tcW w:w="7056"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1A721879" w14:textId="77777777" w:rsidR="001A651F" w:rsidRDefault="000465C3">
            <w:pPr>
              <w:spacing w:after="20" w:line="252" w:lineRule="auto"/>
            </w:pPr>
            <w:r>
              <w:rPr>
                <w:b/>
                <w:sz w:val="19"/>
              </w:rPr>
              <w:t>What it stores</w:t>
            </w:r>
          </w:p>
        </w:tc>
      </w:tr>
      <w:tr w:rsidR="001A651F" w14:paraId="73567472" w14:textId="77777777">
        <w:trPr>
          <w:jc w:val="center"/>
        </w:trPr>
        <w:tc>
          <w:tcPr>
            <w:tcW w:w="2304" w:type="dxa"/>
            <w:tcBorders>
              <w:top w:val="single" w:sz="6" w:space="0" w:color="BFC9D5"/>
              <w:left w:val="single" w:sz="6" w:space="0" w:color="BFC9D5"/>
              <w:bottom w:val="single" w:sz="6" w:space="0" w:color="BFC9D5"/>
              <w:right w:val="single" w:sz="6" w:space="0" w:color="BFC9D5"/>
            </w:tcBorders>
            <w:vAlign w:val="center"/>
          </w:tcPr>
          <w:p w14:paraId="71DF5A1D" w14:textId="77777777" w:rsidR="001A651F" w:rsidRDefault="000465C3">
            <w:pPr>
              <w:spacing w:after="20" w:line="252" w:lineRule="auto"/>
            </w:pPr>
            <w:r>
              <w:rPr>
                <w:sz w:val="19"/>
              </w:rPr>
              <w:t>Specimen topology</w:t>
            </w:r>
          </w:p>
        </w:tc>
        <w:tc>
          <w:tcPr>
            <w:tcW w:w="7056" w:type="dxa"/>
            <w:tcBorders>
              <w:top w:val="single" w:sz="6" w:space="0" w:color="BFC9D5"/>
              <w:left w:val="single" w:sz="6" w:space="0" w:color="BFC9D5"/>
              <w:bottom w:val="single" w:sz="6" w:space="0" w:color="BFC9D5"/>
              <w:right w:val="single" w:sz="6" w:space="0" w:color="BFC9D5"/>
            </w:tcBorders>
            <w:vAlign w:val="center"/>
          </w:tcPr>
          <w:p w14:paraId="2090F011" w14:textId="77777777" w:rsidR="001A651F" w:rsidRDefault="000465C3">
            <w:pPr>
              <w:spacing w:after="20" w:line="252" w:lineRule="auto"/>
            </w:pPr>
            <w:r>
              <w:rPr>
                <w:sz w:val="19"/>
              </w:rPr>
              <w:t>Parts, containers, laterality, anatomical source, exact labels as received, accession metadata.</w:t>
            </w:r>
          </w:p>
        </w:tc>
      </w:tr>
      <w:tr w:rsidR="001A651F" w14:paraId="4BD0EED7" w14:textId="77777777">
        <w:trPr>
          <w:jc w:val="center"/>
        </w:trPr>
        <w:tc>
          <w:tcPr>
            <w:tcW w:w="2304"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56BE2310" w14:textId="77777777" w:rsidR="001A651F" w:rsidRDefault="000465C3">
            <w:pPr>
              <w:spacing w:after="20" w:line="252" w:lineRule="auto"/>
            </w:pPr>
            <w:r>
              <w:rPr>
                <w:sz w:val="19"/>
              </w:rPr>
              <w:t>Normalized semantics</w:t>
            </w:r>
          </w:p>
        </w:tc>
        <w:tc>
          <w:tcPr>
            <w:tcW w:w="7056"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5753FAFF" w14:textId="77777777" w:rsidR="001A651F" w:rsidRDefault="000465C3">
            <w:pPr>
              <w:spacing w:after="20" w:line="252" w:lineRule="auto"/>
            </w:pPr>
            <w:r>
              <w:rPr>
                <w:sz w:val="19"/>
              </w:rPr>
              <w:t>Standardized site names, lesion categories, diagnosis terms, controlled vocabulary mappings.</w:t>
            </w:r>
          </w:p>
        </w:tc>
      </w:tr>
      <w:tr w:rsidR="001A651F" w14:paraId="04EEA971" w14:textId="77777777">
        <w:trPr>
          <w:jc w:val="center"/>
        </w:trPr>
        <w:tc>
          <w:tcPr>
            <w:tcW w:w="2304" w:type="dxa"/>
            <w:tcBorders>
              <w:top w:val="single" w:sz="6" w:space="0" w:color="BFC9D5"/>
              <w:left w:val="single" w:sz="6" w:space="0" w:color="BFC9D5"/>
              <w:bottom w:val="single" w:sz="6" w:space="0" w:color="BFC9D5"/>
              <w:right w:val="single" w:sz="6" w:space="0" w:color="BFC9D5"/>
            </w:tcBorders>
            <w:vAlign w:val="center"/>
          </w:tcPr>
          <w:p w14:paraId="29677EA8" w14:textId="77777777" w:rsidR="001A651F" w:rsidRDefault="000465C3">
            <w:pPr>
              <w:spacing w:after="20" w:line="252" w:lineRule="auto"/>
            </w:pPr>
            <w:r>
              <w:rPr>
                <w:sz w:val="19"/>
              </w:rPr>
              <w:t>Interpretive content</w:t>
            </w:r>
          </w:p>
        </w:tc>
        <w:tc>
          <w:tcPr>
            <w:tcW w:w="7056" w:type="dxa"/>
            <w:tcBorders>
              <w:top w:val="single" w:sz="6" w:space="0" w:color="BFC9D5"/>
              <w:left w:val="single" w:sz="6" w:space="0" w:color="BFC9D5"/>
              <w:bottom w:val="single" w:sz="6" w:space="0" w:color="BFC9D5"/>
              <w:right w:val="single" w:sz="6" w:space="0" w:color="BFC9D5"/>
            </w:tcBorders>
            <w:vAlign w:val="center"/>
          </w:tcPr>
          <w:p w14:paraId="0272B0A0" w14:textId="77777777" w:rsidR="001A651F" w:rsidRDefault="000465C3">
            <w:pPr>
              <w:spacing w:after="20" w:line="252" w:lineRule="auto"/>
            </w:pPr>
            <w:r>
              <w:rPr>
                <w:sz w:val="19"/>
              </w:rPr>
              <w:t>Part-level findings, global diagnosis, comment, note, differential qualifiers, uncertainty language.</w:t>
            </w:r>
          </w:p>
        </w:tc>
      </w:tr>
      <w:tr w:rsidR="001A651F" w14:paraId="047069F1" w14:textId="77777777">
        <w:trPr>
          <w:jc w:val="center"/>
        </w:trPr>
        <w:tc>
          <w:tcPr>
            <w:tcW w:w="2304"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52E71A2F" w14:textId="77777777" w:rsidR="001A651F" w:rsidRDefault="000465C3">
            <w:pPr>
              <w:spacing w:after="20" w:line="252" w:lineRule="auto"/>
            </w:pPr>
            <w:r>
              <w:rPr>
                <w:sz w:val="19"/>
              </w:rPr>
              <w:t>Structured oncology elements</w:t>
            </w:r>
          </w:p>
        </w:tc>
        <w:tc>
          <w:tcPr>
            <w:tcW w:w="7056"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06E46E84" w14:textId="77777777" w:rsidR="001A651F" w:rsidRDefault="000465C3">
            <w:pPr>
              <w:spacing w:after="20" w:line="252" w:lineRule="auto"/>
            </w:pPr>
            <w:r>
              <w:rPr>
                <w:sz w:val="19"/>
              </w:rPr>
              <w:t>CAP/AJCC-aligned data elements, biomarker fields, stage-related fields, discrete values.</w:t>
            </w:r>
          </w:p>
        </w:tc>
      </w:tr>
      <w:tr w:rsidR="001A651F" w14:paraId="20D80E79" w14:textId="77777777">
        <w:trPr>
          <w:jc w:val="center"/>
        </w:trPr>
        <w:tc>
          <w:tcPr>
            <w:tcW w:w="2304" w:type="dxa"/>
            <w:tcBorders>
              <w:top w:val="single" w:sz="6" w:space="0" w:color="BFC9D5"/>
              <w:left w:val="single" w:sz="6" w:space="0" w:color="BFC9D5"/>
              <w:bottom w:val="single" w:sz="6" w:space="0" w:color="BFC9D5"/>
              <w:right w:val="single" w:sz="6" w:space="0" w:color="BFC9D5"/>
            </w:tcBorders>
            <w:vAlign w:val="center"/>
          </w:tcPr>
          <w:p w14:paraId="679CE790" w14:textId="77777777" w:rsidR="001A651F" w:rsidRDefault="000465C3">
            <w:pPr>
              <w:spacing w:after="20" w:line="252" w:lineRule="auto"/>
            </w:pPr>
            <w:r>
              <w:rPr>
                <w:sz w:val="19"/>
              </w:rPr>
              <w:t>Operational context</w:t>
            </w:r>
          </w:p>
        </w:tc>
        <w:tc>
          <w:tcPr>
            <w:tcW w:w="7056" w:type="dxa"/>
            <w:tcBorders>
              <w:top w:val="single" w:sz="6" w:space="0" w:color="BFC9D5"/>
              <w:left w:val="single" w:sz="6" w:space="0" w:color="BFC9D5"/>
              <w:bottom w:val="single" w:sz="6" w:space="0" w:color="BFC9D5"/>
              <w:right w:val="single" w:sz="6" w:space="0" w:color="BFC9D5"/>
            </w:tcBorders>
            <w:vAlign w:val="center"/>
          </w:tcPr>
          <w:p w14:paraId="096C752E" w14:textId="77777777" w:rsidR="001A651F" w:rsidRDefault="000465C3">
            <w:pPr>
              <w:spacing w:after="20" w:line="252" w:lineRule="auto"/>
            </w:pPr>
            <w:r>
              <w:rPr>
                <w:sz w:val="19"/>
              </w:rPr>
              <w:t>Ancillary studies, stains, blocks, workflow status, downstream coding-support context.</w:t>
            </w:r>
          </w:p>
        </w:tc>
      </w:tr>
      <w:tr w:rsidR="001A651F" w14:paraId="79026C8A" w14:textId="77777777">
        <w:trPr>
          <w:jc w:val="center"/>
        </w:trPr>
        <w:tc>
          <w:tcPr>
            <w:tcW w:w="2304"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BB00A9B" w14:textId="77777777" w:rsidR="001A651F" w:rsidRDefault="000465C3">
            <w:pPr>
              <w:spacing w:after="20" w:line="252" w:lineRule="auto"/>
            </w:pPr>
            <w:r>
              <w:rPr>
                <w:sz w:val="19"/>
              </w:rPr>
              <w:t>Provenance</w:t>
            </w:r>
          </w:p>
        </w:tc>
        <w:tc>
          <w:tcPr>
            <w:tcW w:w="7056"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B939D32" w14:textId="77777777" w:rsidR="001A651F" w:rsidRDefault="000465C3">
            <w:pPr>
              <w:spacing w:after="20" w:line="252" w:lineRule="auto"/>
            </w:pPr>
            <w:r>
              <w:rPr>
                <w:sz w:val="19"/>
              </w:rPr>
              <w:t>Whether the element came from accession data, mnemonic expansion, dictated speech, manual typing, AI suggestion, or imported template.</w:t>
            </w:r>
          </w:p>
        </w:tc>
      </w:tr>
    </w:tbl>
    <w:p w14:paraId="6D0AE11E" w14:textId="77777777" w:rsidR="001A651F" w:rsidRDefault="001A651F"/>
    <w:p w14:paraId="556B26D2" w14:textId="77777777" w:rsidR="001A651F" w:rsidRDefault="000465C3">
      <w:r>
        <w:t>Once such a model exists, several entry grammars become compatible rather than competitive. A mnemonic can instantiate a repeated-unit topology. A short natural-language phrase can trigger ranked scaffold suggestions. Dictation can fill structured slots as the user speaks. Point-and-click entry can complete a subset of required fields. Free text can still be entered where the case truly exceeds the available topology library.</w:t>
      </w:r>
    </w:p>
    <w:p w14:paraId="0ABD27ED" w14:textId="77777777" w:rsidR="001A651F" w:rsidRDefault="000465C3">
      <w:r>
        <w:t>The internal unification therefore occurs below the interface. What looks like different workflows to the user becomes one coherent case-construction process to the system.</w:t>
      </w:r>
    </w:p>
    <w:p w14:paraId="15B15637" w14:textId="77777777" w:rsidR="001A651F" w:rsidRDefault="000465C3">
      <w:pPr>
        <w:pStyle w:val="Heading1"/>
      </w:pPr>
      <w:r>
        <w:t>4. Topology-driven authoring</w:t>
      </w:r>
    </w:p>
    <w:p w14:paraId="4F45286A" w14:textId="77777777" w:rsidR="001A651F" w:rsidRDefault="000465C3">
      <w:r>
        <w:t>The most practical way to operationalize this model is through topology classes. A topology is a recurring structural pattern of case organization. It does not dictate final wording; it describes the skeleton of the case.</w:t>
      </w:r>
    </w:p>
    <w:tbl>
      <w:tblPr>
        <w:tblStyle w:val="TableGrid"/>
        <w:tblW w:w="0" w:type="auto"/>
        <w:jc w:val="center"/>
        <w:tblLook w:val="04A0" w:firstRow="1" w:lastRow="0" w:firstColumn="1" w:lastColumn="0" w:noHBand="0" w:noVBand="1"/>
      </w:tblPr>
      <w:tblGrid>
        <w:gridCol w:w="2088"/>
        <w:gridCol w:w="3312"/>
        <w:gridCol w:w="3960"/>
      </w:tblGrid>
      <w:tr w:rsidR="001A651F" w14:paraId="5FF90B88" w14:textId="77777777">
        <w:trPr>
          <w:jc w:val="center"/>
        </w:trPr>
        <w:tc>
          <w:tcPr>
            <w:tcW w:w="2088"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2B2C3955" w14:textId="77777777" w:rsidR="001A651F" w:rsidRDefault="000465C3">
            <w:pPr>
              <w:spacing w:after="20" w:line="252" w:lineRule="auto"/>
            </w:pPr>
            <w:r>
              <w:rPr>
                <w:b/>
                <w:sz w:val="19"/>
              </w:rPr>
              <w:t>Topology class</w:t>
            </w:r>
          </w:p>
        </w:tc>
        <w:tc>
          <w:tcPr>
            <w:tcW w:w="3312"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5AA04F03" w14:textId="77777777" w:rsidR="001A651F" w:rsidRDefault="000465C3">
            <w:pPr>
              <w:spacing w:after="20" w:line="252" w:lineRule="auto"/>
            </w:pPr>
            <w:r>
              <w:rPr>
                <w:b/>
                <w:sz w:val="19"/>
              </w:rPr>
              <w:t>Typical examples</w:t>
            </w:r>
          </w:p>
        </w:tc>
        <w:tc>
          <w:tcPr>
            <w:tcW w:w="3960"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53041DD3" w14:textId="77777777" w:rsidR="001A651F" w:rsidRDefault="000465C3">
            <w:pPr>
              <w:spacing w:after="20" w:line="252" w:lineRule="auto"/>
            </w:pPr>
            <w:r>
              <w:rPr>
                <w:b/>
                <w:sz w:val="19"/>
              </w:rPr>
              <w:t>Best primary entry mode</w:t>
            </w:r>
          </w:p>
        </w:tc>
      </w:tr>
      <w:tr w:rsidR="001A651F" w14:paraId="612BD3E1" w14:textId="77777777">
        <w:trPr>
          <w:jc w:val="center"/>
        </w:trPr>
        <w:tc>
          <w:tcPr>
            <w:tcW w:w="2088" w:type="dxa"/>
            <w:tcBorders>
              <w:top w:val="single" w:sz="6" w:space="0" w:color="BFC9D5"/>
              <w:left w:val="single" w:sz="6" w:space="0" w:color="BFC9D5"/>
              <w:bottom w:val="single" w:sz="6" w:space="0" w:color="BFC9D5"/>
              <w:right w:val="single" w:sz="6" w:space="0" w:color="BFC9D5"/>
            </w:tcBorders>
            <w:vAlign w:val="center"/>
          </w:tcPr>
          <w:p w14:paraId="703C3F1D" w14:textId="77777777" w:rsidR="001A651F" w:rsidRDefault="000465C3">
            <w:pPr>
              <w:spacing w:after="20" w:line="252" w:lineRule="auto"/>
            </w:pPr>
            <w:r>
              <w:rPr>
                <w:sz w:val="19"/>
              </w:rPr>
              <w:t>Repeated-unit</w:t>
            </w:r>
          </w:p>
        </w:tc>
        <w:tc>
          <w:tcPr>
            <w:tcW w:w="3312" w:type="dxa"/>
            <w:tcBorders>
              <w:top w:val="single" w:sz="6" w:space="0" w:color="BFC9D5"/>
              <w:left w:val="single" w:sz="6" w:space="0" w:color="BFC9D5"/>
              <w:bottom w:val="single" w:sz="6" w:space="0" w:color="BFC9D5"/>
              <w:right w:val="single" w:sz="6" w:space="0" w:color="BFC9D5"/>
            </w:tcBorders>
            <w:vAlign w:val="center"/>
          </w:tcPr>
          <w:p w14:paraId="524E2C27" w14:textId="77777777" w:rsidR="001A651F" w:rsidRDefault="000465C3">
            <w:pPr>
              <w:spacing w:after="20" w:line="252" w:lineRule="auto"/>
            </w:pPr>
            <w:r>
              <w:rPr>
                <w:sz w:val="19"/>
              </w:rPr>
              <w:t>12-core or 10-core prostate biopsy; multiple uniform reporting units.</w:t>
            </w:r>
          </w:p>
        </w:tc>
        <w:tc>
          <w:tcPr>
            <w:tcW w:w="3960" w:type="dxa"/>
            <w:tcBorders>
              <w:top w:val="single" w:sz="6" w:space="0" w:color="BFC9D5"/>
              <w:left w:val="single" w:sz="6" w:space="0" w:color="BFC9D5"/>
              <w:bottom w:val="single" w:sz="6" w:space="0" w:color="BFC9D5"/>
              <w:right w:val="single" w:sz="6" w:space="0" w:color="BFC9D5"/>
            </w:tcBorders>
            <w:vAlign w:val="center"/>
          </w:tcPr>
          <w:p w14:paraId="1C00AE4F" w14:textId="77777777" w:rsidR="001A651F" w:rsidRDefault="000465C3">
            <w:pPr>
              <w:spacing w:after="20" w:line="252" w:lineRule="auto"/>
            </w:pPr>
            <w:r>
              <w:rPr>
                <w:sz w:val="19"/>
              </w:rPr>
              <w:t>Mnemonic expansion plus targeted per-part completion.</w:t>
            </w:r>
          </w:p>
        </w:tc>
      </w:tr>
      <w:tr w:rsidR="001A651F" w14:paraId="32BB908F" w14:textId="77777777">
        <w:trPr>
          <w:jc w:val="center"/>
        </w:trPr>
        <w:tc>
          <w:tcPr>
            <w:tcW w:w="208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696C4E01" w14:textId="77777777" w:rsidR="001A651F" w:rsidRDefault="000465C3">
            <w:pPr>
              <w:spacing w:after="20" w:line="252" w:lineRule="auto"/>
            </w:pPr>
            <w:r>
              <w:rPr>
                <w:sz w:val="19"/>
              </w:rPr>
              <w:t>Location-sensitive multipart</w:t>
            </w:r>
          </w:p>
        </w:tc>
        <w:tc>
          <w:tcPr>
            <w:tcW w:w="331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7AF97272" w14:textId="77777777" w:rsidR="001A651F" w:rsidRDefault="000465C3">
            <w:pPr>
              <w:spacing w:after="20" w:line="252" w:lineRule="auto"/>
            </w:pPr>
            <w:r>
              <w:rPr>
                <w:sz w:val="19"/>
              </w:rPr>
              <w:t>GI biopsies and polyps from multiple sites.</w:t>
            </w:r>
          </w:p>
        </w:tc>
        <w:tc>
          <w:tcPr>
            <w:tcW w:w="3960"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EA889CE" w14:textId="77777777" w:rsidR="001A651F" w:rsidRDefault="000465C3">
            <w:pPr>
              <w:spacing w:after="20" w:line="252" w:lineRule="auto"/>
            </w:pPr>
            <w:r>
              <w:rPr>
                <w:sz w:val="19"/>
              </w:rPr>
              <w:t>Accession-aware scaffold with exact source labels preserved; speech or typing for per-</w:t>
            </w:r>
            <w:r>
              <w:rPr>
                <w:sz w:val="19"/>
              </w:rPr>
              <w:lastRenderedPageBreak/>
              <w:t>part diagnosis.</w:t>
            </w:r>
          </w:p>
        </w:tc>
      </w:tr>
      <w:tr w:rsidR="001A651F" w14:paraId="456A84EC" w14:textId="77777777">
        <w:trPr>
          <w:jc w:val="center"/>
        </w:trPr>
        <w:tc>
          <w:tcPr>
            <w:tcW w:w="2088" w:type="dxa"/>
            <w:tcBorders>
              <w:top w:val="single" w:sz="6" w:space="0" w:color="BFC9D5"/>
              <w:left w:val="single" w:sz="6" w:space="0" w:color="BFC9D5"/>
              <w:bottom w:val="single" w:sz="6" w:space="0" w:color="BFC9D5"/>
              <w:right w:val="single" w:sz="6" w:space="0" w:color="BFC9D5"/>
            </w:tcBorders>
            <w:vAlign w:val="center"/>
          </w:tcPr>
          <w:p w14:paraId="60A586ED" w14:textId="77777777" w:rsidR="001A651F" w:rsidRDefault="000465C3">
            <w:pPr>
              <w:spacing w:after="20" w:line="252" w:lineRule="auto"/>
            </w:pPr>
            <w:r>
              <w:rPr>
                <w:sz w:val="19"/>
              </w:rPr>
              <w:lastRenderedPageBreak/>
              <w:t>Single-lesion/simple specimen</w:t>
            </w:r>
          </w:p>
        </w:tc>
        <w:tc>
          <w:tcPr>
            <w:tcW w:w="3312" w:type="dxa"/>
            <w:tcBorders>
              <w:top w:val="single" w:sz="6" w:space="0" w:color="BFC9D5"/>
              <w:left w:val="single" w:sz="6" w:space="0" w:color="BFC9D5"/>
              <w:bottom w:val="single" w:sz="6" w:space="0" w:color="BFC9D5"/>
              <w:right w:val="single" w:sz="6" w:space="0" w:color="BFC9D5"/>
            </w:tcBorders>
            <w:vAlign w:val="center"/>
          </w:tcPr>
          <w:p w14:paraId="49362F27" w14:textId="77777777" w:rsidR="001A651F" w:rsidRDefault="000465C3">
            <w:pPr>
              <w:spacing w:after="20" w:line="252" w:lineRule="auto"/>
            </w:pPr>
            <w:r>
              <w:rPr>
                <w:sz w:val="19"/>
              </w:rPr>
              <w:t>Punch biopsy, shave biopsy, small excision.</w:t>
            </w:r>
          </w:p>
        </w:tc>
        <w:tc>
          <w:tcPr>
            <w:tcW w:w="3960" w:type="dxa"/>
            <w:tcBorders>
              <w:top w:val="single" w:sz="6" w:space="0" w:color="BFC9D5"/>
              <w:left w:val="single" w:sz="6" w:space="0" w:color="BFC9D5"/>
              <w:bottom w:val="single" w:sz="6" w:space="0" w:color="BFC9D5"/>
              <w:right w:val="single" w:sz="6" w:space="0" w:color="BFC9D5"/>
            </w:tcBorders>
            <w:vAlign w:val="center"/>
          </w:tcPr>
          <w:p w14:paraId="3EBBCB14" w14:textId="77777777" w:rsidR="001A651F" w:rsidRDefault="000465C3">
            <w:pPr>
              <w:spacing w:after="20" w:line="252" w:lineRule="auto"/>
            </w:pPr>
            <w:r>
              <w:rPr>
                <w:sz w:val="19"/>
              </w:rPr>
              <w:t>Short intent phrase, macro, or free dictation with rapid phrase completion.</w:t>
            </w:r>
          </w:p>
        </w:tc>
      </w:tr>
      <w:tr w:rsidR="001A651F" w14:paraId="2795FB48" w14:textId="77777777">
        <w:trPr>
          <w:jc w:val="center"/>
        </w:trPr>
        <w:tc>
          <w:tcPr>
            <w:tcW w:w="208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227A3697" w14:textId="77777777" w:rsidR="001A651F" w:rsidRDefault="000465C3">
            <w:pPr>
              <w:spacing w:after="20" w:line="252" w:lineRule="auto"/>
            </w:pPr>
            <w:r>
              <w:rPr>
                <w:sz w:val="19"/>
              </w:rPr>
              <w:t>Resection with required discrete fields</w:t>
            </w:r>
          </w:p>
        </w:tc>
        <w:tc>
          <w:tcPr>
            <w:tcW w:w="331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58D0510" w14:textId="77777777" w:rsidR="001A651F" w:rsidRDefault="000465C3">
            <w:pPr>
              <w:spacing w:after="20" w:line="252" w:lineRule="auto"/>
            </w:pPr>
            <w:r>
              <w:rPr>
                <w:sz w:val="19"/>
              </w:rPr>
              <w:t>Cancer resection with CAP synoptic elements.</w:t>
            </w:r>
          </w:p>
        </w:tc>
        <w:tc>
          <w:tcPr>
            <w:tcW w:w="3960"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E081838" w14:textId="77777777" w:rsidR="001A651F" w:rsidRDefault="000465C3">
            <w:pPr>
              <w:spacing w:after="20" w:line="252" w:lineRule="auto"/>
            </w:pPr>
            <w:r>
              <w:rPr>
                <w:sz w:val="19"/>
              </w:rPr>
              <w:t>Scaffold plus synoptic layer, with optional speech-driven completion.</w:t>
            </w:r>
          </w:p>
        </w:tc>
      </w:tr>
      <w:tr w:rsidR="001A651F" w14:paraId="4FE86929" w14:textId="77777777">
        <w:trPr>
          <w:jc w:val="center"/>
        </w:trPr>
        <w:tc>
          <w:tcPr>
            <w:tcW w:w="2088" w:type="dxa"/>
            <w:tcBorders>
              <w:top w:val="single" w:sz="6" w:space="0" w:color="BFC9D5"/>
              <w:left w:val="single" w:sz="6" w:space="0" w:color="BFC9D5"/>
              <w:bottom w:val="single" w:sz="6" w:space="0" w:color="BFC9D5"/>
              <w:right w:val="single" w:sz="6" w:space="0" w:color="BFC9D5"/>
            </w:tcBorders>
            <w:vAlign w:val="center"/>
          </w:tcPr>
          <w:p w14:paraId="3FD5B1F4" w14:textId="77777777" w:rsidR="001A651F" w:rsidRDefault="000465C3">
            <w:pPr>
              <w:spacing w:after="20" w:line="252" w:lineRule="auto"/>
            </w:pPr>
            <w:r>
              <w:rPr>
                <w:sz w:val="19"/>
              </w:rPr>
              <w:t>Consult / outside material</w:t>
            </w:r>
          </w:p>
        </w:tc>
        <w:tc>
          <w:tcPr>
            <w:tcW w:w="3312" w:type="dxa"/>
            <w:tcBorders>
              <w:top w:val="single" w:sz="6" w:space="0" w:color="BFC9D5"/>
              <w:left w:val="single" w:sz="6" w:space="0" w:color="BFC9D5"/>
              <w:bottom w:val="single" w:sz="6" w:space="0" w:color="BFC9D5"/>
              <w:right w:val="single" w:sz="6" w:space="0" w:color="BFC9D5"/>
            </w:tcBorders>
            <w:vAlign w:val="center"/>
          </w:tcPr>
          <w:p w14:paraId="0418AB58" w14:textId="77777777" w:rsidR="001A651F" w:rsidRDefault="000465C3">
            <w:pPr>
              <w:spacing w:after="20" w:line="252" w:lineRule="auto"/>
            </w:pPr>
            <w:r>
              <w:rPr>
                <w:sz w:val="19"/>
              </w:rPr>
              <w:t>External slides, partial history, nuanced comparison.</w:t>
            </w:r>
          </w:p>
        </w:tc>
        <w:tc>
          <w:tcPr>
            <w:tcW w:w="3960" w:type="dxa"/>
            <w:tcBorders>
              <w:top w:val="single" w:sz="6" w:space="0" w:color="BFC9D5"/>
              <w:left w:val="single" w:sz="6" w:space="0" w:color="BFC9D5"/>
              <w:bottom w:val="single" w:sz="6" w:space="0" w:color="BFC9D5"/>
              <w:right w:val="single" w:sz="6" w:space="0" w:color="BFC9D5"/>
            </w:tcBorders>
            <w:vAlign w:val="center"/>
          </w:tcPr>
          <w:p w14:paraId="4172104E" w14:textId="77777777" w:rsidR="001A651F" w:rsidRDefault="000465C3">
            <w:pPr>
              <w:spacing w:after="20" w:line="252" w:lineRule="auto"/>
            </w:pPr>
            <w:r>
              <w:rPr>
                <w:sz w:val="19"/>
              </w:rPr>
              <w:t>Narrative-first with AI support for consistency, structure extraction, and retrieval.</w:t>
            </w:r>
          </w:p>
        </w:tc>
      </w:tr>
      <w:tr w:rsidR="001A651F" w14:paraId="1B164A3D" w14:textId="77777777">
        <w:trPr>
          <w:jc w:val="center"/>
        </w:trPr>
        <w:tc>
          <w:tcPr>
            <w:tcW w:w="208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22172828" w14:textId="77777777" w:rsidR="001A651F" w:rsidRDefault="000465C3">
            <w:pPr>
              <w:spacing w:after="20" w:line="252" w:lineRule="auto"/>
            </w:pPr>
            <w:r>
              <w:rPr>
                <w:sz w:val="19"/>
              </w:rPr>
              <w:t>Ancillary-heavy / iterative</w:t>
            </w:r>
          </w:p>
        </w:tc>
        <w:tc>
          <w:tcPr>
            <w:tcW w:w="331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6D6C4D56" w14:textId="77777777" w:rsidR="001A651F" w:rsidRDefault="000465C3">
            <w:pPr>
              <w:spacing w:after="20" w:line="252" w:lineRule="auto"/>
            </w:pPr>
            <w:r>
              <w:rPr>
                <w:sz w:val="19"/>
              </w:rPr>
              <w:t>Cases in which stains or molecular results reshape the diagnosis.</w:t>
            </w:r>
          </w:p>
        </w:tc>
        <w:tc>
          <w:tcPr>
            <w:tcW w:w="3960"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6EDFCF08" w14:textId="77777777" w:rsidR="001A651F" w:rsidRDefault="000465C3">
            <w:pPr>
              <w:spacing w:after="20" w:line="252" w:lineRule="auto"/>
            </w:pPr>
            <w:r>
              <w:rPr>
                <w:sz w:val="19"/>
              </w:rPr>
              <w:t>Progressive authoring with provenance and update-aware validation.</w:t>
            </w:r>
          </w:p>
        </w:tc>
      </w:tr>
    </w:tbl>
    <w:p w14:paraId="412AC207" w14:textId="77777777" w:rsidR="001A651F" w:rsidRDefault="001A651F"/>
    <w:p w14:paraId="20626568" w14:textId="77777777" w:rsidR="001A651F" w:rsidRDefault="000465C3">
      <w:r>
        <w:t>This topology concept answers the practical question of whether there is a unified way to handle prostate-style shorthand, GI multipart naming, and dictation-heavy free-form cases. Yes—but not by forcing them into one visible format. The unification lies in recognizing that each belongs to a bounded family of case skeletons.</w:t>
      </w:r>
    </w:p>
    <w:p w14:paraId="79D8F89B" w14:textId="77777777" w:rsidR="001A651F" w:rsidRDefault="000465C3">
      <w:r>
        <w:t>A topology library also gives the system a manageable path to deployment. The goal is not to model every case on day one. The goal is to cover high-volume, high-regularity topologies first, then expand iteratively.</w:t>
      </w:r>
    </w:p>
    <w:p w14:paraId="13C64A7F" w14:textId="77777777" w:rsidR="001A651F" w:rsidRDefault="000465C3">
      <w:pPr>
        <w:pStyle w:val="Heading1"/>
      </w:pPr>
      <w:r>
        <w:t>5. Mnemonics and macros should be treated as commands</w:t>
      </w:r>
    </w:p>
    <w:p w14:paraId="3924AB1A" w14:textId="77777777" w:rsidR="001A651F" w:rsidRDefault="000465C3">
      <w:r>
        <w:t>In many departments, mnemonics are treated as a workaround. That is a mistake. They should be treated as first-class interface primitives because they are compressed expressions of stable local knowledge.</w:t>
      </w:r>
    </w:p>
    <w:p w14:paraId="4EC4CA6E" w14:textId="77777777" w:rsidR="001A651F" w:rsidRDefault="000465C3">
      <w:r>
        <w:t>For example, an input such as '12 PBP' is not ordinary text. It is a request to instantiate a known repeated-unit case skeleton. A well-designed system would parse it as a command, generate the appropriate part map, attach the relevant data-entry affordances, and then let the pathologist move rapidly through the repeated units. This is both safer and more informative than leaving the mnemonic to expand into a fragile wall of raw text.</w:t>
      </w:r>
    </w:p>
    <w:p w14:paraId="6E96AA76" w14:textId="77777777" w:rsidR="001A651F" w:rsidRDefault="000465C3">
      <w:r>
        <w:t>The literature on voice recognition in surgical pathology points in the same direction. Henricks et al. reported that targeted use of voice recognition could improve efficiency and reduce transcription delay and cost in surgical pathology.</w:t>
      </w:r>
      <w:r>
        <w:rPr>
          <w:color w:val="5A5A5A"/>
          <w:sz w:val="18"/>
        </w:rPr>
        <w:t>[8]</w:t>
      </w:r>
      <w:r>
        <w:t xml:space="preserve"> Kang et al. later described voice-recognition-integrated synoptic-like dictation in which templates were associated with key spoken phrases and integrated into APLIS workflow, yielding improvements in standardization, turnaround time, and cost.</w:t>
      </w:r>
      <w:r>
        <w:rPr>
          <w:color w:val="5A5A5A"/>
          <w:sz w:val="18"/>
        </w:rPr>
        <w:t>[9]</w:t>
      </w:r>
      <w:r>
        <w:t xml:space="preserve"> Those experiences are important not because they solved the entire problem, but because they validate the idea that shorthand and spoken triggers can act as structured commands.</w:t>
      </w:r>
    </w:p>
    <w:p w14:paraId="25165C2B" w14:textId="77777777" w:rsidR="001A651F" w:rsidRDefault="000465C3">
      <w:pPr>
        <w:pStyle w:val="Heading1"/>
      </w:pPr>
      <w:r>
        <w:t>6. Dictation should fill structure in the background</w:t>
      </w:r>
    </w:p>
    <w:p w14:paraId="65DA954A" w14:textId="77777777" w:rsidR="001A651F" w:rsidRDefault="000465C3">
      <w:r>
        <w:t>There will never be a purely click-based solution for all pathology reporting, nor should there be. Some users think through speech; some cases are too nuanced or too novel for front-loaded structure; and many pathologists prefer dictation for interpretive passages. The answer is therefore not to suppress dictation, but to make dictation structurally aware.</w:t>
      </w:r>
    </w:p>
    <w:p w14:paraId="0D9E3684" w14:textId="77777777" w:rsidR="001A651F" w:rsidRDefault="000465C3">
      <w:r>
        <w:lastRenderedPageBreak/>
        <w:t>A modern pathology authoring system should accept dictated narrative, transcribe it, and attempt incremental structural extraction while the user speaks. If the user dictates, 'Part A, transverse colon polyp, tubular adenoma,' the internal case model should update in real time: part identity, normalized location, specimen category, and diagnosis candidate should all become available for downstream validation and rendering. When the system is uncertain, it should surface explicit alternatives rather than sil</w:t>
      </w:r>
      <w:r>
        <w:t>ently guessing.</w:t>
      </w:r>
    </w:p>
    <w:p w14:paraId="099E1862" w14:textId="77777777" w:rsidR="001A651F" w:rsidRDefault="000465C3">
      <w:r>
        <w:t>Radiology offers a useful parallel. Structured reporting in radiology has often struggled when implemented as a rigid front-end form, largely because users worry about workflow and productivity.</w:t>
      </w:r>
      <w:r>
        <w:rPr>
          <w:color w:val="5A5A5A"/>
          <w:sz w:val="18"/>
        </w:rPr>
        <w:t>[10,11]</w:t>
      </w:r>
      <w:r>
        <w:t xml:space="preserve"> But more recent work shows that speech recognition plus NLP can be used to convert dictated free text into structured reports while providing visual feedback about missing findings.</w:t>
      </w:r>
      <w:r>
        <w:rPr>
          <w:color w:val="5A5A5A"/>
          <w:sz w:val="18"/>
        </w:rPr>
        <w:t>[12]</w:t>
      </w:r>
      <w:r>
        <w:t xml:space="preserve"> That is precisely the kind of hybrid pattern pathology needs: preserve fluent dictation, but let structure emerge behind it.</w:t>
      </w:r>
    </w:p>
    <w:p w14:paraId="111A2472" w14:textId="77777777" w:rsidR="001A651F" w:rsidRDefault="000465C3">
      <w:pPr>
        <w:pStyle w:val="Heading1"/>
      </w:pPr>
      <w:r>
        <w:t>7. Progressive crystallization: the right interaction model</w:t>
      </w:r>
    </w:p>
    <w:p w14:paraId="32F4EFC6" w14:textId="77777777" w:rsidR="001A651F" w:rsidRDefault="000465C3">
      <w:r>
        <w:t>The pathology case does not always become fully determinate at the same moment. A pathologist may begin with specimen inventory, then recognize the likely diagnosis, then adjust wording after considering an ancillary stain, then finally fill in CAP elements. A rigid UI assumes the report already exists in the user's head. Real practice is messier and more sequential.</w:t>
      </w:r>
    </w:p>
    <w:p w14:paraId="799F47E8" w14:textId="77777777" w:rsidR="001A651F" w:rsidRDefault="000465C3">
      <w:r>
        <w:t>A better model is progressive crystallization. The case starts vague and becomes increasingly explicit. The interface should therefore support partial structure, partial prose, deferred decisions, and reversible refinement.</w:t>
      </w:r>
    </w:p>
    <w:tbl>
      <w:tblPr>
        <w:tblW w:w="0" w:type="auto"/>
        <w:jc w:val="center"/>
        <w:tblLayout w:type="fixed"/>
        <w:tblLook w:val="04A0" w:firstRow="1" w:lastRow="0" w:firstColumn="1" w:lastColumn="0" w:noHBand="0" w:noVBand="1"/>
      </w:tblPr>
      <w:tblGrid>
        <w:gridCol w:w="9648"/>
      </w:tblGrid>
      <w:tr w:rsidR="001A651F" w14:paraId="20929F3A" w14:textId="77777777">
        <w:trPr>
          <w:jc w:val="center"/>
        </w:trPr>
        <w:tc>
          <w:tcPr>
            <w:tcW w:w="9360" w:type="dxa"/>
            <w:tcBorders>
              <w:top w:val="single" w:sz="8" w:space="0" w:color="1F5A89"/>
              <w:left w:val="single" w:sz="8" w:space="0" w:color="1F5A89"/>
              <w:bottom w:val="single" w:sz="8" w:space="0" w:color="1F5A89"/>
              <w:right w:val="single" w:sz="8" w:space="0" w:color="1F5A89"/>
            </w:tcBorders>
            <w:shd w:val="clear" w:color="auto" w:fill="1F5A89"/>
          </w:tcPr>
          <w:p w14:paraId="6E968C56" w14:textId="77777777" w:rsidR="001A651F" w:rsidRDefault="000465C3">
            <w:r>
              <w:rPr>
                <w:b/>
                <w:color w:val="FFFFFF"/>
                <w:sz w:val="20"/>
              </w:rPr>
              <w:t>Progressive crystallization</w:t>
            </w:r>
          </w:p>
        </w:tc>
      </w:tr>
      <w:tr w:rsidR="001A651F" w14:paraId="162F0A45" w14:textId="77777777">
        <w:trPr>
          <w:jc w:val="center"/>
        </w:trPr>
        <w:tc>
          <w:tcPr>
            <w:tcW w:w="9648" w:type="dxa"/>
            <w:tcBorders>
              <w:top w:val="single" w:sz="6" w:space="0" w:color="BFC9D5"/>
              <w:left w:val="single" w:sz="6" w:space="0" w:color="BFC9D5"/>
              <w:bottom w:val="single" w:sz="6" w:space="0" w:color="BFC9D5"/>
              <w:right w:val="single" w:sz="6" w:space="0" w:color="BFC9D5"/>
            </w:tcBorders>
            <w:shd w:val="clear" w:color="auto" w:fill="F4F8FB"/>
          </w:tcPr>
          <w:p w14:paraId="33F341C6" w14:textId="77777777" w:rsidR="001A651F" w:rsidRDefault="000465C3">
            <w:pPr>
              <w:pStyle w:val="CalloutText"/>
            </w:pPr>
            <w:r>
              <w:t>The unit of work is not typing text into a report. It is guiding a case from accessioned material, through scaffold selection and interpretive refinement, into a final rendered report whose structure, wording, and provenance can all be inspected.</w:t>
            </w:r>
          </w:p>
        </w:tc>
      </w:tr>
    </w:tbl>
    <w:p w14:paraId="25A9BB88" w14:textId="77777777" w:rsidR="001A651F" w:rsidRDefault="001A651F"/>
    <w:p w14:paraId="7B8C084D" w14:textId="77777777" w:rsidR="001A651F" w:rsidRDefault="000465C3">
      <w:pPr>
        <w:pStyle w:val="Heading2"/>
      </w:pPr>
      <w:r>
        <w:t>In practice, this means the workspace should support fluid transitions such as:</w:t>
      </w:r>
    </w:p>
    <w:p w14:paraId="46275F25" w14:textId="77777777" w:rsidR="001A651F" w:rsidRDefault="000465C3">
      <w:pPr>
        <w:pStyle w:val="BodyBullet"/>
      </w:pPr>
      <w:r>
        <w:rPr>
          <w:b/>
        </w:rPr>
        <w:t xml:space="preserve">• </w:t>
      </w:r>
      <w:r>
        <w:t>start from accession-derived parts rather than an empty document;</w:t>
      </w:r>
    </w:p>
    <w:p w14:paraId="6F79DAF1" w14:textId="77777777" w:rsidR="001A651F" w:rsidRDefault="000465C3">
      <w:pPr>
        <w:pStyle w:val="BodyBullet"/>
      </w:pPr>
      <w:r>
        <w:rPr>
          <w:b/>
        </w:rPr>
        <w:t xml:space="preserve">• </w:t>
      </w:r>
      <w:r>
        <w:t>invoke a mnemonic or short intent phrase to scaffold the case;</w:t>
      </w:r>
    </w:p>
    <w:p w14:paraId="30D13AD9" w14:textId="77777777" w:rsidR="001A651F" w:rsidRDefault="000465C3">
      <w:pPr>
        <w:pStyle w:val="BodyBullet"/>
      </w:pPr>
      <w:r>
        <w:rPr>
          <w:b/>
        </w:rPr>
        <w:t xml:space="preserve">• </w:t>
      </w:r>
      <w:r>
        <w:t>dictate per-part findings while the system extracts structure in the background;</w:t>
      </w:r>
    </w:p>
    <w:p w14:paraId="65CB74DD" w14:textId="77777777" w:rsidR="001A651F" w:rsidRDefault="000465C3">
      <w:pPr>
        <w:pStyle w:val="BodyBullet"/>
      </w:pPr>
      <w:r>
        <w:rPr>
          <w:b/>
        </w:rPr>
        <w:t xml:space="preserve">• </w:t>
      </w:r>
      <w:r>
        <w:t>click into targeted fields only where they add speed or safety;</w:t>
      </w:r>
    </w:p>
    <w:p w14:paraId="494F40EA" w14:textId="77777777" w:rsidR="001A651F" w:rsidRDefault="000465C3">
      <w:pPr>
        <w:pStyle w:val="BodyBullet"/>
      </w:pPr>
      <w:r>
        <w:rPr>
          <w:b/>
        </w:rPr>
        <w:t xml:space="preserve">• </w:t>
      </w:r>
      <w:r>
        <w:t>accept, reject, or edit AI suggestions without leaving the main authoring surface;</w:t>
      </w:r>
    </w:p>
    <w:p w14:paraId="007A29CD" w14:textId="77777777" w:rsidR="001A651F" w:rsidRDefault="000465C3">
      <w:pPr>
        <w:pStyle w:val="BodyBullet"/>
      </w:pPr>
      <w:r>
        <w:rPr>
          <w:b/>
        </w:rPr>
        <w:t xml:space="preserve">• </w:t>
      </w:r>
      <w:r>
        <w:t>fall back to free text anywhere the topology library is insufficient.</w:t>
      </w:r>
    </w:p>
    <w:p w14:paraId="69A25A50" w14:textId="77777777" w:rsidR="001A651F" w:rsidRDefault="000465C3">
      <w:pPr>
        <w:pStyle w:val="Heading1"/>
      </w:pPr>
      <w:r>
        <w:t>8. The proper role of AI</w:t>
      </w:r>
    </w:p>
    <w:p w14:paraId="146F9BCA" w14:textId="77777777" w:rsidR="001A651F" w:rsidRDefault="000465C3">
      <w:r>
        <w:t>AI is useful in this setting, but only when its job is framed correctly. The point is not to ask a language model to invent the final report from scratch. The point is to use probabilistic models where the case is ambiguous, underdetermined, or burdensome to normalize, while keeping deterministic logic where correctness can and should be specified.</w:t>
      </w:r>
    </w:p>
    <w:tbl>
      <w:tblPr>
        <w:tblStyle w:val="TableGrid"/>
        <w:tblW w:w="0" w:type="auto"/>
        <w:jc w:val="center"/>
        <w:tblLook w:val="04A0" w:firstRow="1" w:lastRow="0" w:firstColumn="1" w:lastColumn="0" w:noHBand="0" w:noVBand="1"/>
      </w:tblPr>
      <w:tblGrid>
        <w:gridCol w:w="2448"/>
        <w:gridCol w:w="3384"/>
        <w:gridCol w:w="3528"/>
      </w:tblGrid>
      <w:tr w:rsidR="001A651F" w14:paraId="66C7F45F" w14:textId="77777777">
        <w:trPr>
          <w:jc w:val="center"/>
        </w:trPr>
        <w:tc>
          <w:tcPr>
            <w:tcW w:w="2448"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18B84277" w14:textId="77777777" w:rsidR="001A651F" w:rsidRDefault="000465C3">
            <w:pPr>
              <w:spacing w:after="20" w:line="252" w:lineRule="auto"/>
            </w:pPr>
            <w:r>
              <w:rPr>
                <w:b/>
                <w:sz w:val="19"/>
              </w:rPr>
              <w:lastRenderedPageBreak/>
              <w:t>Function</w:t>
            </w:r>
          </w:p>
        </w:tc>
        <w:tc>
          <w:tcPr>
            <w:tcW w:w="3384"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6FDA9DE7" w14:textId="77777777" w:rsidR="001A651F" w:rsidRDefault="000465C3">
            <w:pPr>
              <w:spacing w:after="20" w:line="252" w:lineRule="auto"/>
            </w:pPr>
            <w:r>
              <w:rPr>
                <w:b/>
                <w:sz w:val="19"/>
              </w:rPr>
              <w:t>Preferred mechanism</w:t>
            </w:r>
          </w:p>
        </w:tc>
        <w:tc>
          <w:tcPr>
            <w:tcW w:w="3528"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30E89C7B" w14:textId="77777777" w:rsidR="001A651F" w:rsidRDefault="000465C3">
            <w:pPr>
              <w:spacing w:after="20" w:line="252" w:lineRule="auto"/>
            </w:pPr>
            <w:r>
              <w:rPr>
                <w:b/>
                <w:sz w:val="19"/>
              </w:rPr>
              <w:t>Reason</w:t>
            </w:r>
          </w:p>
        </w:tc>
      </w:tr>
      <w:tr w:rsidR="001A651F" w14:paraId="53732B5B" w14:textId="77777777">
        <w:trPr>
          <w:jc w:val="center"/>
        </w:trPr>
        <w:tc>
          <w:tcPr>
            <w:tcW w:w="2448" w:type="dxa"/>
            <w:tcBorders>
              <w:top w:val="single" w:sz="6" w:space="0" w:color="BFC9D5"/>
              <w:left w:val="single" w:sz="6" w:space="0" w:color="BFC9D5"/>
              <w:bottom w:val="single" w:sz="6" w:space="0" w:color="BFC9D5"/>
              <w:right w:val="single" w:sz="6" w:space="0" w:color="BFC9D5"/>
            </w:tcBorders>
            <w:vAlign w:val="center"/>
          </w:tcPr>
          <w:p w14:paraId="1FF6CA9D" w14:textId="77777777" w:rsidR="001A651F" w:rsidRDefault="000465C3">
            <w:pPr>
              <w:spacing w:after="20" w:line="252" w:lineRule="auto"/>
            </w:pPr>
            <w:r>
              <w:rPr>
                <w:sz w:val="19"/>
              </w:rPr>
              <w:t>Expand a well-known mnemonic</w:t>
            </w:r>
          </w:p>
        </w:tc>
        <w:tc>
          <w:tcPr>
            <w:tcW w:w="3384" w:type="dxa"/>
            <w:tcBorders>
              <w:top w:val="single" w:sz="6" w:space="0" w:color="BFC9D5"/>
              <w:left w:val="single" w:sz="6" w:space="0" w:color="BFC9D5"/>
              <w:bottom w:val="single" w:sz="6" w:space="0" w:color="BFC9D5"/>
              <w:right w:val="single" w:sz="6" w:space="0" w:color="BFC9D5"/>
            </w:tcBorders>
            <w:vAlign w:val="center"/>
          </w:tcPr>
          <w:p w14:paraId="59C7A44D" w14:textId="77777777" w:rsidR="001A651F" w:rsidRDefault="000465C3">
            <w:pPr>
              <w:spacing w:after="20" w:line="252" w:lineRule="auto"/>
            </w:pPr>
            <w:r>
              <w:rPr>
                <w:sz w:val="19"/>
              </w:rPr>
              <w:t>Deterministic parser plus local configuration</w:t>
            </w:r>
          </w:p>
        </w:tc>
        <w:tc>
          <w:tcPr>
            <w:tcW w:w="3528" w:type="dxa"/>
            <w:tcBorders>
              <w:top w:val="single" w:sz="6" w:space="0" w:color="BFC9D5"/>
              <w:left w:val="single" w:sz="6" w:space="0" w:color="BFC9D5"/>
              <w:bottom w:val="single" w:sz="6" w:space="0" w:color="BFC9D5"/>
              <w:right w:val="single" w:sz="6" w:space="0" w:color="BFC9D5"/>
            </w:tcBorders>
            <w:vAlign w:val="center"/>
          </w:tcPr>
          <w:p w14:paraId="5AF711CF" w14:textId="77777777" w:rsidR="001A651F" w:rsidRDefault="000465C3">
            <w:pPr>
              <w:spacing w:after="20" w:line="252" w:lineRule="auto"/>
            </w:pPr>
            <w:r>
              <w:rPr>
                <w:sz w:val="19"/>
              </w:rPr>
              <w:t>Stable local grammar should not require probabilistic interpretation.</w:t>
            </w:r>
          </w:p>
        </w:tc>
      </w:tr>
      <w:tr w:rsidR="001A651F" w14:paraId="53F8D11A" w14:textId="77777777">
        <w:trPr>
          <w:jc w:val="center"/>
        </w:trPr>
        <w:tc>
          <w:tcPr>
            <w:tcW w:w="244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04533740" w14:textId="77777777" w:rsidR="001A651F" w:rsidRDefault="000465C3">
            <w:pPr>
              <w:spacing w:after="20" w:line="252" w:lineRule="auto"/>
            </w:pPr>
            <w:r>
              <w:rPr>
                <w:sz w:val="19"/>
              </w:rPr>
              <w:t>Choose likely scaffolds from a short prompt</w:t>
            </w:r>
          </w:p>
        </w:tc>
        <w:tc>
          <w:tcPr>
            <w:tcW w:w="3384"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077B4907" w14:textId="77777777" w:rsidR="001A651F" w:rsidRDefault="000465C3">
            <w:pPr>
              <w:spacing w:after="20" w:line="252" w:lineRule="auto"/>
            </w:pPr>
            <w:r>
              <w:rPr>
                <w:sz w:val="19"/>
              </w:rPr>
              <w:t>AI ranking with explicit user confirmation</w:t>
            </w:r>
          </w:p>
        </w:tc>
        <w:tc>
          <w:tcPr>
            <w:tcW w:w="35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FAD3C8E" w14:textId="77777777" w:rsidR="001A651F" w:rsidRDefault="000465C3">
            <w:pPr>
              <w:spacing w:after="20" w:line="252" w:lineRule="auto"/>
            </w:pPr>
            <w:r>
              <w:rPr>
                <w:sz w:val="19"/>
              </w:rPr>
              <w:t>Ambiguity is real; ranking helps speed without hiding uncertainty.</w:t>
            </w:r>
          </w:p>
        </w:tc>
      </w:tr>
      <w:tr w:rsidR="001A651F" w14:paraId="28B6FE35" w14:textId="77777777">
        <w:trPr>
          <w:jc w:val="center"/>
        </w:trPr>
        <w:tc>
          <w:tcPr>
            <w:tcW w:w="2448" w:type="dxa"/>
            <w:tcBorders>
              <w:top w:val="single" w:sz="6" w:space="0" w:color="BFC9D5"/>
              <w:left w:val="single" w:sz="6" w:space="0" w:color="BFC9D5"/>
              <w:bottom w:val="single" w:sz="6" w:space="0" w:color="BFC9D5"/>
              <w:right w:val="single" w:sz="6" w:space="0" w:color="BFC9D5"/>
            </w:tcBorders>
            <w:vAlign w:val="center"/>
          </w:tcPr>
          <w:p w14:paraId="0B7AB129" w14:textId="77777777" w:rsidR="001A651F" w:rsidRDefault="000465C3">
            <w:pPr>
              <w:spacing w:after="20" w:line="252" w:lineRule="auto"/>
            </w:pPr>
            <w:r>
              <w:rPr>
                <w:sz w:val="19"/>
              </w:rPr>
              <w:t>Extract part/site/diagnosis candidates from dictation</w:t>
            </w:r>
          </w:p>
        </w:tc>
        <w:tc>
          <w:tcPr>
            <w:tcW w:w="3384" w:type="dxa"/>
            <w:tcBorders>
              <w:top w:val="single" w:sz="6" w:space="0" w:color="BFC9D5"/>
              <w:left w:val="single" w:sz="6" w:space="0" w:color="BFC9D5"/>
              <w:bottom w:val="single" w:sz="6" w:space="0" w:color="BFC9D5"/>
              <w:right w:val="single" w:sz="6" w:space="0" w:color="BFC9D5"/>
            </w:tcBorders>
            <w:vAlign w:val="center"/>
          </w:tcPr>
          <w:p w14:paraId="7CEB15C8" w14:textId="77777777" w:rsidR="001A651F" w:rsidRDefault="000465C3">
            <w:pPr>
              <w:spacing w:after="20" w:line="252" w:lineRule="auto"/>
            </w:pPr>
            <w:r>
              <w:rPr>
                <w:sz w:val="19"/>
              </w:rPr>
              <w:t>Speech recognition + domain NLP/LLM + confidence display</w:t>
            </w:r>
          </w:p>
        </w:tc>
        <w:tc>
          <w:tcPr>
            <w:tcW w:w="3528" w:type="dxa"/>
            <w:tcBorders>
              <w:top w:val="single" w:sz="6" w:space="0" w:color="BFC9D5"/>
              <w:left w:val="single" w:sz="6" w:space="0" w:color="BFC9D5"/>
              <w:bottom w:val="single" w:sz="6" w:space="0" w:color="BFC9D5"/>
              <w:right w:val="single" w:sz="6" w:space="0" w:color="BFC9D5"/>
            </w:tcBorders>
            <w:vAlign w:val="center"/>
          </w:tcPr>
          <w:p w14:paraId="61AF9A15" w14:textId="77777777" w:rsidR="001A651F" w:rsidRDefault="000465C3">
            <w:pPr>
              <w:spacing w:after="20" w:line="252" w:lineRule="auto"/>
            </w:pPr>
            <w:r>
              <w:rPr>
                <w:sz w:val="19"/>
              </w:rPr>
              <w:t>Narrative input is flexible, but background structure is valuable.</w:t>
            </w:r>
          </w:p>
        </w:tc>
      </w:tr>
      <w:tr w:rsidR="001A651F" w14:paraId="0AA5BE66" w14:textId="77777777">
        <w:trPr>
          <w:jc w:val="center"/>
        </w:trPr>
        <w:tc>
          <w:tcPr>
            <w:tcW w:w="244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0F430449" w14:textId="77777777" w:rsidR="001A651F" w:rsidRDefault="000465C3">
            <w:pPr>
              <w:spacing w:after="20" w:line="252" w:lineRule="auto"/>
            </w:pPr>
            <w:r>
              <w:rPr>
                <w:sz w:val="19"/>
              </w:rPr>
              <w:t>Fill required synoptic elements from narrative</w:t>
            </w:r>
          </w:p>
        </w:tc>
        <w:tc>
          <w:tcPr>
            <w:tcW w:w="3384"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9080D82" w14:textId="77777777" w:rsidR="001A651F" w:rsidRDefault="000465C3">
            <w:pPr>
              <w:spacing w:after="20" w:line="252" w:lineRule="auto"/>
            </w:pPr>
            <w:r>
              <w:rPr>
                <w:sz w:val="19"/>
              </w:rPr>
              <w:t>AI extraction plus rule-based validation</w:t>
            </w:r>
          </w:p>
        </w:tc>
        <w:tc>
          <w:tcPr>
            <w:tcW w:w="35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64FAF56A" w14:textId="77777777" w:rsidR="001A651F" w:rsidRDefault="000465C3">
            <w:pPr>
              <w:spacing w:after="20" w:line="252" w:lineRule="auto"/>
            </w:pPr>
            <w:r>
              <w:rPr>
                <w:sz w:val="19"/>
              </w:rPr>
              <w:t>LLMs are strong at extraction, but discrete fields require verification.[4,5]</w:t>
            </w:r>
          </w:p>
        </w:tc>
      </w:tr>
      <w:tr w:rsidR="001A651F" w14:paraId="0D3E7A87" w14:textId="77777777">
        <w:trPr>
          <w:jc w:val="center"/>
        </w:trPr>
        <w:tc>
          <w:tcPr>
            <w:tcW w:w="2448" w:type="dxa"/>
            <w:tcBorders>
              <w:top w:val="single" w:sz="6" w:space="0" w:color="BFC9D5"/>
              <w:left w:val="single" w:sz="6" w:space="0" w:color="BFC9D5"/>
              <w:bottom w:val="single" w:sz="6" w:space="0" w:color="BFC9D5"/>
              <w:right w:val="single" w:sz="6" w:space="0" w:color="BFC9D5"/>
            </w:tcBorders>
            <w:vAlign w:val="center"/>
          </w:tcPr>
          <w:p w14:paraId="13860F32" w14:textId="77777777" w:rsidR="001A651F" w:rsidRDefault="000465C3">
            <w:pPr>
              <w:spacing w:after="20" w:line="252" w:lineRule="auto"/>
            </w:pPr>
            <w:r>
              <w:rPr>
                <w:sz w:val="19"/>
              </w:rPr>
              <w:t>Check internal consistency and missingness</w:t>
            </w:r>
          </w:p>
        </w:tc>
        <w:tc>
          <w:tcPr>
            <w:tcW w:w="3384" w:type="dxa"/>
            <w:tcBorders>
              <w:top w:val="single" w:sz="6" w:space="0" w:color="BFC9D5"/>
              <w:left w:val="single" w:sz="6" w:space="0" w:color="BFC9D5"/>
              <w:bottom w:val="single" w:sz="6" w:space="0" w:color="BFC9D5"/>
              <w:right w:val="single" w:sz="6" w:space="0" w:color="BFC9D5"/>
            </w:tcBorders>
            <w:vAlign w:val="center"/>
          </w:tcPr>
          <w:p w14:paraId="1901B73A" w14:textId="77777777" w:rsidR="001A651F" w:rsidRDefault="000465C3">
            <w:pPr>
              <w:spacing w:after="20" w:line="252" w:lineRule="auto"/>
            </w:pPr>
            <w:r>
              <w:rPr>
                <w:sz w:val="19"/>
              </w:rPr>
              <w:t>Rule engine plus targeted AI reasoning</w:t>
            </w:r>
          </w:p>
        </w:tc>
        <w:tc>
          <w:tcPr>
            <w:tcW w:w="3528" w:type="dxa"/>
            <w:tcBorders>
              <w:top w:val="single" w:sz="6" w:space="0" w:color="BFC9D5"/>
              <w:left w:val="single" w:sz="6" w:space="0" w:color="BFC9D5"/>
              <w:bottom w:val="single" w:sz="6" w:space="0" w:color="BFC9D5"/>
              <w:right w:val="single" w:sz="6" w:space="0" w:color="BFC9D5"/>
            </w:tcBorders>
            <w:vAlign w:val="center"/>
          </w:tcPr>
          <w:p w14:paraId="71DED92D" w14:textId="77777777" w:rsidR="001A651F" w:rsidRDefault="000465C3">
            <w:pPr>
              <w:spacing w:after="20" w:line="252" w:lineRule="auto"/>
            </w:pPr>
            <w:r>
              <w:rPr>
                <w:sz w:val="19"/>
              </w:rPr>
              <w:t>Many contradictions are deterministic; some need semantic comparison.</w:t>
            </w:r>
          </w:p>
        </w:tc>
      </w:tr>
      <w:tr w:rsidR="001A651F" w14:paraId="6B5BD2C4" w14:textId="77777777">
        <w:trPr>
          <w:jc w:val="center"/>
        </w:trPr>
        <w:tc>
          <w:tcPr>
            <w:tcW w:w="244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30EF452A" w14:textId="77777777" w:rsidR="001A651F" w:rsidRDefault="000465C3">
            <w:pPr>
              <w:spacing w:after="20" w:line="252" w:lineRule="auto"/>
            </w:pPr>
            <w:r>
              <w:rPr>
                <w:sz w:val="19"/>
              </w:rPr>
              <w:t>Generate final sign-out text autonomously</w:t>
            </w:r>
          </w:p>
        </w:tc>
        <w:tc>
          <w:tcPr>
            <w:tcW w:w="3384"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663D37F8" w14:textId="77777777" w:rsidR="001A651F" w:rsidRDefault="000465C3">
            <w:pPr>
              <w:spacing w:after="20" w:line="252" w:lineRule="auto"/>
            </w:pPr>
            <w:r>
              <w:rPr>
                <w:sz w:val="19"/>
              </w:rPr>
              <w:t>Avoid as default</w:t>
            </w:r>
          </w:p>
        </w:tc>
        <w:tc>
          <w:tcPr>
            <w:tcW w:w="35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55990B85" w14:textId="77777777" w:rsidR="001A651F" w:rsidRDefault="000465C3">
            <w:pPr>
              <w:spacing w:after="20" w:line="252" w:lineRule="auto"/>
            </w:pPr>
            <w:r>
              <w:rPr>
                <w:sz w:val="19"/>
              </w:rPr>
              <w:t>Unconstrained prose generation adds hallucination and trust risk in a high-stakes setting.</w:t>
            </w:r>
          </w:p>
        </w:tc>
      </w:tr>
    </w:tbl>
    <w:p w14:paraId="3CB1A728" w14:textId="77777777" w:rsidR="001A651F" w:rsidRDefault="001A651F"/>
    <w:p w14:paraId="06669069" w14:textId="77777777" w:rsidR="001A651F" w:rsidRDefault="000465C3">
      <w:r>
        <w:t>Recent pathology LLM literature reinforces this division of labor. Mayo Clinic investigators showed that large language models can synthesize synoptic reports from narrative pathology reports at meaningful performance levels across several cancer types.</w:t>
      </w:r>
      <w:r>
        <w:rPr>
          <w:color w:val="5A5A5A"/>
          <w:sz w:val="18"/>
        </w:rPr>
        <w:t>[4]</w:t>
      </w:r>
      <w:r>
        <w:t xml:space="preserve"> Other work has shown that open-source language models can extract structured data from pathology reports with precision comparable to proprietary systems, which is attractive for privacy-preserving local deployment.</w:t>
      </w:r>
      <w:r>
        <w:rPr>
          <w:color w:val="5A5A5A"/>
          <w:sz w:val="18"/>
        </w:rPr>
        <w:t>[5]</w:t>
      </w:r>
      <w:r>
        <w:t xml:space="preserve"> These results are encouraging, but they support AI most strongly as an extractor, normalizer, and summarizer—not yet as an unsupervised final author.</w:t>
      </w:r>
    </w:p>
    <w:p w14:paraId="27BECEAF" w14:textId="77777777" w:rsidR="001A651F" w:rsidRDefault="000465C3">
      <w:pPr>
        <w:pStyle w:val="Heading1"/>
      </w:pPr>
      <w:r>
        <w:t>9. Provenance is not optional</w:t>
      </w:r>
    </w:p>
    <w:p w14:paraId="5E0BCE70" w14:textId="77777777" w:rsidR="001A651F" w:rsidRDefault="000465C3">
      <w:r>
        <w:t>If a multimodal system is going to be trusted, every meaningful report element should retain its origin. Did the part label come from accession metadata? Was a phrase inserted by mnemonic expansion? Was a diagnosis sentence dictated, typed, or suggested by the model? Was a CAP field inferred from narrative or entered directly by the user?</w:t>
      </w:r>
    </w:p>
    <w:p w14:paraId="05FB87BE" w14:textId="77777777" w:rsidR="001A651F" w:rsidRDefault="000465C3">
      <w:r>
        <w:t>This provenance layer has at least four benefits. First, it improves trust because users can inspect how the report was assembled. Second, it supports targeted QA: for example, institutions can analyze whether AI-suggested fields are accepted, edited, or rejected. Third, it makes auditing possible in regulated or high-risk environments. Fourth, it allows incremental automation because only mature components need to be promoted from assistive to default behavior.</w:t>
      </w:r>
    </w:p>
    <w:p w14:paraId="1D932A77" w14:textId="77777777" w:rsidR="001A651F" w:rsidRDefault="000465C3">
      <w:pPr>
        <w:pStyle w:val="Heading1"/>
      </w:pPr>
      <w:r>
        <w:t>10. Quality and safety case</w:t>
      </w:r>
    </w:p>
    <w:p w14:paraId="31D0D1AD" w14:textId="77777777" w:rsidR="001A651F" w:rsidRDefault="000465C3">
      <w:r>
        <w:t>Pathology is not merely a productivity domain. It is a patient-safety domain. That is why the architecture has to be explicit about where risk concentrates.</w:t>
      </w:r>
    </w:p>
    <w:p w14:paraId="3308A766" w14:textId="77777777" w:rsidR="001A651F" w:rsidRDefault="000465C3">
      <w:r>
        <w:t>Amendment studies show that finalized surgical pathology reports do require correction, with typographical errors, minor diagnostic changes, and additional diagnostic information among the common causes.</w:t>
      </w:r>
      <w:r>
        <w:rPr>
          <w:color w:val="5A5A5A"/>
          <w:sz w:val="18"/>
        </w:rPr>
        <w:t>[6,7]</w:t>
      </w:r>
      <w:r>
        <w:t xml:space="preserve"> Speech-recognition literature in broader clinical documentation likewise shows that documents generated with speech recognition can contain error rates high enough to require careful editing and review.</w:t>
      </w:r>
      <w:r>
        <w:rPr>
          <w:color w:val="5A5A5A"/>
          <w:sz w:val="18"/>
        </w:rPr>
        <w:t>[15]</w:t>
      </w:r>
      <w:r>
        <w:t xml:space="preserve"> The lesson is not to avoid automation; it is to instrument it responsibly.</w:t>
      </w:r>
    </w:p>
    <w:p w14:paraId="6E0ACDD1" w14:textId="77777777" w:rsidR="001A651F" w:rsidRDefault="000465C3">
      <w:pPr>
        <w:pStyle w:val="Heading2"/>
      </w:pPr>
      <w:r>
        <w:lastRenderedPageBreak/>
        <w:t>A safe pathology authoring platform should therefore include:</w:t>
      </w:r>
    </w:p>
    <w:p w14:paraId="2F86BBFE" w14:textId="77777777" w:rsidR="001A651F" w:rsidRDefault="000465C3">
      <w:pPr>
        <w:pStyle w:val="BodyBullet"/>
      </w:pPr>
      <w:r>
        <w:rPr>
          <w:b/>
        </w:rPr>
        <w:t xml:space="preserve">• </w:t>
      </w:r>
      <w:r>
        <w:t>explicit confidence display for extracted structure and ranked scaffolds;</w:t>
      </w:r>
    </w:p>
    <w:p w14:paraId="5EE6DCDB" w14:textId="77777777" w:rsidR="001A651F" w:rsidRDefault="000465C3">
      <w:pPr>
        <w:pStyle w:val="BodyBullet"/>
      </w:pPr>
      <w:r>
        <w:rPr>
          <w:b/>
        </w:rPr>
        <w:t xml:space="preserve">• </w:t>
      </w:r>
      <w:r>
        <w:t>mandatory human confirmation at defined boundaries before final sign-out;</w:t>
      </w:r>
    </w:p>
    <w:p w14:paraId="59B3B8BD" w14:textId="77777777" w:rsidR="001A651F" w:rsidRDefault="000465C3">
      <w:pPr>
        <w:pStyle w:val="BodyBullet"/>
      </w:pPr>
      <w:r>
        <w:rPr>
          <w:b/>
        </w:rPr>
        <w:t xml:space="preserve">• </w:t>
      </w:r>
      <w:r>
        <w:t>rule-based validation for laterality, part references, required discrete elements, and logically impossible combinations;</w:t>
      </w:r>
    </w:p>
    <w:p w14:paraId="5EC31C2D" w14:textId="77777777" w:rsidR="001A651F" w:rsidRDefault="000465C3">
      <w:pPr>
        <w:pStyle w:val="BodyBullet"/>
      </w:pPr>
      <w:r>
        <w:rPr>
          <w:b/>
        </w:rPr>
        <w:t xml:space="preserve">• </w:t>
      </w:r>
      <w:r>
        <w:t>silent logging of suggestion acceptance, rejection, and modification patterns;</w:t>
      </w:r>
    </w:p>
    <w:p w14:paraId="7E1CCB4D" w14:textId="77777777" w:rsidR="001A651F" w:rsidRDefault="000465C3">
      <w:pPr>
        <w:pStyle w:val="BodyBullet"/>
      </w:pPr>
      <w:r>
        <w:rPr>
          <w:b/>
        </w:rPr>
        <w:t xml:space="preserve">• </w:t>
      </w:r>
      <w:r>
        <w:t>case replay capability for quality review and error analysis;</w:t>
      </w:r>
    </w:p>
    <w:p w14:paraId="31B04AD3" w14:textId="77777777" w:rsidR="001A651F" w:rsidRDefault="000465C3">
      <w:pPr>
        <w:pStyle w:val="BodyBullet"/>
      </w:pPr>
      <w:r>
        <w:rPr>
          <w:b/>
        </w:rPr>
        <w:t xml:space="preserve">• </w:t>
      </w:r>
      <w:r>
        <w:t>institutional controls over which topologies, commands, and AI behaviors are enabled by service or user group.</w:t>
      </w:r>
    </w:p>
    <w:p w14:paraId="53335240" w14:textId="77777777" w:rsidR="001A651F" w:rsidRDefault="000465C3">
      <w:pPr>
        <w:pStyle w:val="Heading1"/>
      </w:pPr>
      <w:r>
        <w:t>11. Cross-domain support from related reporting problems</w:t>
      </w:r>
    </w:p>
    <w:p w14:paraId="72E733AB" w14:textId="77777777" w:rsidR="001A651F" w:rsidRDefault="000465C3">
      <w:r>
        <w:t>Pathology is not the only field that has struggled with the tension between structure, speed, and professional expression. Other high-stakes documentation domains reinforce the same design lessons.</w:t>
      </w:r>
    </w:p>
    <w:p w14:paraId="2AB61FD5" w14:textId="77777777" w:rsidR="001A651F" w:rsidRDefault="000465C3">
      <w:pPr>
        <w:pStyle w:val="Heading2"/>
      </w:pPr>
      <w:r>
        <w:t>Radiology</w:t>
      </w:r>
    </w:p>
    <w:p w14:paraId="27EFF9D5" w14:textId="77777777" w:rsidR="001A651F" w:rsidRDefault="000465C3">
      <w:r>
        <w:t>Radiology has spent years grappling with structured reporting adoption. Systematic review work distinguishes between structured layout and structured content, an important conceptual separation that maps well to pathology: a report can look structured without storing deeply computable content, and conversely content can be structured even if the visible output remains familiar.</w:t>
      </w:r>
      <w:r>
        <w:rPr>
          <w:color w:val="5A5A5A"/>
          <w:sz w:val="18"/>
        </w:rPr>
        <w:t>[10]</w:t>
      </w:r>
      <w:r>
        <w:t xml:space="preserve"> Radiology literature also documents the cultural and workflow resistance that appears when structured reporting is perceived as slowing interpretation or constraining the radiologist.</w:t>
      </w:r>
      <w:r>
        <w:rPr>
          <w:color w:val="5A5A5A"/>
          <w:sz w:val="18"/>
        </w:rPr>
        <w:t>[11]</w:t>
      </w:r>
      <w:r>
        <w:t xml:space="preserve"> That is directly relevant to pathology.</w:t>
      </w:r>
    </w:p>
    <w:p w14:paraId="3C5036D9" w14:textId="77777777" w:rsidR="001A651F" w:rsidRDefault="000465C3">
      <w:r>
        <w:t>At the same time, radiology demonstrates that hybrid designs are feasible. Jorg et al. described an intelligent reporting system that combined speech recognition and NLP to convert dictated free text into structured radiology output while providing visual feedback on missing findings.</w:t>
      </w:r>
      <w:r>
        <w:rPr>
          <w:color w:val="5A5A5A"/>
          <w:sz w:val="18"/>
        </w:rPr>
        <w:t>[12]</w:t>
      </w:r>
      <w:r>
        <w:t xml:space="preserve"> This is one of the strongest analogs for the proposed pathology architecture because it keeps the user's natural speech workflow while still capturing structure.</w:t>
      </w:r>
    </w:p>
    <w:p w14:paraId="6C54EDD5" w14:textId="77777777" w:rsidR="001A651F" w:rsidRDefault="000465C3">
      <w:pPr>
        <w:pStyle w:val="Heading2"/>
      </w:pPr>
      <w:r>
        <w:t>Ambient clinical documentation</w:t>
      </w:r>
    </w:p>
    <w:p w14:paraId="1134FDC4" w14:textId="77777777" w:rsidR="001A651F" w:rsidRDefault="000465C3">
      <w:r>
        <w:t>Broader clinical documentation is now seeing similar patterns with ambient AI. The emerging evidence suggests that assistive systems can reduce documentation burden, improve perceived workflow, and reduce some forms of work after hours, but the evidence is still early and uneven across specialties.[13,14,16] The important lesson for pathology is not that ambient tools should be copied wholesale. It is that AI is most acceptable when it removes clerical friction while leaving the clinician responsible for fi</w:t>
      </w:r>
      <w:r>
        <w:t>nal review.</w:t>
      </w:r>
    </w:p>
    <w:p w14:paraId="38F80592" w14:textId="77777777" w:rsidR="001A651F" w:rsidRDefault="000465C3">
      <w:r>
        <w:t>That principle aligns closely with pathology authoring. Pathologists do not need a system that performs autonomous diagnosis entry behind their backs. They need one that reduces clerical reconstruction, preserves nuance, and surfaces what is missing or contradictory.</w:t>
      </w:r>
    </w:p>
    <w:p w14:paraId="1DFA82D0" w14:textId="77777777" w:rsidR="001A651F" w:rsidRDefault="000465C3">
      <w:pPr>
        <w:pStyle w:val="Heading1"/>
      </w:pPr>
      <w:r>
        <w:lastRenderedPageBreak/>
        <w:t>12. Proposed reference architecture</w:t>
      </w:r>
    </w:p>
    <w:p w14:paraId="2E79380F" w14:textId="77777777" w:rsidR="001A651F" w:rsidRDefault="000465C3">
      <w:pPr>
        <w:pStyle w:val="Heading2"/>
      </w:pPr>
      <w:r>
        <w:t>A production-grade system would likely include the following services and surfaces:</w:t>
      </w:r>
    </w:p>
    <w:tbl>
      <w:tblPr>
        <w:tblStyle w:val="TableGrid"/>
        <w:tblW w:w="0" w:type="auto"/>
        <w:jc w:val="center"/>
        <w:tblLook w:val="04A0" w:firstRow="1" w:lastRow="0" w:firstColumn="1" w:lastColumn="0" w:noHBand="0" w:noVBand="1"/>
      </w:tblPr>
      <w:tblGrid>
        <w:gridCol w:w="2232"/>
        <w:gridCol w:w="3600"/>
        <w:gridCol w:w="3528"/>
      </w:tblGrid>
      <w:tr w:rsidR="001A651F" w14:paraId="18A3F093"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7B6870C3" w14:textId="77777777" w:rsidR="001A651F" w:rsidRDefault="000465C3">
            <w:pPr>
              <w:spacing w:after="20" w:line="252" w:lineRule="auto"/>
            </w:pPr>
            <w:r>
              <w:rPr>
                <w:b/>
                <w:sz w:val="19"/>
              </w:rPr>
              <w:t>Layer</w:t>
            </w:r>
          </w:p>
        </w:tc>
        <w:tc>
          <w:tcPr>
            <w:tcW w:w="3600"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70BAD675" w14:textId="77777777" w:rsidR="001A651F" w:rsidRDefault="000465C3">
            <w:pPr>
              <w:spacing w:after="20" w:line="252" w:lineRule="auto"/>
            </w:pPr>
            <w:r>
              <w:rPr>
                <w:b/>
                <w:sz w:val="19"/>
              </w:rPr>
              <w:t>Primary responsibility</w:t>
            </w:r>
          </w:p>
        </w:tc>
        <w:tc>
          <w:tcPr>
            <w:tcW w:w="3528"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4AC23CD1" w14:textId="77777777" w:rsidR="001A651F" w:rsidRDefault="000465C3">
            <w:pPr>
              <w:spacing w:after="20" w:line="252" w:lineRule="auto"/>
            </w:pPr>
            <w:r>
              <w:rPr>
                <w:b/>
                <w:sz w:val="19"/>
              </w:rPr>
              <w:t>Key outputs</w:t>
            </w:r>
          </w:p>
        </w:tc>
      </w:tr>
      <w:tr w:rsidR="001A651F" w14:paraId="7510AE49"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6450F84A" w14:textId="77777777" w:rsidR="001A651F" w:rsidRDefault="000465C3">
            <w:pPr>
              <w:spacing w:after="20" w:line="252" w:lineRule="auto"/>
            </w:pPr>
            <w:r>
              <w:rPr>
                <w:sz w:val="19"/>
              </w:rPr>
              <w:t>Accession and topology service</w:t>
            </w:r>
          </w:p>
        </w:tc>
        <w:tc>
          <w:tcPr>
            <w:tcW w:w="3600" w:type="dxa"/>
            <w:tcBorders>
              <w:top w:val="single" w:sz="6" w:space="0" w:color="BFC9D5"/>
              <w:left w:val="single" w:sz="6" w:space="0" w:color="BFC9D5"/>
              <w:bottom w:val="single" w:sz="6" w:space="0" w:color="BFC9D5"/>
              <w:right w:val="single" w:sz="6" w:space="0" w:color="BFC9D5"/>
            </w:tcBorders>
            <w:vAlign w:val="center"/>
          </w:tcPr>
          <w:p w14:paraId="11521444" w14:textId="77777777" w:rsidR="001A651F" w:rsidRDefault="000465C3">
            <w:pPr>
              <w:spacing w:after="20" w:line="252" w:lineRule="auto"/>
            </w:pPr>
            <w:r>
              <w:rPr>
                <w:sz w:val="19"/>
              </w:rPr>
              <w:t>Ingest specimen metadata and construct the initial case skeleton.</w:t>
            </w:r>
          </w:p>
        </w:tc>
        <w:tc>
          <w:tcPr>
            <w:tcW w:w="3528" w:type="dxa"/>
            <w:tcBorders>
              <w:top w:val="single" w:sz="6" w:space="0" w:color="BFC9D5"/>
              <w:left w:val="single" w:sz="6" w:space="0" w:color="BFC9D5"/>
              <w:bottom w:val="single" w:sz="6" w:space="0" w:color="BFC9D5"/>
              <w:right w:val="single" w:sz="6" w:space="0" w:color="BFC9D5"/>
            </w:tcBorders>
            <w:vAlign w:val="center"/>
          </w:tcPr>
          <w:p w14:paraId="14E01EF7" w14:textId="77777777" w:rsidR="001A651F" w:rsidRDefault="000465C3">
            <w:pPr>
              <w:spacing w:after="20" w:line="252" w:lineRule="auto"/>
            </w:pPr>
            <w:r>
              <w:rPr>
                <w:sz w:val="19"/>
              </w:rPr>
              <w:t>Parts, labels, laterality, source wording, case class.</w:t>
            </w:r>
          </w:p>
        </w:tc>
      </w:tr>
      <w:tr w:rsidR="001A651F" w14:paraId="0284CA1A"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BFB2E71" w14:textId="77777777" w:rsidR="001A651F" w:rsidRDefault="000465C3">
            <w:pPr>
              <w:spacing w:after="20" w:line="252" w:lineRule="auto"/>
            </w:pPr>
            <w:r>
              <w:rPr>
                <w:sz w:val="19"/>
              </w:rPr>
              <w:t>Command and mnemonic parser</w:t>
            </w:r>
          </w:p>
        </w:tc>
        <w:tc>
          <w:tcPr>
            <w:tcW w:w="3600"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0E316B90" w14:textId="77777777" w:rsidR="001A651F" w:rsidRDefault="000465C3">
            <w:pPr>
              <w:spacing w:after="20" w:line="252" w:lineRule="auto"/>
            </w:pPr>
            <w:r>
              <w:rPr>
                <w:sz w:val="19"/>
              </w:rPr>
              <w:t>Expand stable local shorthand into scaffolded structures.</w:t>
            </w:r>
          </w:p>
        </w:tc>
        <w:tc>
          <w:tcPr>
            <w:tcW w:w="35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8F823DE" w14:textId="77777777" w:rsidR="001A651F" w:rsidRDefault="000465C3">
            <w:pPr>
              <w:spacing w:after="20" w:line="252" w:lineRule="auto"/>
            </w:pPr>
            <w:r>
              <w:rPr>
                <w:sz w:val="19"/>
              </w:rPr>
              <w:t>Instantiated topology, default text, repeated units.</w:t>
            </w:r>
          </w:p>
        </w:tc>
      </w:tr>
      <w:tr w:rsidR="001A651F" w14:paraId="5ABE7CF5"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3B4A01BD" w14:textId="77777777" w:rsidR="001A651F" w:rsidRDefault="000465C3">
            <w:pPr>
              <w:spacing w:after="20" w:line="252" w:lineRule="auto"/>
            </w:pPr>
            <w:r>
              <w:rPr>
                <w:sz w:val="19"/>
              </w:rPr>
              <w:t>Speech and narrative parser</w:t>
            </w:r>
          </w:p>
        </w:tc>
        <w:tc>
          <w:tcPr>
            <w:tcW w:w="3600" w:type="dxa"/>
            <w:tcBorders>
              <w:top w:val="single" w:sz="6" w:space="0" w:color="BFC9D5"/>
              <w:left w:val="single" w:sz="6" w:space="0" w:color="BFC9D5"/>
              <w:bottom w:val="single" w:sz="6" w:space="0" w:color="BFC9D5"/>
              <w:right w:val="single" w:sz="6" w:space="0" w:color="BFC9D5"/>
            </w:tcBorders>
            <w:vAlign w:val="center"/>
          </w:tcPr>
          <w:p w14:paraId="213195A4" w14:textId="77777777" w:rsidR="001A651F" w:rsidRDefault="000465C3">
            <w:pPr>
              <w:spacing w:after="20" w:line="252" w:lineRule="auto"/>
            </w:pPr>
            <w:r>
              <w:rPr>
                <w:sz w:val="19"/>
              </w:rPr>
              <w:t>Transcribe dictated input and extract candidates incrementally.</w:t>
            </w:r>
          </w:p>
        </w:tc>
        <w:tc>
          <w:tcPr>
            <w:tcW w:w="3528" w:type="dxa"/>
            <w:tcBorders>
              <w:top w:val="single" w:sz="6" w:space="0" w:color="BFC9D5"/>
              <w:left w:val="single" w:sz="6" w:space="0" w:color="BFC9D5"/>
              <w:bottom w:val="single" w:sz="6" w:space="0" w:color="BFC9D5"/>
              <w:right w:val="single" w:sz="6" w:space="0" w:color="BFC9D5"/>
            </w:tcBorders>
            <w:vAlign w:val="center"/>
          </w:tcPr>
          <w:p w14:paraId="0646873A" w14:textId="77777777" w:rsidR="001A651F" w:rsidRDefault="000465C3">
            <w:pPr>
              <w:spacing w:after="20" w:line="252" w:lineRule="auto"/>
            </w:pPr>
            <w:r>
              <w:rPr>
                <w:sz w:val="19"/>
              </w:rPr>
              <w:t>Part-level findings, diagnosis candidates, uncertainty flags.</w:t>
            </w:r>
          </w:p>
        </w:tc>
      </w:tr>
      <w:tr w:rsidR="001A651F" w14:paraId="4EA54B0B"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58CCA861" w14:textId="77777777" w:rsidR="001A651F" w:rsidRDefault="000465C3">
            <w:pPr>
              <w:spacing w:after="20" w:line="252" w:lineRule="auto"/>
            </w:pPr>
            <w:r>
              <w:rPr>
                <w:sz w:val="19"/>
              </w:rPr>
              <w:t>Scaffold ranker</w:t>
            </w:r>
          </w:p>
        </w:tc>
        <w:tc>
          <w:tcPr>
            <w:tcW w:w="3600"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3E64883A" w14:textId="77777777" w:rsidR="001A651F" w:rsidRDefault="000465C3">
            <w:pPr>
              <w:spacing w:after="20" w:line="252" w:lineRule="auto"/>
            </w:pPr>
            <w:r>
              <w:rPr>
                <w:sz w:val="19"/>
              </w:rPr>
              <w:t>Map short intent phrases or early signals to likely topology options.</w:t>
            </w:r>
          </w:p>
        </w:tc>
        <w:tc>
          <w:tcPr>
            <w:tcW w:w="35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31CADDA2" w14:textId="77777777" w:rsidR="001A651F" w:rsidRDefault="000465C3">
            <w:pPr>
              <w:spacing w:after="20" w:line="252" w:lineRule="auto"/>
            </w:pPr>
            <w:r>
              <w:rPr>
                <w:sz w:val="19"/>
              </w:rPr>
              <w:t>Top-ranked templates/scaffolds with confidence and rationale.</w:t>
            </w:r>
          </w:p>
        </w:tc>
      </w:tr>
      <w:tr w:rsidR="001A651F" w14:paraId="728DB948"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363CD1DE" w14:textId="77777777" w:rsidR="001A651F" w:rsidRDefault="000465C3">
            <w:pPr>
              <w:spacing w:after="20" w:line="252" w:lineRule="auto"/>
            </w:pPr>
            <w:r>
              <w:rPr>
                <w:sz w:val="19"/>
              </w:rPr>
              <w:t>Authoring canvas</w:t>
            </w:r>
          </w:p>
        </w:tc>
        <w:tc>
          <w:tcPr>
            <w:tcW w:w="3600" w:type="dxa"/>
            <w:tcBorders>
              <w:top w:val="single" w:sz="6" w:space="0" w:color="BFC9D5"/>
              <w:left w:val="single" w:sz="6" w:space="0" w:color="BFC9D5"/>
              <w:bottom w:val="single" w:sz="6" w:space="0" w:color="BFC9D5"/>
              <w:right w:val="single" w:sz="6" w:space="0" w:color="BFC9D5"/>
            </w:tcBorders>
            <w:vAlign w:val="center"/>
          </w:tcPr>
          <w:p w14:paraId="564C0890" w14:textId="77777777" w:rsidR="001A651F" w:rsidRDefault="000465C3">
            <w:pPr>
              <w:spacing w:after="20" w:line="252" w:lineRule="auto"/>
            </w:pPr>
            <w:r>
              <w:rPr>
                <w:sz w:val="19"/>
              </w:rPr>
              <w:t>Allow fluid editing across text, speech, commands, and structured widgets.</w:t>
            </w:r>
          </w:p>
        </w:tc>
        <w:tc>
          <w:tcPr>
            <w:tcW w:w="3528" w:type="dxa"/>
            <w:tcBorders>
              <w:top w:val="single" w:sz="6" w:space="0" w:color="BFC9D5"/>
              <w:left w:val="single" w:sz="6" w:space="0" w:color="BFC9D5"/>
              <w:bottom w:val="single" w:sz="6" w:space="0" w:color="BFC9D5"/>
              <w:right w:val="single" w:sz="6" w:space="0" w:color="BFC9D5"/>
            </w:tcBorders>
            <w:vAlign w:val="center"/>
          </w:tcPr>
          <w:p w14:paraId="3DF17120" w14:textId="77777777" w:rsidR="001A651F" w:rsidRDefault="000465C3">
            <w:pPr>
              <w:spacing w:after="20" w:line="252" w:lineRule="auto"/>
            </w:pPr>
            <w:r>
              <w:rPr>
                <w:sz w:val="19"/>
              </w:rPr>
              <w:t>Rendered working report plus editable internal slots.</w:t>
            </w:r>
          </w:p>
        </w:tc>
      </w:tr>
      <w:tr w:rsidR="001A651F" w14:paraId="24A3DB52"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209E522" w14:textId="77777777" w:rsidR="001A651F" w:rsidRDefault="000465C3">
            <w:pPr>
              <w:spacing w:after="20" w:line="252" w:lineRule="auto"/>
            </w:pPr>
            <w:r>
              <w:rPr>
                <w:sz w:val="19"/>
              </w:rPr>
              <w:t>Consistency engine</w:t>
            </w:r>
          </w:p>
        </w:tc>
        <w:tc>
          <w:tcPr>
            <w:tcW w:w="3600"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0A82B70" w14:textId="77777777" w:rsidR="001A651F" w:rsidRDefault="000465C3">
            <w:pPr>
              <w:spacing w:after="20" w:line="252" w:lineRule="auto"/>
            </w:pPr>
            <w:r>
              <w:rPr>
                <w:sz w:val="19"/>
              </w:rPr>
              <w:t>Check missingness, contradictions, laterality, part references, and rule conformance.</w:t>
            </w:r>
          </w:p>
        </w:tc>
        <w:tc>
          <w:tcPr>
            <w:tcW w:w="35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1E971240" w14:textId="77777777" w:rsidR="001A651F" w:rsidRDefault="000465C3">
            <w:pPr>
              <w:spacing w:after="20" w:line="252" w:lineRule="auto"/>
            </w:pPr>
            <w:r>
              <w:rPr>
                <w:sz w:val="19"/>
              </w:rPr>
              <w:t>Warnings, suggested fixes, blocked-sign-out rules.</w:t>
            </w:r>
          </w:p>
        </w:tc>
      </w:tr>
      <w:tr w:rsidR="001A651F" w14:paraId="2035D906"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3D21A9DD" w14:textId="77777777" w:rsidR="001A651F" w:rsidRDefault="000465C3">
            <w:pPr>
              <w:spacing w:after="20" w:line="252" w:lineRule="auto"/>
            </w:pPr>
            <w:r>
              <w:rPr>
                <w:sz w:val="19"/>
              </w:rPr>
              <w:t>Renderer and exporter</w:t>
            </w:r>
          </w:p>
        </w:tc>
        <w:tc>
          <w:tcPr>
            <w:tcW w:w="3600" w:type="dxa"/>
            <w:tcBorders>
              <w:top w:val="single" w:sz="6" w:space="0" w:color="BFC9D5"/>
              <w:left w:val="single" w:sz="6" w:space="0" w:color="BFC9D5"/>
              <w:bottom w:val="single" w:sz="6" w:space="0" w:color="BFC9D5"/>
              <w:right w:val="single" w:sz="6" w:space="0" w:color="BFC9D5"/>
            </w:tcBorders>
            <w:vAlign w:val="center"/>
          </w:tcPr>
          <w:p w14:paraId="4F7E4B4A" w14:textId="77777777" w:rsidR="001A651F" w:rsidRDefault="000465C3">
            <w:pPr>
              <w:spacing w:after="20" w:line="252" w:lineRule="auto"/>
            </w:pPr>
            <w:r>
              <w:rPr>
                <w:sz w:val="19"/>
              </w:rPr>
              <w:t>Produce the final visible report and structured payloads.</w:t>
            </w:r>
          </w:p>
        </w:tc>
        <w:tc>
          <w:tcPr>
            <w:tcW w:w="3528" w:type="dxa"/>
            <w:tcBorders>
              <w:top w:val="single" w:sz="6" w:space="0" w:color="BFC9D5"/>
              <w:left w:val="single" w:sz="6" w:space="0" w:color="BFC9D5"/>
              <w:bottom w:val="single" w:sz="6" w:space="0" w:color="BFC9D5"/>
              <w:right w:val="single" w:sz="6" w:space="0" w:color="BFC9D5"/>
            </w:tcBorders>
            <w:vAlign w:val="center"/>
          </w:tcPr>
          <w:p w14:paraId="3B1B4514" w14:textId="77777777" w:rsidR="001A651F" w:rsidRDefault="000465C3">
            <w:pPr>
              <w:spacing w:after="20" w:line="252" w:lineRule="auto"/>
            </w:pPr>
            <w:r>
              <w:rPr>
                <w:sz w:val="19"/>
              </w:rPr>
              <w:t>Final prose, discrete fields, interface payloads, analytics events.</w:t>
            </w:r>
          </w:p>
        </w:tc>
      </w:tr>
      <w:tr w:rsidR="001A651F" w14:paraId="0F297B9D"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CD37CF7" w14:textId="77777777" w:rsidR="001A651F" w:rsidRDefault="000465C3">
            <w:pPr>
              <w:spacing w:after="20" w:line="252" w:lineRule="auto"/>
            </w:pPr>
            <w:r>
              <w:rPr>
                <w:sz w:val="19"/>
              </w:rPr>
              <w:t>Audit and provenance layer</w:t>
            </w:r>
          </w:p>
        </w:tc>
        <w:tc>
          <w:tcPr>
            <w:tcW w:w="3600"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686DFC00" w14:textId="77777777" w:rsidR="001A651F" w:rsidRDefault="000465C3">
            <w:pPr>
              <w:spacing w:after="20" w:line="252" w:lineRule="auto"/>
            </w:pPr>
            <w:r>
              <w:rPr>
                <w:sz w:val="19"/>
              </w:rPr>
              <w:t>Track origin and revision of report elements.</w:t>
            </w:r>
          </w:p>
        </w:tc>
        <w:tc>
          <w:tcPr>
            <w:tcW w:w="35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5E6977E5" w14:textId="77777777" w:rsidR="001A651F" w:rsidRDefault="000465C3">
            <w:pPr>
              <w:spacing w:after="20" w:line="252" w:lineRule="auto"/>
            </w:pPr>
            <w:r>
              <w:rPr>
                <w:sz w:val="19"/>
              </w:rPr>
              <w:t>Quality logs, replay data, traceability records.</w:t>
            </w:r>
          </w:p>
        </w:tc>
      </w:tr>
    </w:tbl>
    <w:p w14:paraId="4577ED55" w14:textId="77777777" w:rsidR="001A651F" w:rsidRDefault="001A651F"/>
    <w:p w14:paraId="24D8B1AB" w14:textId="77777777" w:rsidR="001A651F" w:rsidRDefault="000465C3">
      <w:r>
        <w:t>From the user perspective, the interface can remain simple. A practical layout would show specimen topology on the left, the working report canvas in the center, and suggestions or validations on the right. The sophistication should sit in the underlying model and services, not in visible UI complexity.</w:t>
      </w:r>
    </w:p>
    <w:p w14:paraId="2824B428" w14:textId="77777777" w:rsidR="001A651F" w:rsidRDefault="000465C3">
      <w:pPr>
        <w:pStyle w:val="Heading1"/>
      </w:pPr>
      <w:r>
        <w:t>13. Deployment strategy</w:t>
      </w:r>
    </w:p>
    <w:p w14:paraId="23201D80" w14:textId="77777777" w:rsidR="001A651F" w:rsidRDefault="000465C3">
      <w:r>
        <w:t>This kind of platform should be deployed incrementally. A credible implementation plan would proceed in phases rather than attempting universal coverage.</w:t>
      </w:r>
    </w:p>
    <w:p w14:paraId="22188F78" w14:textId="77777777" w:rsidR="001A651F" w:rsidRDefault="000465C3">
      <w:pPr>
        <w:pStyle w:val="Heading2"/>
      </w:pPr>
      <w:r>
        <w:t>Suggested phase sequence</w:t>
      </w:r>
    </w:p>
    <w:p w14:paraId="2344AB83" w14:textId="77777777" w:rsidR="001A651F" w:rsidRDefault="000465C3">
      <w:pPr>
        <w:pStyle w:val="BodyBullet"/>
      </w:pPr>
      <w:r>
        <w:rPr>
          <w:b/>
        </w:rPr>
        <w:t xml:space="preserve">• </w:t>
      </w:r>
      <w:r>
        <w:t>Phase 1: collect and formalize a local topology library from real reports, macros, mnemonics, and dictation patterns.</w:t>
      </w:r>
    </w:p>
    <w:p w14:paraId="1C748DEB" w14:textId="77777777" w:rsidR="001A651F" w:rsidRDefault="000465C3">
      <w:pPr>
        <w:pStyle w:val="BodyBullet"/>
      </w:pPr>
      <w:r>
        <w:rPr>
          <w:b/>
        </w:rPr>
        <w:t xml:space="preserve">• </w:t>
      </w:r>
      <w:r>
        <w:t>Phase 2: implement deterministic scaffold generation for a small number of high-volume topologies.</w:t>
      </w:r>
    </w:p>
    <w:p w14:paraId="3E75353B" w14:textId="77777777" w:rsidR="001A651F" w:rsidRDefault="000465C3">
      <w:pPr>
        <w:pStyle w:val="BodyBullet"/>
      </w:pPr>
      <w:r>
        <w:rPr>
          <w:b/>
        </w:rPr>
        <w:t xml:space="preserve">• </w:t>
      </w:r>
      <w:r>
        <w:t>Phase 3: add provenance, rule-based validation, and metrics before adding probabilistic AI features.</w:t>
      </w:r>
    </w:p>
    <w:p w14:paraId="3187EF80" w14:textId="77777777" w:rsidR="001A651F" w:rsidRDefault="000465C3">
      <w:pPr>
        <w:pStyle w:val="BodyBullet"/>
      </w:pPr>
      <w:r>
        <w:rPr>
          <w:b/>
        </w:rPr>
        <w:t xml:space="preserve">• </w:t>
      </w:r>
      <w:r>
        <w:t>Phase 4: introduce AI ranking and narrative-to-structure extraction behind explicit confirmation.</w:t>
      </w:r>
    </w:p>
    <w:p w14:paraId="46FBDDE3" w14:textId="77777777" w:rsidR="001A651F" w:rsidRDefault="000465C3">
      <w:pPr>
        <w:pStyle w:val="BodyBullet"/>
      </w:pPr>
      <w:r>
        <w:rPr>
          <w:b/>
        </w:rPr>
        <w:t xml:space="preserve">• </w:t>
      </w:r>
      <w:r>
        <w:t>Phase 5: expand service by service, using real acceptance and edit patterns to refine commands, templates, and validation logic.</w:t>
      </w:r>
    </w:p>
    <w:p w14:paraId="477C25E1" w14:textId="77777777" w:rsidR="001A651F" w:rsidRDefault="000465C3">
      <w:r>
        <w:t>This sequencing matters. It avoids the common mistake of starting with a general-purpose language model before the institution has defined its topology inventory, rendering rules, and quality thresholds.</w:t>
      </w:r>
    </w:p>
    <w:p w14:paraId="00C60F78" w14:textId="77777777" w:rsidR="001A651F" w:rsidRDefault="000465C3">
      <w:pPr>
        <w:pStyle w:val="Heading1"/>
      </w:pPr>
      <w:r>
        <w:lastRenderedPageBreak/>
        <w:t>14. Evaluation framework</w:t>
      </w:r>
    </w:p>
    <w:p w14:paraId="494C2331" w14:textId="77777777" w:rsidR="001A651F" w:rsidRDefault="000465C3">
      <w:r>
        <w:t>A serious pathology authoring platform should be evaluated on workflow quality, data quality, and safety—not just on whether the model can produce plausible prose.</w:t>
      </w:r>
    </w:p>
    <w:tbl>
      <w:tblPr>
        <w:tblStyle w:val="TableGrid"/>
        <w:tblW w:w="0" w:type="auto"/>
        <w:jc w:val="center"/>
        <w:tblLook w:val="04A0" w:firstRow="1" w:lastRow="0" w:firstColumn="1" w:lastColumn="0" w:noHBand="0" w:noVBand="1"/>
      </w:tblPr>
      <w:tblGrid>
        <w:gridCol w:w="2232"/>
        <w:gridCol w:w="7128"/>
      </w:tblGrid>
      <w:tr w:rsidR="001A651F" w14:paraId="5F4E7534"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08EEFC47" w14:textId="77777777" w:rsidR="001A651F" w:rsidRDefault="000465C3">
            <w:pPr>
              <w:spacing w:after="20" w:line="252" w:lineRule="auto"/>
            </w:pPr>
            <w:r>
              <w:rPr>
                <w:b/>
                <w:sz w:val="19"/>
              </w:rPr>
              <w:t>Metric family</w:t>
            </w:r>
          </w:p>
        </w:tc>
        <w:tc>
          <w:tcPr>
            <w:tcW w:w="7128" w:type="dxa"/>
            <w:tcBorders>
              <w:top w:val="single" w:sz="6" w:space="0" w:color="BFC9D5"/>
              <w:left w:val="single" w:sz="6" w:space="0" w:color="BFC9D5"/>
              <w:bottom w:val="single" w:sz="6" w:space="0" w:color="BFC9D5"/>
              <w:right w:val="single" w:sz="6" w:space="0" w:color="BFC9D5"/>
            </w:tcBorders>
            <w:shd w:val="clear" w:color="auto" w:fill="DDEBF7"/>
            <w:vAlign w:val="center"/>
          </w:tcPr>
          <w:p w14:paraId="5350D6D4" w14:textId="77777777" w:rsidR="001A651F" w:rsidRDefault="000465C3">
            <w:pPr>
              <w:spacing w:after="20" w:line="252" w:lineRule="auto"/>
            </w:pPr>
            <w:r>
              <w:rPr>
                <w:b/>
                <w:sz w:val="19"/>
              </w:rPr>
              <w:t>Example measures</w:t>
            </w:r>
          </w:p>
        </w:tc>
      </w:tr>
      <w:tr w:rsidR="001A651F" w14:paraId="67A2F5C6"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5FF34533" w14:textId="77777777" w:rsidR="001A651F" w:rsidRDefault="000465C3">
            <w:pPr>
              <w:spacing w:after="20" w:line="252" w:lineRule="auto"/>
            </w:pPr>
            <w:r>
              <w:rPr>
                <w:sz w:val="19"/>
              </w:rPr>
              <w:t>Workflow</w:t>
            </w:r>
          </w:p>
        </w:tc>
        <w:tc>
          <w:tcPr>
            <w:tcW w:w="7128" w:type="dxa"/>
            <w:tcBorders>
              <w:top w:val="single" w:sz="6" w:space="0" w:color="BFC9D5"/>
              <w:left w:val="single" w:sz="6" w:space="0" w:color="BFC9D5"/>
              <w:bottom w:val="single" w:sz="6" w:space="0" w:color="BFC9D5"/>
              <w:right w:val="single" w:sz="6" w:space="0" w:color="BFC9D5"/>
            </w:tcBorders>
            <w:vAlign w:val="center"/>
          </w:tcPr>
          <w:p w14:paraId="12B2924B" w14:textId="77777777" w:rsidR="001A651F" w:rsidRDefault="000465C3">
            <w:pPr>
              <w:spacing w:after="20" w:line="252" w:lineRule="auto"/>
            </w:pPr>
            <w:r>
              <w:rPr>
                <w:sz w:val="19"/>
              </w:rPr>
              <w:t>Time to first scaffold; time to final sign-out; number of manual part-label edits; clicks or voice commands per case.</w:t>
            </w:r>
          </w:p>
        </w:tc>
      </w:tr>
      <w:tr w:rsidR="001A651F" w14:paraId="290AFBE8"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71BBA569" w14:textId="77777777" w:rsidR="001A651F" w:rsidRDefault="000465C3">
            <w:pPr>
              <w:spacing w:after="20" w:line="252" w:lineRule="auto"/>
            </w:pPr>
            <w:r>
              <w:rPr>
                <w:sz w:val="19"/>
              </w:rPr>
              <w:t>Quality</w:t>
            </w:r>
          </w:p>
        </w:tc>
        <w:tc>
          <w:tcPr>
            <w:tcW w:w="71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6C5B058" w14:textId="77777777" w:rsidR="001A651F" w:rsidRDefault="000465C3">
            <w:pPr>
              <w:spacing w:after="20" w:line="252" w:lineRule="auto"/>
            </w:pPr>
            <w:r>
              <w:rPr>
                <w:sz w:val="19"/>
              </w:rPr>
              <w:t>Completeness of required elements; structured data capture rate; contradiction rate; laterality error rate.</w:t>
            </w:r>
          </w:p>
        </w:tc>
      </w:tr>
      <w:tr w:rsidR="001A651F" w14:paraId="2C839A52"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256EC840" w14:textId="77777777" w:rsidR="001A651F" w:rsidRDefault="000465C3">
            <w:pPr>
              <w:spacing w:after="20" w:line="252" w:lineRule="auto"/>
            </w:pPr>
            <w:r>
              <w:rPr>
                <w:sz w:val="19"/>
              </w:rPr>
              <w:t>Safety</w:t>
            </w:r>
          </w:p>
        </w:tc>
        <w:tc>
          <w:tcPr>
            <w:tcW w:w="7128" w:type="dxa"/>
            <w:tcBorders>
              <w:top w:val="single" w:sz="6" w:space="0" w:color="BFC9D5"/>
              <w:left w:val="single" w:sz="6" w:space="0" w:color="BFC9D5"/>
              <w:bottom w:val="single" w:sz="6" w:space="0" w:color="BFC9D5"/>
              <w:right w:val="single" w:sz="6" w:space="0" w:color="BFC9D5"/>
            </w:tcBorders>
            <w:vAlign w:val="center"/>
          </w:tcPr>
          <w:p w14:paraId="26051857" w14:textId="77777777" w:rsidR="001A651F" w:rsidRDefault="000465C3">
            <w:pPr>
              <w:spacing w:after="20" w:line="252" w:lineRule="auto"/>
            </w:pPr>
            <w:r>
              <w:rPr>
                <w:sz w:val="19"/>
              </w:rPr>
              <w:t>Amendment rate; severity-adjusted correction rate; blocked-sign-out events; AI suggestion override frequency.</w:t>
            </w:r>
          </w:p>
        </w:tc>
      </w:tr>
      <w:tr w:rsidR="001A651F" w14:paraId="4BADA1C9" w14:textId="77777777">
        <w:trPr>
          <w:jc w:val="center"/>
        </w:trPr>
        <w:tc>
          <w:tcPr>
            <w:tcW w:w="2232"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4FC41806" w14:textId="77777777" w:rsidR="001A651F" w:rsidRDefault="000465C3">
            <w:pPr>
              <w:spacing w:after="20" w:line="252" w:lineRule="auto"/>
            </w:pPr>
            <w:r>
              <w:rPr>
                <w:sz w:val="19"/>
              </w:rPr>
              <w:t>Usability</w:t>
            </w:r>
          </w:p>
        </w:tc>
        <w:tc>
          <w:tcPr>
            <w:tcW w:w="7128" w:type="dxa"/>
            <w:tcBorders>
              <w:top w:val="single" w:sz="6" w:space="0" w:color="BFC9D5"/>
              <w:left w:val="single" w:sz="6" w:space="0" w:color="BFC9D5"/>
              <w:bottom w:val="single" w:sz="6" w:space="0" w:color="BFC9D5"/>
              <w:right w:val="single" w:sz="6" w:space="0" w:color="BFC9D5"/>
            </w:tcBorders>
            <w:shd w:val="clear" w:color="auto" w:fill="F8FBFD"/>
            <w:vAlign w:val="center"/>
          </w:tcPr>
          <w:p w14:paraId="30DA8F06" w14:textId="77777777" w:rsidR="001A651F" w:rsidRDefault="000465C3">
            <w:pPr>
              <w:spacing w:after="20" w:line="252" w:lineRule="auto"/>
            </w:pPr>
            <w:r>
              <w:rPr>
                <w:sz w:val="19"/>
              </w:rPr>
              <w:t>User satisfaction by subspecialty; mode-switch frequency; proportion of cases completed without leaving the main authoring surface.</w:t>
            </w:r>
          </w:p>
        </w:tc>
      </w:tr>
      <w:tr w:rsidR="001A651F" w14:paraId="56FC940F" w14:textId="77777777">
        <w:trPr>
          <w:jc w:val="center"/>
        </w:trPr>
        <w:tc>
          <w:tcPr>
            <w:tcW w:w="2232" w:type="dxa"/>
            <w:tcBorders>
              <w:top w:val="single" w:sz="6" w:space="0" w:color="BFC9D5"/>
              <w:left w:val="single" w:sz="6" w:space="0" w:color="BFC9D5"/>
              <w:bottom w:val="single" w:sz="6" w:space="0" w:color="BFC9D5"/>
              <w:right w:val="single" w:sz="6" w:space="0" w:color="BFC9D5"/>
            </w:tcBorders>
            <w:vAlign w:val="center"/>
          </w:tcPr>
          <w:p w14:paraId="5F24763B" w14:textId="77777777" w:rsidR="001A651F" w:rsidRDefault="000465C3">
            <w:pPr>
              <w:spacing w:after="20" w:line="252" w:lineRule="auto"/>
            </w:pPr>
            <w:r>
              <w:rPr>
                <w:sz w:val="19"/>
              </w:rPr>
              <w:t>Governance</w:t>
            </w:r>
          </w:p>
        </w:tc>
        <w:tc>
          <w:tcPr>
            <w:tcW w:w="7128" w:type="dxa"/>
            <w:tcBorders>
              <w:top w:val="single" w:sz="6" w:space="0" w:color="BFC9D5"/>
              <w:left w:val="single" w:sz="6" w:space="0" w:color="BFC9D5"/>
              <w:bottom w:val="single" w:sz="6" w:space="0" w:color="BFC9D5"/>
              <w:right w:val="single" w:sz="6" w:space="0" w:color="BFC9D5"/>
            </w:tcBorders>
            <w:vAlign w:val="center"/>
          </w:tcPr>
          <w:p w14:paraId="14D8A9F3" w14:textId="77777777" w:rsidR="001A651F" w:rsidRDefault="000465C3">
            <w:pPr>
              <w:spacing w:after="20" w:line="252" w:lineRule="auto"/>
            </w:pPr>
            <w:r>
              <w:t>AI field acceptance; provenance coverage; local mnemonic drift over time.</w:t>
            </w:r>
          </w:p>
        </w:tc>
      </w:tr>
    </w:tbl>
    <w:p w14:paraId="32C8F9E9" w14:textId="77777777" w:rsidR="001A651F" w:rsidRDefault="001A651F"/>
    <w:p w14:paraId="63284026" w14:textId="77777777" w:rsidR="001A651F" w:rsidRDefault="000465C3">
      <w:r>
        <w:t>The most important early signal may be neither raw speed nor user delight. It may be reduction in clerical reconstruction: fewer manual rebuilds of specimen topology, fewer part naming repairs, and fewer hidden inconsistencies between narrative text and required structured elements.</w:t>
      </w:r>
    </w:p>
    <w:p w14:paraId="1A31F036" w14:textId="77777777" w:rsidR="001A651F" w:rsidRDefault="000465C3">
      <w:pPr>
        <w:pStyle w:val="Heading1"/>
      </w:pPr>
      <w:r>
        <w:t>15. Conclusion</w:t>
      </w:r>
    </w:p>
    <w:p w14:paraId="08D90B82" w14:textId="77777777" w:rsidR="001A651F" w:rsidRDefault="000465C3">
      <w:r>
        <w:t>The pathology reporting problem has been underestimated because it has been framed as a superficial UI choice: free text versus structured template, dictation versus clicks, AI versus no AI. That framing misses the real nature of the work.</w:t>
      </w:r>
    </w:p>
    <w:p w14:paraId="099B1D12" w14:textId="77777777" w:rsidR="001A651F" w:rsidRDefault="000465C3">
      <w:r>
        <w:t>Pathology authoring is a family of constrained but heterogeneous micro-languages operating over a specimen-centered case object. The report must satisfy human communication, legal traceability, operational coding support, and increasingly discrete data capture. No single visible interface can solve that by itself.</w:t>
      </w:r>
    </w:p>
    <w:p w14:paraId="1EB700C6" w14:textId="77777777" w:rsidR="001A651F" w:rsidRDefault="000465C3">
      <w:r>
        <w:t>The practical answer is a topology-driven, multimodal architecture: begin from specimen reality, instantiate a canonical case model, allow multiple valid entry grammars, use AI at ambiguity boundaries, preserve provenance, and keep the pathologist in final control. Such a system is more faithful to real pathology work than either a blank dictation page or a universal rigid template.</w:t>
      </w:r>
    </w:p>
    <w:p w14:paraId="6DA57F79" w14:textId="77777777" w:rsidR="001A651F" w:rsidRDefault="000465C3">
      <w:r>
        <w:t>In that sense, the design target is not an AI report writer. It is an authoring environment that lets structure emerge naturally from expert work, captures it without friction, and renders it safely back into the forms pathology practice actually requires.</w:t>
      </w:r>
    </w:p>
    <w:p w14:paraId="0118331B" w14:textId="77777777" w:rsidR="001A651F" w:rsidRDefault="000465C3">
      <w:pPr>
        <w:pStyle w:val="Heading1"/>
      </w:pPr>
      <w:r>
        <w:t>Selected references</w:t>
      </w:r>
    </w:p>
    <w:p w14:paraId="186D46BD" w14:textId="77777777" w:rsidR="001A651F" w:rsidRDefault="000465C3">
      <w:pPr>
        <w:pStyle w:val="ReferenceEntry"/>
      </w:pPr>
      <w:r>
        <w:rPr>
          <w:color w:val="5A5A5A"/>
          <w:sz w:val="18"/>
        </w:rPr>
        <w:t>[1]</w:t>
      </w:r>
      <w:r>
        <w:t xml:space="preserve"> College of American Pathologists. CAP electronic Cancer Protocols. Accessed March 15, 2026.</w:t>
      </w:r>
    </w:p>
    <w:p w14:paraId="333F6F6B" w14:textId="77777777" w:rsidR="001A651F" w:rsidRDefault="000465C3">
      <w:pPr>
        <w:pStyle w:val="ReferenceEntry"/>
      </w:pPr>
      <w:r>
        <w:rPr>
          <w:color w:val="5A5A5A"/>
          <w:sz w:val="18"/>
        </w:rPr>
        <w:t>[2]</w:t>
      </w:r>
      <w:r>
        <w:t xml:space="preserve"> Sluijter CE, van Lonkhuijzen LRCW, van Slooten HJ, Nagtegaal ID, Overbeek LIH. The effects of implementing synoptic pathology reporting in cancer diagnosis: a systematic review. Virchows Archiv. 2016.</w:t>
      </w:r>
    </w:p>
    <w:p w14:paraId="23A2280A" w14:textId="77777777" w:rsidR="001A651F" w:rsidRDefault="000465C3">
      <w:pPr>
        <w:pStyle w:val="ReferenceEntry"/>
      </w:pPr>
      <w:r>
        <w:rPr>
          <w:color w:val="5A5A5A"/>
          <w:sz w:val="18"/>
        </w:rPr>
        <w:t>[3]</w:t>
      </w:r>
      <w:r>
        <w:t xml:space="preserve"> Renshaw MA, Gould EW. Performance of a Web-based Method for Generating Synoptic Reports. Archives of Pathology &amp; Laboratory Medicine. 2017.</w:t>
      </w:r>
    </w:p>
    <w:p w14:paraId="1EE6C065" w14:textId="77777777" w:rsidR="001A651F" w:rsidRDefault="000465C3">
      <w:pPr>
        <w:pStyle w:val="ReferenceEntry"/>
      </w:pPr>
      <w:r>
        <w:rPr>
          <w:color w:val="5A5A5A"/>
          <w:sz w:val="18"/>
        </w:rPr>
        <w:lastRenderedPageBreak/>
        <w:t>[4]</w:t>
      </w:r>
      <w:r>
        <w:t xml:space="preserve"> Rajaganapathy S, et al. Synoptic reporting by summarizing cancer pathology reports using large language models. 2025.</w:t>
      </w:r>
    </w:p>
    <w:p w14:paraId="156F99BB" w14:textId="77777777" w:rsidR="001A651F" w:rsidRDefault="000465C3">
      <w:pPr>
        <w:pStyle w:val="ReferenceEntry"/>
      </w:pPr>
      <w:r>
        <w:rPr>
          <w:color w:val="5A5A5A"/>
          <w:sz w:val="18"/>
        </w:rPr>
        <w:t>[5]</w:t>
      </w:r>
      <w:r>
        <w:t xml:space="preserve"> Grothey B, et al. Comprehensive testing of large language models for extraction of structured data in pathology. Communications Medicine. 2025.</w:t>
      </w:r>
    </w:p>
    <w:p w14:paraId="75694B26" w14:textId="77777777" w:rsidR="001A651F" w:rsidRDefault="000465C3">
      <w:pPr>
        <w:pStyle w:val="ReferenceEntry"/>
      </w:pPr>
      <w:r>
        <w:rPr>
          <w:color w:val="5A5A5A"/>
          <w:sz w:val="18"/>
        </w:rPr>
        <w:t>[6]</w:t>
      </w:r>
      <w:r>
        <w:t xml:space="preserve"> Fridland S, et al. Not all errors are created equal: assessment of amended diagnoses at a major academic center. American Journal of Clinical Pathology. 2026.</w:t>
      </w:r>
    </w:p>
    <w:p w14:paraId="6374D971" w14:textId="77777777" w:rsidR="001A651F" w:rsidRDefault="000465C3">
      <w:pPr>
        <w:pStyle w:val="ReferenceEntry"/>
      </w:pPr>
      <w:r>
        <w:rPr>
          <w:color w:val="5A5A5A"/>
          <w:sz w:val="18"/>
        </w:rPr>
        <w:t>[7]</w:t>
      </w:r>
      <w:r>
        <w:t xml:space="preserve"> Nakhleh RE, et al. Amended reports in surgical pathology and implications for diagnostic error detection and avoidance: a College of American Pathologists Q-Probes study of 1,667,547 accessioned cases in 359 laboratories. Archives of Pathology &amp; Laboratory Medicine. 1998.</w:t>
      </w:r>
    </w:p>
    <w:p w14:paraId="14C6A409" w14:textId="77777777" w:rsidR="001A651F" w:rsidRDefault="000465C3">
      <w:pPr>
        <w:pStyle w:val="ReferenceEntry"/>
      </w:pPr>
      <w:r>
        <w:rPr>
          <w:color w:val="5A5A5A"/>
          <w:sz w:val="18"/>
        </w:rPr>
        <w:t>[8]</w:t>
      </w:r>
      <w:r>
        <w:t xml:space="preserve"> Henricks WH, Roumina K, Skilton BE, Ozan DJ, Goss GR. The utility and cost effectiveness of voice recognition technology in surgical pathology. Modern Pathology. 2002.</w:t>
      </w:r>
    </w:p>
    <w:p w14:paraId="238FBAE6" w14:textId="77777777" w:rsidR="001A651F" w:rsidRDefault="000465C3">
      <w:pPr>
        <w:pStyle w:val="ReferenceEntry"/>
      </w:pPr>
      <w:r>
        <w:rPr>
          <w:color w:val="5A5A5A"/>
          <w:sz w:val="18"/>
        </w:rPr>
        <w:t>[9]</w:t>
      </w:r>
      <w:r>
        <w:t xml:space="preserve"> Kang HP, Sirintrapun SJ, Nestler RJ, Parwani AV. Experience with voice recognition in surgical pathology at a large academic multi-institutional center. American Journal of Clinical Pathology. 2010.</w:t>
      </w:r>
    </w:p>
    <w:p w14:paraId="5C01C3EC" w14:textId="77777777" w:rsidR="001A651F" w:rsidRDefault="000465C3">
      <w:pPr>
        <w:pStyle w:val="ReferenceEntry"/>
      </w:pPr>
      <w:r>
        <w:rPr>
          <w:color w:val="5A5A5A"/>
          <w:sz w:val="18"/>
        </w:rPr>
        <w:t>[10]</w:t>
      </w:r>
      <w:r>
        <w:t xml:space="preserve"> Nobel JM, van Geel K, Robben SGF. Structured reporting in radiology: a systematic review to explore its potential. European Radiology. 2021/2022.</w:t>
      </w:r>
    </w:p>
    <w:p w14:paraId="4AC621AE" w14:textId="77777777" w:rsidR="001A651F" w:rsidRDefault="000465C3">
      <w:pPr>
        <w:pStyle w:val="ReferenceEntry"/>
      </w:pPr>
      <w:r>
        <w:rPr>
          <w:color w:val="5A5A5A"/>
          <w:sz w:val="18"/>
        </w:rPr>
        <w:t>[11]</w:t>
      </w:r>
      <w:r>
        <w:t xml:space="preserve"> Reiner BI, Knight N, Siegel EL. The challenges, opportunities, and imperative of structured reporting in medical imaging. Journal of Digital Imaging. 2009.</w:t>
      </w:r>
    </w:p>
    <w:p w14:paraId="2E06EE19" w14:textId="77777777" w:rsidR="001A651F" w:rsidRDefault="000465C3">
      <w:pPr>
        <w:pStyle w:val="ReferenceEntry"/>
      </w:pPr>
      <w:r>
        <w:rPr>
          <w:color w:val="5A5A5A"/>
          <w:sz w:val="18"/>
        </w:rPr>
        <w:t>[12]</w:t>
      </w:r>
      <w:r>
        <w:t xml:space="preserve"> Jorg T, et al. Efficient structured reporting in radiology using an intelligent dialogue system based on speech recognition and natural language processing. European Radiology Experimental. 2023.</w:t>
      </w:r>
    </w:p>
    <w:p w14:paraId="5AE8FF69" w14:textId="77777777" w:rsidR="001A651F" w:rsidRDefault="000465C3">
      <w:pPr>
        <w:pStyle w:val="ReferenceEntry"/>
      </w:pPr>
      <w:r>
        <w:rPr>
          <w:color w:val="5A5A5A"/>
          <w:sz w:val="18"/>
        </w:rPr>
        <w:t>[13]</w:t>
      </w:r>
      <w:r>
        <w:t xml:space="preserve"> Stults CD, et al. Evaluation of an Ambient Artificial Intelligence Documentation Platform for Clinicians. JAMA Network Open. 2025.</w:t>
      </w:r>
    </w:p>
    <w:p w14:paraId="379B402D" w14:textId="77777777" w:rsidR="001A651F" w:rsidRDefault="000465C3">
      <w:pPr>
        <w:pStyle w:val="ReferenceEntry"/>
      </w:pPr>
      <w:r>
        <w:rPr>
          <w:color w:val="5A5A5A"/>
          <w:sz w:val="18"/>
        </w:rPr>
        <w:t>[14]</w:t>
      </w:r>
      <w:r>
        <w:t xml:space="preserve"> Kanaparthy NS, et al. Real-world evidence synthesis of digital scribes using ambient listening and generative artificial intelligence for clinician documentation workflows: rapid review. JMIR AI. 2025.</w:t>
      </w:r>
    </w:p>
    <w:p w14:paraId="59F9E0CD" w14:textId="77777777" w:rsidR="001A651F" w:rsidRDefault="000465C3">
      <w:pPr>
        <w:pStyle w:val="ReferenceEntry"/>
      </w:pPr>
      <w:r>
        <w:rPr>
          <w:color w:val="5A5A5A"/>
          <w:sz w:val="18"/>
        </w:rPr>
        <w:t>[15]</w:t>
      </w:r>
      <w:r>
        <w:t xml:space="preserve"> Zhou L, et al. Analysis of Errors in Dictated Clinical Documents Assisted by Speech Recognition Software and Professional Transcriptionists. JAMA Network Open. 2018.</w:t>
      </w:r>
    </w:p>
    <w:p w14:paraId="62320C3C" w14:textId="77777777" w:rsidR="001A651F" w:rsidRDefault="000465C3">
      <w:pPr>
        <w:pStyle w:val="ReferenceEntry"/>
      </w:pPr>
      <w:r>
        <w:rPr>
          <w:color w:val="5A5A5A"/>
          <w:sz w:val="18"/>
        </w:rPr>
        <w:t>[16]</w:t>
      </w:r>
      <w:r>
        <w:t xml:space="preserve"> Albrecht M, et al. Enhancing clinical documentation with ambient artificial intelligence: a quality improvement survey assessing clinician perspectives on work burden, burnout, and job satisfaction. JAMIA Open. 2025.</w:t>
      </w:r>
    </w:p>
    <w:p w14:paraId="350C4BFD" w14:textId="77777777" w:rsidR="001A651F" w:rsidRDefault="000465C3">
      <w:pPr>
        <w:pStyle w:val="SmallBody"/>
      </w:pPr>
      <w:r>
        <w:t>Note: Sections 3 through 15 contain design synthesis and architectural recommendations derived from the cited literature plus domain-specific operational analysis. They should be treated as a proposed framework for product and workflow design, not as proof of clinical effectiveness for any one implementation.</w:t>
      </w:r>
    </w:p>
    <w:sectPr w:rsidR="001A651F" w:rsidSect="00034616">
      <w:headerReference w:type="default" r:id="rId8"/>
      <w:footerReference w:type="default" r:id="rId9"/>
      <w:pgSz w:w="12240" w:h="15840"/>
      <w:pgMar w:top="1152" w:right="1296" w:bottom="1008"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84A9" w14:textId="77777777" w:rsidR="000465C3" w:rsidRDefault="000465C3">
      <w:pPr>
        <w:spacing w:after="0" w:line="240" w:lineRule="auto"/>
      </w:pPr>
      <w:r>
        <w:separator/>
      </w:r>
    </w:p>
  </w:endnote>
  <w:endnote w:type="continuationSeparator" w:id="0">
    <w:p w14:paraId="3DFAB9D9" w14:textId="77777777" w:rsidR="000465C3" w:rsidRDefault="00046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3FE9" w14:textId="77777777" w:rsidR="001A651F" w:rsidRDefault="000465C3">
    <w:pPr>
      <w:pStyle w:val="SmallBody"/>
      <w:jc w:val="center"/>
    </w:pPr>
    <w:r>
      <w:t>White 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6A2CA" w14:textId="77777777" w:rsidR="000465C3" w:rsidRDefault="000465C3">
      <w:pPr>
        <w:spacing w:after="0" w:line="240" w:lineRule="auto"/>
      </w:pPr>
      <w:r>
        <w:separator/>
      </w:r>
    </w:p>
  </w:footnote>
  <w:footnote w:type="continuationSeparator" w:id="0">
    <w:p w14:paraId="452016D0" w14:textId="77777777" w:rsidR="000465C3" w:rsidRDefault="00046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30B1" w14:textId="77777777" w:rsidR="001A651F" w:rsidRDefault="000465C3">
    <w:pPr>
      <w:pStyle w:val="SmallBody"/>
      <w:jc w:val="right"/>
    </w:pPr>
    <w:r>
      <w:t>Toward Multimodal, Topology-Driven Authoring for Pathology Reports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686581">
    <w:abstractNumId w:val="8"/>
  </w:num>
  <w:num w:numId="2" w16cid:durableId="88821019">
    <w:abstractNumId w:val="6"/>
  </w:num>
  <w:num w:numId="3" w16cid:durableId="1945768873">
    <w:abstractNumId w:val="5"/>
  </w:num>
  <w:num w:numId="4" w16cid:durableId="1760711071">
    <w:abstractNumId w:val="4"/>
  </w:num>
  <w:num w:numId="5" w16cid:durableId="176308449">
    <w:abstractNumId w:val="7"/>
  </w:num>
  <w:num w:numId="6" w16cid:durableId="1585990043">
    <w:abstractNumId w:val="3"/>
  </w:num>
  <w:num w:numId="7" w16cid:durableId="1504474954">
    <w:abstractNumId w:val="2"/>
  </w:num>
  <w:num w:numId="8" w16cid:durableId="1998994506">
    <w:abstractNumId w:val="1"/>
  </w:num>
  <w:num w:numId="9" w16cid:durableId="1500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5C3"/>
    <w:rsid w:val="0006063C"/>
    <w:rsid w:val="0015074B"/>
    <w:rsid w:val="001A651F"/>
    <w:rsid w:val="00235D3A"/>
    <w:rsid w:val="0029639D"/>
    <w:rsid w:val="00326F90"/>
    <w:rsid w:val="00557C38"/>
    <w:rsid w:val="00A666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91B0"/>
  <w14:defaultImageDpi w14:val="300"/>
  <w15:docId w15:val="{F81B2168-B0D3-D64A-BB6B-7C26A3B9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323"/>
    </w:rPr>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40" w:after="40"/>
      <w:outlineLvl w:val="1"/>
    </w:pPr>
    <w:rPr>
      <w:rFonts w:asciiTheme="majorHAnsi" w:eastAsiaTheme="majorEastAsia" w:hAnsiTheme="majorHAnsi" w:cstheme="majorBidi"/>
      <w:b/>
      <w:bCs/>
      <w:color w:val="216399"/>
      <w:sz w:val="25"/>
      <w:szCs w:val="26"/>
    </w:rPr>
  </w:style>
  <w:style w:type="paragraph" w:styleId="Heading3">
    <w:name w:val="heading 3"/>
    <w:basedOn w:val="Normal"/>
    <w:next w:val="Normal"/>
    <w:link w:val="Heading3Char"/>
    <w:uiPriority w:val="9"/>
    <w:unhideWhenUsed/>
    <w:qFormat/>
    <w:rsid w:val="00FC693F"/>
    <w:pPr>
      <w:keepNext/>
      <w:keepLines/>
      <w:spacing w:before="160" w:after="20"/>
      <w:outlineLvl w:val="2"/>
    </w:pPr>
    <w:rPr>
      <w:rFonts w:asciiTheme="majorHAnsi" w:eastAsiaTheme="majorEastAsia" w:hAnsiTheme="majorHAnsi" w:cstheme="majorBidi"/>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Title">
    <w:name w:val="WP Title"/>
    <w:basedOn w:val="Title"/>
    <w:pPr>
      <w:spacing w:after="120"/>
    </w:pPr>
    <w:rPr>
      <w:rFonts w:ascii="Aptos Display" w:hAnsi="Aptos Display"/>
      <w:b/>
      <w:color w:val="0F4C81"/>
      <w:sz w:val="48"/>
    </w:rPr>
  </w:style>
  <w:style w:type="paragraph" w:customStyle="1" w:styleId="WPSubtitle">
    <w:name w:val="WP Subtitle"/>
    <w:basedOn w:val="Subtitle"/>
    <w:pPr>
      <w:spacing w:after="320"/>
    </w:pPr>
    <w:rPr>
      <w:rFonts w:ascii="Aptos" w:hAnsi="Aptos"/>
      <w:color w:val="464646"/>
      <w:sz w:val="26"/>
    </w:rPr>
  </w:style>
  <w:style w:type="paragraph" w:customStyle="1" w:styleId="WPMeta">
    <w:name w:val="WP Meta"/>
    <w:basedOn w:val="Normal"/>
    <w:pPr>
      <w:spacing w:after="40"/>
    </w:pPr>
    <w:rPr>
      <w:color w:val="5A5A5A"/>
      <w:sz w:val="20"/>
    </w:rPr>
  </w:style>
  <w:style w:type="paragraph" w:customStyle="1" w:styleId="CalloutText">
    <w:name w:val="Callout Text"/>
    <w:basedOn w:val="Normal"/>
    <w:pPr>
      <w:spacing w:after="0"/>
    </w:pPr>
    <w:rPr>
      <w:sz w:val="21"/>
    </w:rPr>
  </w:style>
  <w:style w:type="paragraph" w:customStyle="1" w:styleId="SmallBody">
    <w:name w:val="Small Body"/>
    <w:basedOn w:val="Normal"/>
    <w:rPr>
      <w:color w:val="464646"/>
      <w:sz w:val="19"/>
    </w:rPr>
  </w:style>
  <w:style w:type="paragraph" w:customStyle="1" w:styleId="ReferenceEntry">
    <w:name w:val="Reference Entry"/>
    <w:basedOn w:val="Normal"/>
    <w:pPr>
      <w:spacing w:after="40" w:line="252" w:lineRule="auto"/>
      <w:ind w:left="317" w:hanging="317"/>
    </w:pPr>
    <w:rPr>
      <w:sz w:val="19"/>
    </w:rPr>
  </w:style>
  <w:style w:type="paragraph" w:customStyle="1" w:styleId="BodyBullet">
    <w:name w:val="Body Bullet"/>
    <w:basedOn w:val="Normal"/>
    <w:pPr>
      <w:spacing w:after="20"/>
      <w:ind w:left="259" w:hanging="2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4179</Words>
  <Characters>25746</Characters>
  <Application>Microsoft Office Word</Application>
  <DocSecurity>0</DocSecurity>
  <Lines>514</Lines>
  <Paragraphs>260</Paragraphs>
  <ScaleCrop>false</ScaleCrop>
  <HeadingPairs>
    <vt:vector size="2" baseType="variant">
      <vt:variant>
        <vt:lpstr>Title</vt:lpstr>
      </vt:variant>
      <vt:variant>
        <vt:i4>1</vt:i4>
      </vt:variant>
    </vt:vector>
  </HeadingPairs>
  <TitlesOfParts>
    <vt:vector size="1" baseType="lpstr">
      <vt:lpstr>Toward Multimodal, Topology-Driven Authoring for Pathology Reports</vt:lpstr>
    </vt:vector>
  </TitlesOfParts>
  <Manager/>
  <Company/>
  <LinksUpToDate>false</LinksUpToDate>
  <CharactersWithSpaces>29665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Multimodal, Topology-Driven Authoring for Pathology Reports</dc:title>
  <dc:subject>White paper on pathology report authoring and AI design</dc:subject>
  <dc:creator>OpenAI</dc:creator>
  <cp:keywords/>
  <dc:description>generated by python-docx</dc:description>
  <cp:lastModifiedBy>Peter Gershkovich</cp:lastModifiedBy>
  <cp:revision>2</cp:revision>
  <dcterms:created xsi:type="dcterms:W3CDTF">2013-12-23T23:15:00Z</dcterms:created>
  <dcterms:modified xsi:type="dcterms:W3CDTF">2026-03-18T21:28:00Z</dcterms:modified>
  <cp:category/>
</cp:coreProperties>
</file>