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F3A5F"/>
          <w:sz w:val="44"/>
        </w:rPr>
        <w:t>Retention Band Material Testing Plan</w:t>
      </w:r>
    </w:p>
    <w:p>
      <w:pPr>
        <w:jc w:val="center"/>
      </w:pPr>
      <w:r>
        <w:rPr>
          <w:color w:val="5A6678"/>
          <w:sz w:val="23"/>
        </w:rPr>
        <w:t>Comparative validation protocol for TPU, Spandex, EPDM, and hybrid band constructions</w:t>
      </w:r>
    </w:p>
    <w:p>
      <w:pPr>
        <w:jc w:val="center"/>
      </w:pPr>
      <w:r>
        <w:rPr>
          <w:i/>
          <w:color w:val="6D7786"/>
          <w:sz w:val="20"/>
        </w:rPr>
        <w:t>Prepared for portfolio and concept-development use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Objective</w:t>
            </w:r>
          </w:p>
        </w:tc>
        <w:tc>
          <w:tcPr>
            <w:tcW w:type="dxa" w:w="6576"/>
            <w:shd w:fill="F7F9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Compare retention-band materials under cyclic fatigue, creep, tensile, and environmental-aging conditions to support downselect for a robotic storage application.</w:t>
            </w:r>
          </w:p>
        </w:tc>
      </w:tr>
      <w:tr>
        <w:tc>
          <w:tcPr>
            <w:tcW w:type="dxa" w:w="2268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1F3A5F"/>
              </w:rPr>
              <w:t>Primary outputs</w:t>
            </w:r>
          </w:p>
        </w:tc>
        <w:tc>
          <w:tcPr>
            <w:tcW w:type="dxa" w:w="6576"/>
            <w:shd w:fill="F7F9FC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Cycles to failure, permanent set, force retention, tensile strength, visible damage ranking, and final material recommendation.</w:t>
            </w:r>
          </w:p>
        </w:tc>
      </w:tr>
    </w:tbl>
    <w:p/>
    <w:p>
      <w:pPr>
        <w:pStyle w:val="Heading1"/>
      </w:pPr>
      <w:r>
        <w:t>1. Test Scope</w:t>
      </w:r>
    </w:p>
    <w:p>
      <w:r>
        <w:t>This document outlines a practical engineering test plan for comparing candidate retention-band materials. The study is intended for early design validation, not formal qualification. The emphasis is on durability, elastic recovery, and visible wear under realistic stretch conditions.</w:t>
      </w:r>
    </w:p>
    <w:p>
      <w:pPr>
        <w:pStyle w:val="Heading1"/>
      </w:pPr>
      <w:r>
        <w:t>2. Candidate Materials and Sample Plan</w:t>
      </w:r>
    </w:p>
    <w:p>
      <w:r>
        <w:t>Prepare at least 10 samples per material per major test condition. Record supplier, lot number, nominal width, thickness, free length, and mass per unit length before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814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Material</w:t>
            </w:r>
          </w:p>
        </w:tc>
        <w:tc>
          <w:tcPr>
            <w:tcW w:type="dxa" w:w="1928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Construction</w:t>
            </w:r>
          </w:p>
        </w:tc>
        <w:tc>
          <w:tcPr>
            <w:tcW w:type="dxa" w:w="1474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Qty / condition</w:t>
            </w:r>
          </w:p>
        </w:tc>
        <w:tc>
          <w:tcPr>
            <w:tcW w:type="dxa" w:w="2778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Key reason to test</w:t>
            </w:r>
          </w:p>
        </w:tc>
        <w:tc>
          <w:tcPr>
            <w:tcW w:type="dxa" w:w="1701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F"/>
              </w:rPr>
              <w:t>Notes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TPU-core elastic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Multi-core woven elastic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Good durability and recovery candidate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Use baseline option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Spandex elastic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3- or 4-core textile elastic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High stretch, easy sourcing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Track creep carefully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EPDM band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Rubber strip or coated elastic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Strong environmental resistance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Confirm flexibility</w:t>
            </w:r>
          </w:p>
        </w:tc>
      </w:tr>
      <w:tr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Hybrid laminate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Textile + elastomer stack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Potential balance of grip and life</w:t>
            </w:r>
          </w:p>
        </w:tc>
        <w:tc>
          <w:tcPr>
            <w:tcW w:type="dxa" w:w="201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May need custom fixture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1. Example sample set and engineering downselect path for retention-band materials.</w:t>
      </w:r>
    </w:p>
    <w:p>
      <w:pPr>
        <w:pStyle w:val="Heading1"/>
      </w:pPr>
      <w:r>
        <w:t>3. Test Methods</w:t>
      </w:r>
    </w:p>
    <w:p>
      <w:r>
        <w:t>Run the following tests in the order shown unless there is a reason to isolate one variable. Use separate samples for destructive testing.</w:t>
      </w:r>
    </w:p>
    <w:p>
      <w:pPr>
        <w:pStyle w:val="Heading2"/>
      </w:pPr>
      <w:r>
        <w:t>3.1 Incoming inspection</w:t>
      </w:r>
    </w:p>
    <w:p>
      <w:r>
        <w:t>Measure free length, width, thickness, and mass per unit length. Photograph each sample. Reject coupons with visible nicks, loose stitching, surface cracking, or edge defects.</w:t>
      </w:r>
    </w:p>
    <w:p>
      <w:pPr>
        <w:pStyle w:val="Heading2"/>
      </w:pPr>
      <w:r>
        <w:t>3.2 Baseline tensile test</w:t>
      </w:r>
    </w:p>
    <w:p>
      <w:r>
        <w:t>Use a universal testing machine to pull each band at a constant crosshead speed until failure or target extension. Capture force-displacement data, elongation at break, and any local tearing near grips.</w:t>
      </w:r>
    </w:p>
    <w:p>
      <w:pPr>
        <w:pStyle w:val="Heading2"/>
      </w:pPr>
      <w:r>
        <w:t>3.3 Cyclic fatigue test</w:t>
      </w:r>
    </w:p>
    <w:p>
      <w:r>
        <w:t>Cycle the band between the selected minimum and maximum extension to represent repeated pod use. Record cycle count, peak load, valley load, and permanent set at regular intervals.</w:t>
      </w:r>
    </w:p>
    <w:p>
      <w:pPr>
        <w:pStyle w:val="Heading2"/>
      </w:pPr>
      <w:r>
        <w:t>3.4 Environmental aging</w:t>
      </w:r>
    </w:p>
    <w:p>
      <w:r>
        <w:t>Condition samples in a temperature-humidity chamber before fatigue retest. Optional exposures include synthetic oil, light dust contamination, or UV depending on expected field conditions.</w:t>
      </w:r>
    </w:p>
    <w:p>
      <w:pPr>
        <w:pStyle w:val="Heading2"/>
      </w:pPr>
      <w:r>
        <w:t>3.5 Constant-load creep</w:t>
      </w:r>
    </w:p>
    <w:p>
      <w:r>
        <w:t>Apply a fixed load for an extended dwell period, then unload and measure permanent set after recovery.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fatigue_r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2. Simplified reciprocating fatigue fixture for retention-band comparison studies.</w:t>
      </w:r>
    </w:p>
    <w:p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env_cr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Figure 3. Environmental pre-conditioning and creep measurements used to separate durability from aging effects.</w:t>
      </w:r>
    </w:p>
    <w:p>
      <w:pPr>
        <w:pStyle w:val="Heading1"/>
      </w:pPr>
      <w:r>
        <w:t>4. Recommended Initial Test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417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Test</w:t>
            </w:r>
          </w:p>
        </w:tc>
        <w:tc>
          <w:tcPr>
            <w:tcW w:type="dxa" w:w="1361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Condition</w:t>
            </w:r>
          </w:p>
        </w:tc>
        <w:tc>
          <w:tcPr>
            <w:tcW w:type="dxa" w:w="1304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Setpoint</w:t>
            </w:r>
          </w:p>
        </w:tc>
        <w:tc>
          <w:tcPr>
            <w:tcW w:type="dxa" w:w="1531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Samples</w:t>
            </w:r>
          </w:p>
        </w:tc>
        <w:tc>
          <w:tcPr>
            <w:tcW w:type="dxa" w:w="1417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Output</w:t>
            </w:r>
          </w:p>
        </w:tc>
        <w:tc>
          <w:tcPr>
            <w:tcW w:type="dxa" w:w="2438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Pass / review trigger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Tensile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Ambient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50-100 mm/min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UTS, break strain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Large grip slippage or early tearing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Fatigue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Ambient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100-150% strain, 0.5-1.0 Hz, 10k+ cycles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Life, load retention, visible wear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Rapid force drop, stitching failure, crack growth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Aging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Temp + RH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70 C / 85% RH, 24-72 hr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Property change after conditioning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Embrittlement, tackiness, delamination</w:t>
            </w:r>
          </w:p>
        </w:tc>
      </w:tr>
      <w:tr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Creep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Constant load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8-15 N for 24-48 hr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Strain vs time, permanent set</w:t>
            </w:r>
          </w:p>
        </w:tc>
        <w:tc>
          <w:tcPr>
            <w:tcW w:type="dxa" w:w="16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Recovery too low after unload</w:t>
            </w:r>
          </w:p>
        </w:tc>
      </w:tr>
    </w:tbl>
    <w:p>
      <w:pPr>
        <w:pStyle w:val="Heading1"/>
      </w:pPr>
      <w:r>
        <w:t>5. Data to Record</w:t>
      </w:r>
    </w:p>
    <w:p>
      <w:r>
        <w:t>For each sample, capture the following minimum dataset:</w:t>
      </w:r>
    </w:p>
    <w:p>
      <w:pPr>
        <w:spacing w:after="40"/>
        <w:ind w:left="227"/>
      </w:pPr>
      <w:r>
        <w:t>- Material, supplier, lot number, and coupon ID</w:t>
      </w:r>
    </w:p>
    <w:p>
      <w:pPr>
        <w:spacing w:after="40"/>
        <w:ind w:left="227"/>
      </w:pPr>
      <w:r>
        <w:t>- Initial dimensions: free length, width, thickness, and mass</w:t>
      </w:r>
    </w:p>
    <w:p>
      <w:pPr>
        <w:spacing w:after="40"/>
        <w:ind w:left="227"/>
      </w:pPr>
      <w:r>
        <w:t>- Fixture settings: gauge length, strain range, cycling frequency, and dwell time</w:t>
      </w:r>
    </w:p>
    <w:p>
      <w:pPr>
        <w:spacing w:after="40"/>
        <w:ind w:left="227"/>
      </w:pPr>
      <w:r>
        <w:t>- Peak load, valley load, extension, permanent set, and cycles completed</w:t>
      </w:r>
    </w:p>
    <w:p>
      <w:pPr>
        <w:spacing w:after="40"/>
        <w:ind w:left="227"/>
      </w:pPr>
      <w:r>
        <w:t>- Visible observations: fraying, cracking, stitching pullout, coating wear, odor, tackiness, or oil swelling</w:t>
      </w:r>
    </w:p>
    <w:p>
      <w:pPr>
        <w:pStyle w:val="Heading1"/>
      </w:pPr>
      <w:r>
        <w:t>6. Example Ranking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3402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Criterion</w:t>
            </w:r>
          </w:p>
        </w:tc>
        <w:tc>
          <w:tcPr>
            <w:tcW w:type="dxa" w:w="1417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Weight</w:t>
            </w:r>
          </w:p>
        </w:tc>
        <w:tc>
          <w:tcPr>
            <w:tcW w:type="dxa" w:w="1587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Preferred direction</w:t>
            </w:r>
          </w:p>
        </w:tc>
        <w:tc>
          <w:tcPr>
            <w:tcW w:type="dxa" w:w="2948"/>
            <w:shd w:fill="DCE6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1F3A5F"/>
              </w:rPr>
              <w:t>Comment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Cycles to failure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Higher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Primary durability metric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Permanent set after test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25%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Measures recovery after repeated use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Force retention after conditioning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Higher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Captures aging sensitivity</w:t>
            </w:r>
          </w:p>
        </w:tc>
      </w:tr>
      <w:tr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Unit cost / manufacturability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20%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t>Lower</w:t>
            </w:r>
          </w:p>
        </w:tc>
        <w:tc>
          <w:tcPr>
            <w:tcW w:type="dxa" w:w="252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Use only after performance screen</w:t>
            </w:r>
          </w:p>
        </w:tc>
      </w:tr>
    </w:tbl>
    <w:p>
      <w:pPr>
        <w:pStyle w:val="Heading1"/>
      </w:pPr>
      <w:r>
        <w:t>7. Notes for a Tabletop Portfolio Rig</w:t>
      </w:r>
    </w:p>
    <w:p>
      <w:r>
        <w:t>A simple portfolio rig can be built using a low-speed gearmotor, eccentric crank, linear guide, two clamping blocks, and either a small inline load cell or a digital force gauge. Keep guard panels around moving parts, add an emergency stop, and start with a lower cycle rate while checking for alignment and grip damage.</w:t>
      </w:r>
    </w:p>
    <w:p>
      <w:pPr>
        <w:pStyle w:val="Heading1"/>
      </w:pPr>
      <w:r>
        <w:t>8. Revision Notes</w:t>
      </w:r>
    </w:p>
    <w:p>
      <w:r>
        <w:t>This document is intentionally written as a practical first-pass engineering plan. Final qualification limits, sample sizes, and environmental conditions should be updated once the actual use case and supplier capabilities are known.</w:t>
      </w:r>
    </w:p>
    <w:sectPr w:rsidR="00FC693F" w:rsidRPr="0006063C" w:rsidSect="00034616">
      <w:pgSz w:w="12240" w:h="15840"/>
      <w:pgMar w:top="964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74C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Aptos" w:hAnsi="Aptos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