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60"/>
        <w:jc w:val="center"/>
      </w:pPr>
      <w:r>
        <w:rPr>
          <w:b/>
          <w:bCs/>
          <w:color w:val="C00000"/>
          <w:sz w:val="20"/>
          <w:szCs w:val="20"/>
        </w:rPr>
        <w:t xml:space="preserve">HACK4RAIL  ·  KI-VERTRAGSEXTRAKTION</w:t>
      </w:r>
    </w:p>
    <w:p>
      <w:pPr>
        <w:spacing w:after="40"/>
        <w:jc w:val="center"/>
      </w:pPr>
      <w:r>
        <w:rPr>
          <w:b/>
          <w:bCs/>
          <w:color w:val="1A1A1A"/>
          <w:sz w:val="44"/>
          <w:szCs w:val="44"/>
        </w:rPr>
        <w:t xml:space="preserve">Hack4Rail – KI-Extraktionslogik</w:t>
      </w:r>
    </w:p>
    <w:p>
      <w:pPr>
        <w:spacing w:after="220"/>
        <w:jc w:val="center"/>
      </w:pPr>
      <w:r>
        <w:rPr>
          <w:b/>
          <w:bCs/>
          <w:color w:val="1A1A1A"/>
          <w:sz w:val="30"/>
          <w:szCs w:val="30"/>
        </w:rPr>
        <w:t xml:space="preserve">Dokumentation für SAP-Entwickler</w:t>
      </w:r>
    </w:p>
    <w:p>
      <w:pPr>
        <w:spacing w:after="40"/>
        <w:jc w:val="center"/>
      </w:pPr>
      <w:r>
        <w:rPr>
          <w:i/>
          <w:iCs/>
          <w:color w:val="555555"/>
          <w:sz w:val="24"/>
          <w:szCs w:val="24"/>
        </w:rPr>
        <w:t xml:space="preserve">Wie die KI SBB-Infrastrukturverträge liest und extrahiert –</w:t>
      </w:r>
    </w:p>
    <w:p>
      <w:pPr>
        <w:spacing w:after="260"/>
        <w:jc w:val="center"/>
      </w:pPr>
      <w:r>
        <w:rPr>
          <w:i/>
          <w:iCs/>
          <w:color w:val="555555"/>
          <w:sz w:val="24"/>
          <w:szCs w:val="24"/>
        </w:rPr>
        <w:t xml:space="preserve">eine Vorlage für die SAP-Programmierung</w:t>
      </w:r>
    </w:p>
    <w:p>
      <w:pPr>
        <w:pBdr>
          <w:bottom w:val="single" w:color="C00000" w:sz="8" w:space="8"/>
        </w:pBdr>
        <w:spacing w:after="240"/>
        <w:jc w:val="center"/>
      </w:pPr>
      <w:r>
        <w:t xml:space="preserve"/>
      </w:r>
    </w:p>
    <w:p>
      <w:pPr>
        <w:spacing w:after="40"/>
        <w:jc w:val="center"/>
      </w:pPr>
      <w:r>
        <w:rPr>
          <w:color w:val="1A1A1A"/>
          <w:sz w:val="21"/>
          <w:szCs w:val="21"/>
        </w:rPr>
        <w:t xml:space="preserve">Grundlage: 16 extrahierte SBB-Infrastrukturverträge (Batch 1–2, Doc 1–16)</w:t>
      </w:r>
    </w:p>
    <w:p>
      <w:pPr>
        <w:spacing w:after="40"/>
        <w:jc w:val="center"/>
      </w:pPr>
      <w:r>
        <w:rPr>
          <w:color w:val="1A1A1A"/>
          <w:sz w:val="21"/>
          <w:szCs w:val="21"/>
        </w:rPr>
        <w:t xml:space="preserve">Vertragszeitraum: 1926–2017   ·   Extraktionsschema: 13 Felder</w:t>
      </w:r>
    </w:p>
    <w:p>
      <w:pPr>
        <w:spacing w:after="40"/>
        <w:jc w:val="center"/>
      </w:pPr>
      <w:r>
        <w:rPr>
          <w:color w:val="1A1A1A"/>
          <w:sz w:val="21"/>
          <w:szCs w:val="21"/>
        </w:rPr>
        <w:t xml:space="preserve">Stand: Juni 2026   ·   Version 1.0</w:t>
      </w:r>
    </w:p>
    <w:p>
      <w:r>
        <w:t xml:space="preserve"/>
      </w:r>
    </w:p>
    <w:p>
      <w:pPr>
        <w:spacing w:after="40"/>
        <w:jc w:val="center"/>
      </w:pPr>
      <w:r>
        <w:rPr>
          <w:i/>
          <w:iCs/>
          <w:color w:val="555555"/>
          <w:sz w:val="19"/>
          <w:szCs w:val="19"/>
        </w:rPr>
        <w:t xml:space="preserve">Begleitdokument zum System-Prompt «SBB Infrastrukturvertrags-Extraktion»</w:t>
      </w:r>
    </w:p>
    <w:p>
      <w:r>
        <w:br w:type="page"/>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00000" w:sz="6" w:space="6"/>
        </w:pBdr>
      </w:pPr>
      <w:r>
        <w:t xml:space="preserve">Einleitung: Zweck und Lesart</w:t>
      </w:r>
    </w:p>
    <w:p>
      <w:pPr>
        <w:spacing w:after="140" w:line="264"/>
      </w:pPr>
      <w:r>
        <w:rPr>
          <w:b w:val="false"/>
          <w:bCs w:val="false"/>
          <w:i w:val="false"/>
          <w:iCs w:val="false"/>
          <w:sz w:val="21"/>
          <w:szCs w:val="21"/>
        </w:rPr>
        <w:t xml:space="preserve">Dieses Dokument beschreibt, nach welcher Logik die KI bei der Extraktion von 16 SBB-Infrastrukturverträgen vorgegangen ist. Es macht das Vorgehen für die SAP-Entwicklung nachvollziehbar und dient als fachliche Vorlage für die Programmierung. Es ergänzt den eigentlichen System-Prompt, der die maschinell ausführbaren Regeln enthält.</w:t>
      </w:r>
    </w:p>
    <w:p>
      <w:pPr>
        <w:spacing w:after="140" w:line="264"/>
      </w:pPr>
      <w:r>
        <w:rPr>
          <w:b w:val="false"/>
          <w:bCs w:val="false"/>
          <w:i w:val="false"/>
          <w:iCs w:val="false"/>
          <w:sz w:val="21"/>
          <w:szCs w:val="21"/>
        </w:rPr>
        <w:t xml:space="preserve">Alle konkreten Beispiele stammen aus den bereits extrahierten Verträgen. Die Bezeichnung «Doc N» verweist auf den jeweils nummerierten Vertrag (Doc 1 bis Doc 16). Drei Grundprinzipien ziehen sich durch das gesamte Vorgehen:</w:t>
      </w:r>
    </w:p>
    <w:p>
      <w:pPr>
        <w:spacing w:after="80" w:line="264"/>
      </w:pPr>
      <w:r>
        <w:rPr>
          <w:b/>
          <w:bCs/>
          <w:sz w:val="21"/>
          <w:szCs w:val="21"/>
        </w:rPr>
        <w:t xml:space="preserve">Beträge immer aus Sicht SBB. </w:t>
      </w:r>
      <w:r>
        <w:rPr>
          <w:sz w:val="21"/>
          <w:szCs w:val="21"/>
        </w:rPr>
        <w:t xml:space="preserve">Eine Einnahme ist Geld, das an die SBB fliesst; eine Ausgabe ist Geld, das von der SBB abfliesst. Die Flussrichtung wird bei jedem Betrag zuerst geprüft.</w:t>
      </w:r>
    </w:p>
    <w:p>
      <w:pPr>
        <w:spacing w:after="80" w:line="264"/>
      </w:pPr>
      <w:r>
        <w:rPr>
          <w:b/>
          <w:bCs/>
          <w:sz w:val="21"/>
          <w:szCs w:val="21"/>
        </w:rPr>
        <w:t xml:space="preserve">Quellenpflicht je Feld. </w:t>
      </w:r>
      <w:r>
        <w:rPr>
          <w:sz w:val="21"/>
          <w:szCs w:val="21"/>
        </w:rPr>
        <w:t xml:space="preserve">Zu jedem extrahierten Wert gehört eine Fundstelle (Seite + Ziffer/Artikel). Sie ist die Grundlage des menschlichen Plausibilitätschecks.</w:t>
      </w:r>
    </w:p>
    <w:p>
      <w:pPr>
        <w:spacing w:after="80" w:line="264"/>
      </w:pPr>
      <w:r>
        <w:rPr>
          <w:b/>
          <w:bCs/>
          <w:sz w:val="21"/>
          <w:szCs w:val="21"/>
        </w:rPr>
        <w:t xml:space="preserve">Unsicherheit wird markiert, nicht geraten. </w:t>
      </w:r>
      <w:r>
        <w:rPr>
          <w:sz w:val="21"/>
          <w:szCs w:val="21"/>
        </w:rPr>
        <w:t xml:space="preserve">Jedes Feld erhält ein Qualitätskennzeichen. Eine gute Extraktion erfindet nichts, sondern weist Lücken und Herleitungen ehrlich aus.</w:t>
      </w:r>
    </w:p>
    <w:p>
      <w:pPr>
        <w:spacing w:after="60" w:before="60"/>
      </w:pPr>
      <w:r>
        <w:rPr>
          <w:b/>
          <w:bCs/>
          <w:i/>
          <w:iCs/>
          <w:color w:val="555555"/>
          <w:sz w:val="18"/>
          <w:szCs w:val="18"/>
        </w:rPr>
        <w:t xml:space="preserve">Tabelle 0 — Qualitätskennzeichen je Feld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rPr>
          <w:tblHeader/>
        </w:trPr>
        <w:tc>
          <w:tcPr>
            <w:tcW w:type="dxa" w:w="16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Symbol</w:t>
            </w:r>
          </w:p>
        </w:tc>
        <w:tc>
          <w:tcPr>
            <w:tcW w:type="dxa" w:w="8146"/>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Bedeutung</w:t>
            </w:r>
          </w:p>
        </w:tc>
      </w:tr>
      <w:tr>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 eindeutig</w:t>
            </w:r>
          </w:p>
        </w:tc>
        <w:tc>
          <w:tcPr>
            <w:tcW w:type="dxa" w:w="81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Wert steht explizit und unzweideutig im Dokument.</w:t>
            </w:r>
          </w:p>
        </w:tc>
      </w:tr>
      <w:tr>
        <w:tc>
          <w:tcPr>
            <w:tcW w:type="dxa" w:w="16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 abgeleitet</w:t>
            </w:r>
          </w:p>
        </w:tc>
        <w:tc>
          <w:tcPr>
            <w:tcW w:type="dxa" w:w="814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Wert wurde interpretiert oder aus Kontext, Paralleldokument oder Vertragsinhalt erschlossen. Die Herleitung gehört in die Quellenangabe.</w:t>
            </w:r>
          </w:p>
        </w:tc>
      </w:tr>
      <w:tr>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 fehlend</w:t>
            </w:r>
          </w:p>
        </w:tc>
        <w:tc>
          <w:tcPr>
            <w:tcW w:type="dxa" w:w="81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Wert wäre zu erwarten, ist aber im Dokument nicht enthalten.</w:t>
            </w:r>
          </w:p>
        </w:tc>
      </w:tr>
      <w:tr>
        <w:tc>
          <w:tcPr>
            <w:tcW w:type="dxa" w:w="16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n.a. nicht anwendbar</w:t>
            </w:r>
          </w:p>
        </w:tc>
        <w:tc>
          <w:tcPr>
            <w:tcW w:type="dxa" w:w="814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Feld ist für diesen Vertragsgegenstand gegenstandslos (z. B. Bahn-km bei einem reinen Immobilienobjekt). Strikt von «fehlend» zu unterscheiden.</w:t>
            </w:r>
          </w:p>
        </w:tc>
      </w:tr>
    </w:tbl>
    <w:p>
      <w:pPr>
        <w:pStyle w:val="Heading1"/>
        <w:pBdr>
          <w:bottom w:val="single" w:color="C00000" w:sz="6" w:space="6"/>
        </w:pBdr>
      </w:pPr>
      <w:r>
        <w:t xml:space="preserve">1. Vorgehen pro Dokumenttyp</w:t>
      </w:r>
    </w:p>
    <w:p>
      <w:pPr>
        <w:spacing w:after="140" w:line="264"/>
      </w:pPr>
      <w:r>
        <w:rPr>
          <w:b w:val="false"/>
          <w:bCs w:val="false"/>
          <w:i w:val="false"/>
          <w:iCs w:val="false"/>
          <w:sz w:val="21"/>
          <w:szCs w:val="21"/>
        </w:rPr>
        <w:t xml:space="preserve">Die 16 Verträge verteilen sich auf drei Layout-Typen. Die KI bestimmt zuerst den Layout-Typ, weil er festlegt, WO die Felder zu suchen sind. Erst danach beginnt die eigentliche Feldsuche.</w:t>
      </w:r>
    </w:p>
    <w:p>
      <w:pPr>
        <w:spacing w:after="60" w:before="60"/>
      </w:pPr>
      <w:r>
        <w:rPr>
          <w:b/>
          <w:bCs/>
          <w:i/>
          <w:iCs/>
          <w:color w:val="555555"/>
          <w:sz w:val="18"/>
          <w:szCs w:val="18"/>
        </w:rPr>
        <w:t xml:space="preserve">Tabelle 1 — Die drei Dokumenttypen im Überblick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206"/>
        <w:gridCol w:w="1900"/>
        <w:gridCol w:w="1640"/>
      </w:tblGrid>
      <w:tr>
        <w:trPr>
          <w:tblHeader/>
        </w:trPr>
        <w:tc>
          <w:tcPr>
            <w:tcW w:type="dxa" w:w="20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Dokumenttyp</w:t>
            </w:r>
          </w:p>
        </w:tc>
        <w:tc>
          <w:tcPr>
            <w:tcW w:type="dxa" w:w="4206"/>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Typische Merkmale</w:t>
            </w:r>
          </w:p>
        </w:tc>
        <w:tc>
          <w:tcPr>
            <w:tcW w:type="dxa" w:w="19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Beispiele</w:t>
            </w:r>
          </w:p>
        </w:tc>
        <w:tc>
          <w:tcPr>
            <w:tcW w:type="dxa" w:w="164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Extraktionsqualität</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Kopfzeilen-Format (modern, ab ca. 2008)</w:t>
            </w:r>
          </w:p>
        </w:tc>
        <w:tc>
          <w:tcPr>
            <w:tcW w:type="dxa" w:w="42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Strukturierter Kopf auf S. 1 mit Vertrag-Nr., DfA-Strecke, Bahn-km, «gültig ab» und Gemeinde; Fliesstext-Körper mit Artikeln/Ziffern für Finanzangaben.</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2, Doc 8</w:t>
            </w:r>
          </w:p>
        </w:tc>
        <w:tc>
          <w:tcPr>
            <w:tcW w:type="dxa" w:w="16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Hoch — Kernfelder direkt im Kopf</w:t>
            </w:r>
          </w:p>
        </w:tc>
      </w:tr>
      <w:tr>
        <w:tc>
          <w:tcPr>
            <w:tcW w:type="dxa" w:w="20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Vereinbarungsformular mit Deckblatt</w:t>
            </w:r>
          </w:p>
        </w:tc>
        <w:tc>
          <w:tcPr>
            <w:tcW w:type="dxa" w:w="42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Eigenes Deckblatt (S. 1) mit ContrAct-Box und Metadaten (Strecke, km, Partner, Inkraft-Datum); danach der Vereinbarungstext.</w:t>
            </w:r>
          </w:p>
        </w:tc>
        <w:tc>
          <w:tcPr>
            <w:tcW w:type="dxa" w:w="19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1, Doc 4, Doc 5, Doc 6</w:t>
            </w:r>
          </w:p>
        </w:tc>
        <w:tc>
          <w:tcPr>
            <w:tcW w:type="dxa" w:w="16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Mittel–hoch — Metadaten auf Deckblatt, teils handschr.</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Fliesstext-Vertrag (alt, prosaisch)</w:t>
            </w:r>
          </w:p>
        </w:tc>
        <w:tc>
          <w:tcPr>
            <w:tcW w:type="dxa" w:w="42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Kein strukturierter Kopf; ContrAct-Nr. handschriftlich oben in der Ecke; alle Angaben aus Titel, Art. 1 «Gegenstand», Vertragsartikeln und Unterschriftenblock.</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3, 7, 9, 10, 11, 14, 15, 16</w:t>
            </w:r>
          </w:p>
        </w:tc>
        <w:tc>
          <w:tcPr>
            <w:tcW w:type="dxa" w:w="16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Variabel — Härtefall; km/Linie oft nur im Plan oder fehlend</w:t>
            </w:r>
          </w:p>
        </w:tc>
      </w:tr>
    </w:tbl>
    <w:p>
      <w:pPr>
        <w:pStyle w:val="Heading2"/>
      </w:pPr>
      <w:r>
        <w:t xml:space="preserve">1.1 Kopfzeilen-Format — Vorgehen Schritt für Schritt</w:t>
      </w:r>
    </w:p>
    <w:p>
      <w:pPr>
        <w:spacing w:after="80" w:line="264"/>
      </w:pPr>
      <w:r>
        <w:rPr>
          <w:b/>
          <w:bCs/>
          <w:sz w:val="21"/>
          <w:szCs w:val="21"/>
        </w:rPr>
        <w:t xml:space="preserve">1. Zuerst der Kopfblock auf S. 1. </w:t>
      </w:r>
      <w:r>
        <w:rPr>
          <w:sz w:val="21"/>
          <w:szCs w:val="21"/>
        </w:rPr>
        <w:t xml:space="preserve">Er liefert in einem Zug Vertrag-Nr., DfA-Strecke, Bahn-km (von–bis), «gültig ab» (= Vertragsbeginn) und Gemeinde.</w:t>
      </w:r>
    </w:p>
    <w:p>
      <w:pPr>
        <w:spacing w:after="80" w:line="264"/>
      </w:pPr>
      <w:r>
        <w:rPr>
          <w:b/>
          <w:bCs/>
          <w:sz w:val="21"/>
          <w:szCs w:val="21"/>
        </w:rPr>
        <w:t xml:space="preserve">2. Parteienbezeichnung auf S. 1 </w:t>
      </w:r>
      <w:r>
        <w:rPr>
          <w:sz w:val="21"/>
          <w:szCs w:val="21"/>
        </w:rPr>
        <w:t xml:space="preserve">→ Vertragspartner (extern).</w:t>
      </w:r>
    </w:p>
    <w:p>
      <w:pPr>
        <w:spacing w:after="80" w:line="264"/>
      </w:pPr>
      <w:r>
        <w:rPr>
          <w:b/>
          <w:bCs/>
          <w:sz w:val="21"/>
          <w:szCs w:val="21"/>
        </w:rPr>
        <w:t xml:space="preserve">3. Titel und Ziff. 1 / Art. 1 «Gegenstand» </w:t>
      </w:r>
      <w:r>
        <w:rPr>
          <w:sz w:val="21"/>
          <w:szCs w:val="21"/>
        </w:rPr>
        <w:t xml:space="preserve">→ Anlage; daraus zugleich den Vertragstyp ableiten.</w:t>
      </w:r>
    </w:p>
    <w:p>
      <w:pPr>
        <w:spacing w:after="80" w:line="264"/>
      </w:pPr>
      <w:r>
        <w:rPr>
          <w:b/>
          <w:bCs/>
          <w:sz w:val="21"/>
          <w:szCs w:val="21"/>
        </w:rPr>
        <w:t xml:space="preserve">4. Artikel «Vergütung / Entschädigung / Kosten» </w:t>
      </w:r>
      <w:r>
        <w:rPr>
          <w:sz w:val="21"/>
          <w:szCs w:val="21"/>
        </w:rPr>
        <w:t xml:space="preserve">→ periodische bzw. einmalige Beträge; Richtung aus Sicht SBB prüfen.</w:t>
      </w:r>
    </w:p>
    <w:p>
      <w:pPr>
        <w:spacing w:after="80" w:line="264"/>
      </w:pPr>
      <w:r>
        <w:rPr>
          <w:b/>
          <w:bCs/>
          <w:sz w:val="21"/>
          <w:szCs w:val="21"/>
        </w:rPr>
        <w:t xml:space="preserve">5. Letzter Artikel / «Vertragsdauer / Hinfall / Kündigung» </w:t>
      </w:r>
      <w:r>
        <w:rPr>
          <w:sz w:val="21"/>
          <w:szCs w:val="21"/>
        </w:rPr>
        <w:t xml:space="preserve">→ Vertragsende.</w:t>
      </w:r>
    </w:p>
    <w:p>
      <w:pPr>
        <w:spacing w:after="60" w:before="60"/>
      </w:pPr>
      <w:r>
        <w:rPr>
          <w:b/>
          <w:bCs/>
          <w:i/>
          <w:iCs/>
          <w:color w:val="555555"/>
          <w:sz w:val="18"/>
          <w:szCs w:val="18"/>
        </w:rPr>
        <w:t xml:space="preserve">Tabelle 1.1 — Typische Fundstellen (Beispiel Doc 2: Erdanker Olten Ost, 2010)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146"/>
        <w:gridCol w:w="3400"/>
      </w:tblGrid>
      <w:tr>
        <w:trPr>
          <w:tblHeader/>
        </w:trPr>
        <w:tc>
          <w:tcPr>
            <w:tcW w:type="dxa" w:w="22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Feld</w:t>
            </w:r>
          </w:p>
        </w:tc>
        <w:tc>
          <w:tcPr>
            <w:tcW w:type="dxa" w:w="4146"/>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Fundstelle im Kopfzeilen-Format</w:t>
            </w:r>
          </w:p>
        </w:tc>
        <w:tc>
          <w:tcPr>
            <w:tcW w:type="dxa" w:w="34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Beispiel Doc 2</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Vertragsnummer</w:t>
            </w:r>
          </w:p>
        </w:tc>
        <w:tc>
          <w:tcPr>
            <w:tcW w:type="dxa" w:w="41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S. 1, Kopfzeile</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0400-2010-0080</w:t>
            </w:r>
          </w:p>
        </w:tc>
      </w:tr>
      <w:tr>
        <w:tc>
          <w:tcPr>
            <w:tcW w:type="dxa" w:w="22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Bahnlinie</w:t>
            </w:r>
          </w:p>
        </w:tc>
        <w:tc>
          <w:tcPr>
            <w:tcW w:type="dxa" w:w="414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S. 1, Kopfzeile (DfA-Strecke)</w:t>
            </w:r>
          </w:p>
        </w:tc>
        <w:tc>
          <w:tcPr>
            <w:tcW w:type="dxa" w:w="3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Strecke 410</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km von / bis</w:t>
            </w:r>
          </w:p>
        </w:tc>
        <w:tc>
          <w:tcPr>
            <w:tcW w:type="dxa" w:w="41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S. 1, Kopfzeile (Bahn-km)</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40.585 – 40.795</w:t>
            </w:r>
          </w:p>
        </w:tc>
      </w:tr>
      <w:tr>
        <w:tc>
          <w:tcPr>
            <w:tcW w:type="dxa" w:w="22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Vertragsbeginn</w:t>
            </w:r>
          </w:p>
        </w:tc>
        <w:tc>
          <w:tcPr>
            <w:tcW w:type="dxa" w:w="414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S. 1, Kopfzeile («gültig ab»)</w:t>
            </w:r>
          </w:p>
        </w:tc>
        <w:tc>
          <w:tcPr>
            <w:tcW w:type="dxa" w:w="3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15.11.2010</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Gemeinde</w:t>
            </w:r>
          </w:p>
        </w:tc>
        <w:tc>
          <w:tcPr>
            <w:tcW w:type="dxa" w:w="41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S. 1, Kopfzeile</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Olten SO</w:t>
            </w:r>
          </w:p>
        </w:tc>
      </w:tr>
      <w:tr>
        <w:tc>
          <w:tcPr>
            <w:tcW w:type="dxa" w:w="22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Vertragspartner</w:t>
            </w:r>
          </w:p>
        </w:tc>
        <w:tc>
          <w:tcPr>
            <w:tcW w:type="dxa" w:w="414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S. 1, Parteienbezeichnung</w:t>
            </w:r>
          </w:p>
        </w:tc>
        <w:tc>
          <w:tcPr>
            <w:tcW w:type="dxa" w:w="3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Kanton Solothurn, 4509 Solothurn</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Periodische Einnahmen</w:t>
            </w:r>
          </w:p>
        </w:tc>
        <w:tc>
          <w:tcPr>
            <w:tcW w:type="dxa" w:w="41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Ziff. 4 «Vergütung»</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CHF 2'320 + MWST (einmalig)</w:t>
            </w:r>
          </w:p>
        </w:tc>
      </w:tr>
    </w:tbl>
    <w:p>
      <w:pPr>
        <w:pStyle w:val="Heading2"/>
      </w:pPr>
      <w:r>
        <w:t xml:space="preserve">1.2 Vereinbarungsformular mit Deckblatt — Vorgehen Schritt für Schritt</w:t>
      </w:r>
    </w:p>
    <w:p>
      <w:pPr>
        <w:spacing w:after="80" w:line="264"/>
      </w:pPr>
      <w:r>
        <w:rPr>
          <w:b/>
          <w:bCs/>
          <w:sz w:val="21"/>
          <w:szCs w:val="21"/>
        </w:rPr>
        <w:t xml:space="preserve">1. Zuerst das Deckblatt S. 1 (ContrAct-Box). </w:t>
      </w:r>
      <w:r>
        <w:rPr>
          <w:sz w:val="21"/>
          <w:szCs w:val="21"/>
        </w:rPr>
        <w:t xml:space="preserve">Es liefert Vertrag-Nr. (oft handschr.), SBB-Strecke, km, Partner, «In Kraft»-Datum und Gemeinde.</w:t>
      </w:r>
    </w:p>
    <w:p>
      <w:pPr>
        <w:spacing w:after="80" w:line="264"/>
      </w:pPr>
      <w:r>
        <w:rPr>
          <w:b/>
          <w:bCs/>
          <w:sz w:val="21"/>
          <w:szCs w:val="21"/>
        </w:rPr>
        <w:t xml:space="preserve">2. Vereinbarungstext: Ziff. 1 «Gegenstand» </w:t>
      </w:r>
      <w:r>
        <w:rPr>
          <w:sz w:val="21"/>
          <w:szCs w:val="21"/>
        </w:rPr>
        <w:t xml:space="preserve">→ Anlage; weitere Ziffern → Beträge, Dauer, Kündigung.</w:t>
      </w:r>
    </w:p>
    <w:p>
      <w:pPr>
        <w:spacing w:after="80" w:line="264"/>
      </w:pPr>
      <w:r>
        <w:rPr>
          <w:b/>
          <w:bCs/>
          <w:sz w:val="21"/>
          <w:szCs w:val="21"/>
        </w:rPr>
        <w:t xml:space="preserve">3. Achtung km: </w:t>
      </w:r>
      <w:r>
        <w:rPr>
          <w:sz w:val="21"/>
          <w:szCs w:val="21"/>
        </w:rPr>
        <w:t xml:space="preserve">Der Bahn-km kann auf dem Deckblatt fehlen und nur im Situationsplan (Beilage) stehen → ⚠️ mit Quelle «Situationsplan».</w:t>
      </w:r>
    </w:p>
    <w:p>
      <w:pPr>
        <w:spacing w:after="60" w:before="60"/>
      </w:pPr>
      <w:r>
        <w:rPr>
          <w:b/>
          <w:bCs/>
          <w:i/>
          <w:iCs/>
          <w:color w:val="555555"/>
          <w:sz w:val="18"/>
          <w:szCs w:val="18"/>
        </w:rPr>
        <w:t xml:space="preserve">Tabelle 1.2 — Typische Fundstellen (Beispiel Doc 5: Verkehrsspiegel St. Fiden, 1995)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146"/>
        <w:gridCol w:w="3400"/>
      </w:tblGrid>
      <w:tr>
        <w:trPr>
          <w:tblHeader/>
        </w:trPr>
        <w:tc>
          <w:tcPr>
            <w:tcW w:type="dxa" w:w="22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Feld</w:t>
            </w:r>
          </w:p>
        </w:tc>
        <w:tc>
          <w:tcPr>
            <w:tcW w:type="dxa" w:w="4146"/>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Fundstelle im Deckblatt-Formular</w:t>
            </w:r>
          </w:p>
        </w:tc>
        <w:tc>
          <w:tcPr>
            <w:tcW w:type="dxa" w:w="34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Beispiel Doc 5</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Vertragsnummer</w:t>
            </w:r>
          </w:p>
        </w:tc>
        <w:tc>
          <w:tcPr>
            <w:tcW w:type="dxa" w:w="41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Deckblatt, ContrAct-Box</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0500-1995-0005</w:t>
            </w:r>
          </w:p>
        </w:tc>
      </w:tr>
      <w:tr>
        <w:tc>
          <w:tcPr>
            <w:tcW w:type="dxa" w:w="22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Anlage</w:t>
            </w:r>
          </w:p>
        </w:tc>
        <w:tc>
          <w:tcPr>
            <w:tcW w:type="dxa" w:w="414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Ziff. 1 «Gegenstand»</w:t>
            </w:r>
          </w:p>
        </w:tc>
        <w:tc>
          <w:tcPr>
            <w:tcW w:type="dxa" w:w="3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Beheizter Verkehrsspiegel, Stützmauer Bachstrasse</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Bahnlinie</w:t>
            </w:r>
          </w:p>
        </w:tc>
        <w:tc>
          <w:tcPr>
            <w:tcW w:type="dxa" w:w="41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Deckblatt (SBB-Strecke)</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St. Gallen St. Fiden – St. Gallen</w:t>
            </w:r>
          </w:p>
        </w:tc>
      </w:tr>
      <w:tr>
        <w:tc>
          <w:tcPr>
            <w:tcW w:type="dxa" w:w="22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km von / bis</w:t>
            </w:r>
          </w:p>
        </w:tc>
        <w:tc>
          <w:tcPr>
            <w:tcW w:type="dxa" w:w="414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Deckblatt (Bahn-km)</w:t>
            </w:r>
          </w:p>
        </w:tc>
        <w:tc>
          <w:tcPr>
            <w:tcW w:type="dxa" w:w="3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78.527 (Punktobjekt)</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Vertragsbeginn</w:t>
            </w:r>
          </w:p>
        </w:tc>
        <w:tc>
          <w:tcPr>
            <w:tcW w:type="dxa" w:w="41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Deckblatt («In Kraft»)</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01.07.1995</w:t>
            </w:r>
          </w:p>
        </w:tc>
      </w:tr>
      <w:tr>
        <w:tc>
          <w:tcPr>
            <w:tcW w:type="dxa" w:w="22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Vertragsende</w:t>
            </w:r>
          </w:p>
        </w:tc>
        <w:tc>
          <w:tcPr>
            <w:tcW w:type="dxa" w:w="414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Ziff. 3 «Hinfall»</w:t>
            </w:r>
          </w:p>
        </w:tc>
        <w:tc>
          <w:tcPr>
            <w:tcW w:type="dxa" w:w="3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unbestimmt; Kündigung 1 Monat</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Periodische Einnahmen</w:t>
            </w:r>
          </w:p>
        </w:tc>
        <w:tc>
          <w:tcPr>
            <w:tcW w:type="dxa" w:w="41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Ziff. 9 + Ziff. 1</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Fr. 210.– p.a. (Energiepauschale)</w:t>
            </w:r>
          </w:p>
        </w:tc>
      </w:tr>
    </w:tbl>
    <w:p>
      <w:pPr>
        <w:pStyle w:val="Heading2"/>
      </w:pPr>
      <w:r>
        <w:t xml:space="preserve">1.3 Fliesstext-Vertrag (alt) — Vorgehen Schritt für Schritt</w:t>
      </w:r>
    </w:p>
    <w:p>
      <w:pPr>
        <w:spacing w:after="80" w:line="264"/>
      </w:pPr>
      <w:r>
        <w:rPr>
          <w:b/>
          <w:bCs/>
          <w:sz w:val="21"/>
          <w:szCs w:val="21"/>
        </w:rPr>
        <w:t xml:space="preserve">1. ContrAct-Nr. handschriftlich oben in der Ecke </w:t>
      </w:r>
      <w:r>
        <w:rPr>
          <w:sz w:val="21"/>
          <w:szCs w:val="21"/>
        </w:rPr>
        <w:t xml:space="preserve">(oben rechts/links) → ⚠️ «handschr.» — oder ❌, wenn es sich um eine Beilage ohne eigene Nummer handelt.</w:t>
      </w:r>
    </w:p>
    <w:p>
      <w:pPr>
        <w:spacing w:after="80" w:line="264"/>
      </w:pPr>
      <w:r>
        <w:rPr>
          <w:b/>
          <w:bCs/>
          <w:sz w:val="21"/>
          <w:szCs w:val="21"/>
        </w:rPr>
        <w:t xml:space="preserve">2. Titel und Art. 1 «Gegenstand» </w:t>
      </w:r>
      <w:r>
        <w:rPr>
          <w:sz w:val="21"/>
          <w:szCs w:val="21"/>
        </w:rPr>
        <w:t xml:space="preserve">→ Anlage und Vertragstyp.</w:t>
      </w:r>
    </w:p>
    <w:p>
      <w:pPr>
        <w:spacing w:after="80" w:line="264"/>
      </w:pPr>
      <w:r>
        <w:rPr>
          <w:b/>
          <w:bCs/>
          <w:sz w:val="21"/>
          <w:szCs w:val="21"/>
        </w:rPr>
        <w:t xml:space="preserve">3. Bahnlinie / km </w:t>
      </w:r>
      <w:r>
        <w:rPr>
          <w:sz w:val="21"/>
          <w:szCs w:val="21"/>
        </w:rPr>
        <w:t xml:space="preserve">aus Art. 1 oder Titel; fehlt häufig oder steht nur im Situationsplan → ⚠️ / ❌.</w:t>
      </w:r>
    </w:p>
    <w:p>
      <w:pPr>
        <w:spacing w:after="80" w:line="264"/>
      </w:pPr>
      <w:r>
        <w:rPr>
          <w:b/>
          <w:bCs/>
          <w:sz w:val="21"/>
          <w:szCs w:val="21"/>
        </w:rPr>
        <w:t xml:space="preserve">4. Unterschriftenblock am Ende </w:t>
      </w:r>
      <w:r>
        <w:rPr>
          <w:sz w:val="21"/>
          <w:szCs w:val="21"/>
        </w:rPr>
        <w:t xml:space="preserve">→ Vertragsbeginn; bei mehreren Daten das früheste, ⚠️.</w:t>
      </w:r>
    </w:p>
    <w:p>
      <w:pPr>
        <w:spacing w:after="80" w:line="264"/>
      </w:pPr>
      <w:r>
        <w:rPr>
          <w:b/>
          <w:bCs/>
          <w:sz w:val="21"/>
          <w:szCs w:val="21"/>
        </w:rPr>
        <w:t xml:space="preserve">5. Letzter Artikel </w:t>
      </w:r>
      <w:r>
        <w:rPr>
          <w:sz w:val="21"/>
          <w:szCs w:val="21"/>
        </w:rPr>
        <w:t xml:space="preserve">→ Kündigung / Dauer (häufig «nicht angegeben» → ❌).</w:t>
      </w:r>
    </w:p>
    <w:p>
      <w:pPr>
        <w:spacing w:after="80" w:line="264"/>
      </w:pPr>
      <w:r>
        <w:rPr>
          <w:b/>
          <w:bCs/>
          <w:sz w:val="21"/>
          <w:szCs w:val="21"/>
        </w:rPr>
        <w:t xml:space="preserve">6. Unterhalts- / Vergütungsartikel </w:t>
      </w:r>
      <w:r>
        <w:rPr>
          <w:sz w:val="21"/>
          <w:szCs w:val="21"/>
        </w:rPr>
        <w:t xml:space="preserve">→ Ausgaben; oft nur qualitative Unterhaltspflicht ohne CHF → ⚠️ «kein CHF-Betrag».</w:t>
      </w:r>
    </w:p>
    <w:p>
      <w:pPr>
        <w:spacing w:after="60" w:before="60"/>
      </w:pPr>
      <w:r>
        <w:rPr>
          <w:b/>
          <w:bCs/>
          <w:i/>
          <w:iCs/>
          <w:color w:val="555555"/>
          <w:sz w:val="18"/>
          <w:szCs w:val="18"/>
        </w:rPr>
        <w:t xml:space="preserve">Tabelle 1.3 — Typische Fundstellen (Beispiele Doc 3: Haltestelle Henau 1926; Doc 10: Strassenunterführung Othmarsingen 1970)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146"/>
        <w:gridCol w:w="3400"/>
      </w:tblGrid>
      <w:tr>
        <w:trPr>
          <w:tblHeader/>
        </w:trPr>
        <w:tc>
          <w:tcPr>
            <w:tcW w:type="dxa" w:w="22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Feld</w:t>
            </w:r>
          </w:p>
        </w:tc>
        <w:tc>
          <w:tcPr>
            <w:tcW w:type="dxa" w:w="4146"/>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Fundstelle im Fliesstext-Vertrag</w:t>
            </w:r>
          </w:p>
        </w:tc>
        <w:tc>
          <w:tcPr>
            <w:tcW w:type="dxa" w:w="34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Beispiel</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Vertragsnummer</w:t>
            </w:r>
          </w:p>
        </w:tc>
        <w:tc>
          <w:tcPr>
            <w:tcW w:type="dxa" w:w="41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S. 1, oben (handschr.)</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3: 0400-1926-0003</w:t>
            </w:r>
          </w:p>
        </w:tc>
      </w:tr>
      <w:tr>
        <w:tc>
          <w:tcPr>
            <w:tcW w:type="dxa" w:w="22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Anlage</w:t>
            </w:r>
          </w:p>
        </w:tc>
        <w:tc>
          <w:tcPr>
            <w:tcW w:type="dxa" w:w="414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S. 1, Titel</w:t>
            </w:r>
          </w:p>
        </w:tc>
        <w:tc>
          <w:tcPr>
            <w:tcW w:type="dxa" w:w="3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3: Haltestelle Algetshausen-Henau</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Bahnlinie</w:t>
            </w:r>
          </w:p>
        </w:tc>
        <w:tc>
          <w:tcPr>
            <w:tcW w:type="dxa" w:w="41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Art. 1</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3: Linie St. Gallen – Winterthur</w:t>
            </w:r>
          </w:p>
        </w:tc>
      </w:tr>
      <w:tr>
        <w:tc>
          <w:tcPr>
            <w:tcW w:type="dxa" w:w="22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km</w:t>
            </w:r>
          </w:p>
        </w:tc>
        <w:tc>
          <w:tcPr>
            <w:tcW w:type="dxa" w:w="414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Art. 1</w:t>
            </w:r>
          </w:p>
        </w:tc>
        <w:tc>
          <w:tcPr>
            <w:tcW w:type="dxa" w:w="3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3: km 103.4 (Punktobjekt)</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Vertragsbeginn</w:t>
            </w:r>
          </w:p>
        </w:tc>
        <w:tc>
          <w:tcPr>
            <w:tcW w:type="dxa" w:w="41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S. 1, Datum</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3: 15.09.1926</w:t>
            </w:r>
          </w:p>
        </w:tc>
      </w:tr>
      <w:tr>
        <w:tc>
          <w:tcPr>
            <w:tcW w:type="dxa" w:w="22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Vertragsende</w:t>
            </w:r>
          </w:p>
        </w:tc>
        <w:tc>
          <w:tcPr>
            <w:tcW w:type="dxa" w:w="414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Letzter Artikel (Kündigung)</w:t>
            </w:r>
          </w:p>
        </w:tc>
        <w:tc>
          <w:tcPr>
            <w:tcW w:type="dxa" w:w="3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3: 4 Monate auf Fahrplanperiode (Art. 7)</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Periodische Ausgaben (qualitativ)</w:t>
            </w:r>
          </w:p>
        </w:tc>
        <w:tc>
          <w:tcPr>
            <w:tcW w:type="dxa" w:w="41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Unterhaltsartikel</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10: Unterhalt Unterführungsbauwerk (kein CHF)</w:t>
            </w:r>
          </w:p>
        </w:tc>
      </w:tr>
    </w:tbl>
    <w:p>
      <w:pPr>
        <w:pStyle w:val="Heading1"/>
        <w:pBdr>
          <w:bottom w:val="single" w:color="C00000" w:sz="6" w:space="6"/>
        </w:pBdr>
      </w:pPr>
      <w:r>
        <w:t xml:space="preserve">2. Entscheidungslogik pro Feld</w:t>
      </w:r>
    </w:p>
    <w:p>
      <w:pPr>
        <w:spacing w:after="140" w:line="264"/>
      </w:pPr>
      <w:r>
        <w:rPr>
          <w:b w:val="false"/>
          <w:bCs w:val="false"/>
          <w:i w:val="false"/>
          <w:iCs w:val="false"/>
          <w:sz w:val="21"/>
          <w:szCs w:val="21"/>
        </w:rPr>
        <w:t xml:space="preserve">Für jedes der 13 Felder gilt eine Quellenhierarchie (Primärquelle, dann Ausweichquelle) und eine Regel zur Vergabe des Qualitätskennzeichens. Tabelle 2 zeigt zuerst, wo die KI sucht; Tabelle 3 zeigt, wann ✅, ⚠️ oder ❌ vergeben wird — jeweils mit Beispiel aus den 16 Verträgen.</w:t>
      </w:r>
    </w:p>
    <w:p>
      <w:pPr>
        <w:pStyle w:val="Heading2"/>
      </w:pPr>
      <w:r>
        <w:t xml:space="preserve">2.1 Quellenhierarchie je Feld</w:t>
      </w:r>
    </w:p>
    <w:p>
      <w:pPr>
        <w:spacing w:after="60" w:before="60"/>
      </w:pPr>
      <w:r>
        <w:rPr>
          <w:b/>
          <w:bCs/>
          <w:i/>
          <w:iCs/>
          <w:color w:val="555555"/>
          <w:sz w:val="18"/>
          <w:szCs w:val="18"/>
        </w:rPr>
        <w:t xml:space="preserve">Tabelle 2 — Primär- und Ausweichquelle je Feld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403"/>
        <w:gridCol w:w="3403"/>
        <w:gridCol w:w="1040"/>
      </w:tblGrid>
      <w:tr>
        <w:trPr>
          <w:tblHeader/>
        </w:trPr>
        <w:tc>
          <w:tcPr>
            <w:tcW w:type="dxa" w:w="19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Feld</w:t>
            </w:r>
          </w:p>
        </w:tc>
        <w:tc>
          <w:tcPr>
            <w:tcW w:type="dxa" w:w="3403"/>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Primärquelle</w:t>
            </w:r>
          </w:p>
        </w:tc>
        <w:tc>
          <w:tcPr>
            <w:tcW w:type="dxa" w:w="3403"/>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Ausweichquelle</w:t>
            </w:r>
          </w:p>
        </w:tc>
        <w:tc>
          <w:tcPr>
            <w:tcW w:type="dxa" w:w="104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Pflicht</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1 Vertragsnummer</w:t>
            </w:r>
          </w:p>
        </w:tc>
        <w:tc>
          <w:tcPr>
            <w:tcW w:type="dxa" w:w="3403"/>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Deckblatt ContrAct-Box / Kopfzeile S. 1</w:t>
            </w:r>
          </w:p>
        </w:tc>
        <w:tc>
          <w:tcPr>
            <w:tcW w:type="dxa" w:w="3403"/>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handschr. oben in der Ecke; alte Systemnummer; Vorgängervertrag</w:t>
            </w:r>
          </w:p>
        </w:tc>
        <w:tc>
          <w:tcPr>
            <w:tcW w:type="dxa" w:w="10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Ja*</w:t>
            </w:r>
          </w:p>
        </w:tc>
      </w:tr>
      <w:tr>
        <w:tc>
          <w:tcPr>
            <w:tcW w:type="dxa" w:w="19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2 Vertragstyp</w:t>
            </w:r>
          </w:p>
        </w:tc>
        <w:tc>
          <w:tcPr>
            <w:tcW w:type="dxa" w:w="3403"/>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inhaltlich abgeleitet (nie explizit)</w:t>
            </w:r>
          </w:p>
        </w:tc>
        <w:tc>
          <w:tcPr>
            <w:tcW w:type="dxa" w:w="3403"/>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Titel + Art. 1 / Ziff. 1; Taxonomie (Abschnitt 3)</w:t>
            </w:r>
          </w:p>
        </w:tc>
        <w:tc>
          <w:tcPr>
            <w:tcW w:type="dxa" w:w="10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Ja</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3 Anlage</w:t>
            </w:r>
          </w:p>
        </w:tc>
        <w:tc>
          <w:tcPr>
            <w:tcW w:type="dxa" w:w="3403"/>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Titel / Ziff. 1 / Art. 1 «Gegenstand»</w:t>
            </w:r>
          </w:p>
        </w:tc>
        <w:tc>
          <w:tcPr>
            <w:tcW w:type="dxa" w:w="3403"/>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Deckblatt</w:t>
            </w:r>
          </w:p>
        </w:tc>
        <w:tc>
          <w:tcPr>
            <w:tcW w:type="dxa" w:w="10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Ja</w:t>
            </w:r>
          </w:p>
        </w:tc>
      </w:tr>
      <w:tr>
        <w:tc>
          <w:tcPr>
            <w:tcW w:type="dxa" w:w="19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4 Bahnlinie</w:t>
            </w:r>
          </w:p>
        </w:tc>
        <w:tc>
          <w:tcPr>
            <w:tcW w:type="dxa" w:w="3403"/>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Kopfzeile S. 1 (DfA-Strecke)</w:t>
            </w:r>
          </w:p>
        </w:tc>
        <w:tc>
          <w:tcPr>
            <w:tcW w:type="dxa" w:w="3403"/>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Art. 1; Paralleldokument; Deckblatt-Stempel</w:t>
            </w:r>
          </w:p>
        </w:tc>
        <w:tc>
          <w:tcPr>
            <w:tcW w:type="dxa" w:w="10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Nein</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5 km von</w:t>
            </w:r>
          </w:p>
        </w:tc>
        <w:tc>
          <w:tcPr>
            <w:tcW w:type="dxa" w:w="3403"/>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Kopfzeile S. 1 (Bahn-km)</w:t>
            </w:r>
          </w:p>
        </w:tc>
        <w:tc>
          <w:tcPr>
            <w:tcW w:type="dxa" w:w="3403"/>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Titel / Art. 1; Situationsplan (Beilage)</w:t>
            </w:r>
          </w:p>
        </w:tc>
        <w:tc>
          <w:tcPr>
            <w:tcW w:type="dxa" w:w="10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Nein</w:t>
            </w:r>
          </w:p>
        </w:tc>
      </w:tr>
      <w:tr>
        <w:tc>
          <w:tcPr>
            <w:tcW w:type="dxa" w:w="19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6 km bis</w:t>
            </w:r>
          </w:p>
        </w:tc>
        <w:tc>
          <w:tcPr>
            <w:tcW w:type="dxa" w:w="3403"/>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wie km von</w:t>
            </w:r>
          </w:p>
        </w:tc>
        <w:tc>
          <w:tcPr>
            <w:tcW w:type="dxa" w:w="3403"/>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wie km von; = km von bei Punktobjekt</w:t>
            </w:r>
          </w:p>
        </w:tc>
        <w:tc>
          <w:tcPr>
            <w:tcW w:type="dxa" w:w="10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Nein</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7 Vertragspartner</w:t>
            </w:r>
          </w:p>
        </w:tc>
        <w:tc>
          <w:tcPr>
            <w:tcW w:type="dxa" w:w="3403"/>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S. 1, Parteienbezeichnung</w:t>
            </w:r>
          </w:p>
        </w:tc>
        <w:tc>
          <w:tcPr>
            <w:tcW w:type="dxa" w:w="3403"/>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Unterschriftenblock</w:t>
            </w:r>
          </w:p>
        </w:tc>
        <w:tc>
          <w:tcPr>
            <w:tcW w:type="dxa" w:w="10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Ja</w:t>
            </w:r>
          </w:p>
        </w:tc>
      </w:tr>
      <w:tr>
        <w:tc>
          <w:tcPr>
            <w:tcW w:type="dxa" w:w="19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8 Vertragsbeginn</w:t>
            </w:r>
          </w:p>
        </w:tc>
        <w:tc>
          <w:tcPr>
            <w:tcW w:type="dxa" w:w="3403"/>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Kopfzeile «gültig ab» / «In Kraft»</w:t>
            </w:r>
          </w:p>
        </w:tc>
        <w:tc>
          <w:tcPr>
            <w:tcW w:type="dxa" w:w="3403"/>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Unterschriftsdatum (frühestes)</w:t>
            </w:r>
          </w:p>
        </w:tc>
        <w:tc>
          <w:tcPr>
            <w:tcW w:type="dxa" w:w="10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Ja</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9 Vertragsende</w:t>
            </w:r>
          </w:p>
        </w:tc>
        <w:tc>
          <w:tcPr>
            <w:tcW w:type="dxa" w:w="3403"/>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letzter Art. / «Vertragsdauer / Hinfall / Kündigung»</w:t>
            </w:r>
          </w:p>
        </w:tc>
        <w:tc>
          <w:tcPr>
            <w:tcW w:type="dxa" w:w="3403"/>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w:t>
            </w:r>
          </w:p>
        </w:tc>
        <w:tc>
          <w:tcPr>
            <w:tcW w:type="dxa" w:w="10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Nein</w:t>
            </w:r>
          </w:p>
        </w:tc>
      </w:tr>
      <w:tr>
        <w:tc>
          <w:tcPr>
            <w:tcW w:type="dxa" w:w="19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10 Periodische Einnahmen</w:t>
            </w:r>
          </w:p>
        </w:tc>
        <w:tc>
          <w:tcPr>
            <w:tcW w:type="dxa" w:w="3403"/>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Art. «Vergütung / Entschädigung / Zahlungen»</w:t>
            </w:r>
          </w:p>
        </w:tc>
        <w:tc>
          <w:tcPr>
            <w:tcW w:type="dxa" w:w="3403"/>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Nachträge; Beilagen</w:t>
            </w:r>
          </w:p>
        </w:tc>
        <w:tc>
          <w:tcPr>
            <w:tcW w:type="dxa" w:w="10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Nein</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11 Periodische Ausgaben</w:t>
            </w:r>
          </w:p>
        </w:tc>
        <w:tc>
          <w:tcPr>
            <w:tcW w:type="dxa" w:w="3403"/>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Art. «Unterhalt / Vergütung / Kosten»</w:t>
            </w:r>
          </w:p>
        </w:tc>
        <w:tc>
          <w:tcPr>
            <w:tcW w:type="dxa" w:w="3403"/>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qualitative Unterhaltspflicht</w:t>
            </w:r>
          </w:p>
        </w:tc>
        <w:tc>
          <w:tcPr>
            <w:tcW w:type="dxa" w:w="10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Nein</w:t>
            </w:r>
          </w:p>
        </w:tc>
      </w:tr>
      <w:tr>
        <w:tc>
          <w:tcPr>
            <w:tcW w:type="dxa" w:w="19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12 Gemeinde</w:t>
            </w:r>
          </w:p>
        </w:tc>
        <w:tc>
          <w:tcPr>
            <w:tcW w:type="dxa" w:w="3403"/>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Parteienbezeichnung / Kopfzeile / Gegenstand</w:t>
            </w:r>
          </w:p>
        </w:tc>
        <w:tc>
          <w:tcPr>
            <w:tcW w:type="dxa" w:w="3403"/>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w:t>
            </w:r>
          </w:p>
        </w:tc>
        <w:tc>
          <w:tcPr>
            <w:tcW w:type="dxa" w:w="10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Ja</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13 Quellenangaben</w:t>
            </w:r>
          </w:p>
        </w:tc>
        <w:tc>
          <w:tcPr>
            <w:tcW w:type="dxa" w:w="3403"/>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Aggregation aller Feld-Fundstellen</w:t>
            </w:r>
          </w:p>
        </w:tc>
        <w:tc>
          <w:tcPr>
            <w:tcW w:type="dxa" w:w="3403"/>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w:t>
            </w:r>
          </w:p>
        </w:tc>
        <w:tc>
          <w:tcPr>
            <w:tcW w:type="dxa" w:w="10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Ja</w:t>
            </w:r>
          </w:p>
        </w:tc>
      </w:tr>
    </w:tbl>
    <w:p>
      <w:pPr>
        <w:spacing w:after="140" w:line="264"/>
      </w:pPr>
      <w:r>
        <w:rPr>
          <w:b w:val="false"/>
          <w:bCs w:val="false"/>
          <w:i w:val="false"/>
          <w:iCs w:val="false"/>
          <w:color w:val="555555"/>
          <w:sz w:val="18"/>
          <w:szCs w:val="18"/>
        </w:rPr>
        <w:t xml:space="preserve">* Pflicht, sofern eine Vertragsnummer im Dokument vorhanden ist. Bei Beilagen ohne eigene Nummer wird ❌ mit Verweis auf den Hauptvertrag gesetzt.</w:t>
      </w:r>
    </w:p>
    <w:p>
      <w:pPr>
        <w:pStyle w:val="Heading2"/>
      </w:pPr>
      <w:r>
        <w:t xml:space="preserve">2.2 Vergabe des Qualitätskennzeichens je Feld</w:t>
      </w:r>
    </w:p>
    <w:p>
      <w:pPr>
        <w:spacing w:after="60" w:before="60"/>
      </w:pPr>
      <w:r>
        <w:rPr>
          <w:b/>
          <w:bCs/>
          <w:i/>
          <w:iCs/>
          <w:color w:val="555555"/>
          <w:sz w:val="18"/>
          <w:szCs w:val="18"/>
        </w:rPr>
        <w:t xml:space="preserve">Tabelle 3 — Wann ✅ / ⚠️ / ❌ vergeben wird, mit Beispielen aus Doc 1–16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46"/>
        <w:gridCol w:w="2050"/>
        <w:gridCol w:w="2050"/>
        <w:gridCol w:w="2050"/>
        <w:gridCol w:w="2050"/>
      </w:tblGrid>
      <w:tr>
        <w:trPr>
          <w:tblHeader/>
        </w:trPr>
        <w:tc>
          <w:tcPr>
            <w:tcW w:type="dxa" w:w="1546"/>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Feld</w:t>
            </w:r>
          </w:p>
        </w:tc>
        <w:tc>
          <w:tcPr>
            <w:tcW w:type="dxa" w:w="205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 eindeutig wenn</w:t>
            </w:r>
          </w:p>
        </w:tc>
        <w:tc>
          <w:tcPr>
            <w:tcW w:type="dxa" w:w="205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 abgeleitet wenn</w:t>
            </w:r>
          </w:p>
        </w:tc>
        <w:tc>
          <w:tcPr>
            <w:tcW w:type="dxa" w:w="205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 fehlend / n.a. wenn</w:t>
            </w:r>
          </w:p>
        </w:tc>
        <w:tc>
          <w:tcPr>
            <w:tcW w:type="dxa" w:w="205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Beispiel aus den 16</w:t>
            </w:r>
          </w:p>
        </w:tc>
      </w:tr>
      <w:tr>
        <w:tc>
          <w:tcPr>
            <w:tcW w:type="dxa" w:w="15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1 Vertragsnummer</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Nr. explizit in ContrAct-Box / Kopfzeile lesbar</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handschriftlich, aber lesbar; mehrere Nrn.</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keine Nr. im Dok. (Beilage / Vorgänger referenziert)</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 Doc 2 (0400-2010-0080)</w:t>
            </w:r>
          </w:p>
          <w:p>
            <w:pPr>
              <w:spacing w:after="0" w:line="240"/>
            </w:pPr>
            <w:r>
              <w:rPr>
                <w:b w:val="false"/>
                <w:bCs w:val="false"/>
                <w:sz w:val="18"/>
                <w:szCs w:val="18"/>
              </w:rPr>
              <w:t xml:space="preserve">⚠️ Doc 12 (3 Nrn.)</w:t>
            </w:r>
          </w:p>
          <w:p>
            <w:pPr>
              <w:spacing w:after="0" w:line="240"/>
            </w:pPr>
            <w:r>
              <w:rPr>
                <w:b w:val="false"/>
                <w:bCs w:val="false"/>
                <w:sz w:val="18"/>
                <w:szCs w:val="18"/>
              </w:rPr>
              <w:t xml:space="preserve">❌ Doc 13 (Vorgänger 87220.116.001); Doc 14/15 (Beilage)</w:t>
            </w:r>
          </w:p>
        </w:tc>
      </w:tr>
      <w:tr>
        <w:tc>
          <w:tcPr>
            <w:tcW w:type="dxa" w:w="154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2 Vertragstyp</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praktisch nie — Typ steht nie explizit</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aus Titel / Inhalt erschlossen (Normalfall)</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 (ein Typ ist immer ableitbar)</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 alle 16; z. B. Doc 10 → Kreuzungsbauwerk (Brücke)</w:t>
            </w:r>
          </w:p>
        </w:tc>
      </w:tr>
      <w:tr>
        <w:tc>
          <w:tcPr>
            <w:tcW w:type="dxa" w:w="15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3 Anlage</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Objekt klar im Titel / Gegenstand</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nur sinngemäss umschrieben</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 Doc 5 (Verkehrsspiegel, Ziff. 1)</w:t>
            </w:r>
          </w:p>
        </w:tc>
      </w:tr>
      <w:tr>
        <w:tc>
          <w:tcPr>
            <w:tcW w:type="dxa" w:w="154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4 Bahnlinie</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DfA-Strecke im Kopf</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aus Paralleldok. / Stempel / Kreis erschlossen</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nicht im Dok.; n.a. bei Immobilienobjekt</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 Doc 2 (Strecke 410)</w:t>
            </w:r>
          </w:p>
          <w:p>
            <w:pPr>
              <w:spacing w:after="0" w:line="240"/>
            </w:pPr>
            <w:r>
              <w:rPr>
                <w:b w:val="false"/>
                <w:bCs w:val="false"/>
                <w:sz w:val="18"/>
                <w:szCs w:val="18"/>
              </w:rPr>
              <w:t xml:space="preserve">⚠️ Doc 1 (Paralleldok.), Doc 6 (Stempel «Strecke 24»), Doc 9 («SBB-Kreis II»)</w:t>
            </w:r>
          </w:p>
          <w:p>
            <w:pPr>
              <w:spacing w:after="0" w:line="240"/>
            </w:pPr>
            <w:r>
              <w:rPr>
                <w:b w:val="false"/>
                <w:bCs w:val="false"/>
                <w:sz w:val="18"/>
                <w:szCs w:val="18"/>
              </w:rPr>
              <w:t xml:space="preserve">❌ Doc 7, Doc 11</w:t>
            </w:r>
          </w:p>
        </w:tc>
      </w:tr>
      <w:tr>
        <w:tc>
          <w:tcPr>
            <w:tcW w:type="dxa" w:w="15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5/6 km von/bis</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Bahn-km im Kopf / Titel</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nur aus Situationsplan / Beilage</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nicht im Dok.; n.a. (Seitengeleise)</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 Doc 2 (40.585–40.795); Doc 10 (7.108, Punkt)</w:t>
            </w:r>
          </w:p>
          <w:p>
            <w:pPr>
              <w:spacing w:after="0" w:line="240"/>
            </w:pPr>
            <w:r>
              <w:rPr>
                <w:b w:val="false"/>
                <w:bCs w:val="false"/>
                <w:sz w:val="18"/>
                <w:szCs w:val="18"/>
              </w:rPr>
              <w:t xml:space="preserve">⚠️ Doc 1 (Situationsplan S. 5)</w:t>
            </w:r>
          </w:p>
          <w:p>
            <w:pPr>
              <w:spacing w:after="0" w:line="240"/>
            </w:pPr>
            <w:r>
              <w:rPr>
                <w:b w:val="false"/>
                <w:bCs w:val="false"/>
                <w:sz w:val="18"/>
                <w:szCs w:val="18"/>
              </w:rPr>
              <w:t xml:space="preserve">❌ Doc 6 (Seitengeleise), Doc 7</w:t>
            </w:r>
          </w:p>
        </w:tc>
      </w:tr>
      <w:tr>
        <w:tc>
          <w:tcPr>
            <w:tcW w:type="dxa" w:w="154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7 Vertragspartner</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Partei klar auf S. 1</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mehrere Parteien (1:n) erkannt</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Gegenpartei immer vorhanden</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 Doc 2 (Kanton SO)</w:t>
            </w:r>
          </w:p>
          <w:p>
            <w:pPr>
              <w:spacing w:after="0" w:line="240"/>
            </w:pPr>
            <w:r>
              <w:rPr>
                <w:b w:val="false"/>
                <w:bCs w:val="false"/>
                <w:sz w:val="18"/>
                <w:szCs w:val="18"/>
              </w:rPr>
              <w:t xml:space="preserve">1:n Doc 15 (Gemeinde + PTT)</w:t>
            </w:r>
          </w:p>
        </w:tc>
      </w:tr>
      <w:tr>
        <w:tc>
          <w:tcPr>
            <w:tcW w:type="dxa" w:w="15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8 Vertragsbeginn</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«gültig ab» / «In Kraft» eindeutig</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mehrere Unterzeichnungsdaten → frühestes; rückwirkend</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unleserlich / nicht angegeben</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 Doc 2 (15.11.2010)</w:t>
            </w:r>
          </w:p>
          <w:p>
            <w:pPr>
              <w:spacing w:after="0" w:line="240"/>
            </w:pPr>
            <w:r>
              <w:rPr>
                <w:b w:val="false"/>
                <w:bCs w:val="false"/>
                <w:sz w:val="18"/>
                <w:szCs w:val="18"/>
              </w:rPr>
              <w:t xml:space="preserve">⚠️ Doc 14 (2 Daten → 23.05.1989), Doc 13 (rückwirkend)</w:t>
            </w:r>
          </w:p>
        </w:tc>
      </w:tr>
      <w:tr>
        <w:tc>
          <w:tcPr>
            <w:tcW w:type="dxa" w:w="154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9 Vertragsende</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Datum / Laufzeit / Kündigung explizit</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aus Kontext</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«nicht angegeben»</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 Doc 6 (bis 31.12.2026), Doc 3 (Kündigung Art. 7)</w:t>
            </w:r>
          </w:p>
          <w:p>
            <w:pPr>
              <w:spacing w:after="0" w:line="240"/>
            </w:pPr>
            <w:r>
              <w:rPr>
                <w:b w:val="false"/>
                <w:bCs w:val="false"/>
                <w:sz w:val="18"/>
                <w:szCs w:val="18"/>
              </w:rPr>
              <w:t xml:space="preserve">❌ Doc 1, 2, 9, 10</w:t>
            </w:r>
          </w:p>
        </w:tc>
      </w:tr>
      <w:tr>
        <w:tc>
          <w:tcPr>
            <w:tcW w:type="dxa" w:w="15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10 Einnahmen</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Betrag + Frequenz explizit</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einmalig / nutzungsabhängig gekennzeichnet</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keine Einnahme an SBB</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 Doc 5 (Fr. 210 p.a.)</w:t>
            </w:r>
          </w:p>
          <w:p>
            <w:pPr>
              <w:spacing w:after="0" w:line="240"/>
            </w:pPr>
            <w:r>
              <w:rPr>
                <w:b w:val="false"/>
                <w:bCs w:val="false"/>
                <w:sz w:val="18"/>
                <w:szCs w:val="18"/>
              </w:rPr>
              <w:t xml:space="preserve">⚠️ Doc 1/2 (einmalig), Doc 13 (CHF 1/Benutzung)</w:t>
            </w:r>
          </w:p>
          <w:p>
            <w:pPr>
              <w:spacing w:after="0" w:line="240"/>
            </w:pPr>
            <w:r>
              <w:rPr>
                <w:b w:val="false"/>
                <w:bCs w:val="false"/>
                <w:sz w:val="18"/>
                <w:szCs w:val="18"/>
              </w:rPr>
              <w:t xml:space="preserve">❌ Doc 3</w:t>
            </w:r>
          </w:p>
        </w:tc>
      </w:tr>
      <w:tr>
        <w:tc>
          <w:tcPr>
            <w:tcW w:type="dxa" w:w="154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11 Ausgaben</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Betrag + Frequenz explizit</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Unterhaltspflicht ohne CHF (qualitativ)</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keine Ausgabe der SBB</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 Doc 6 (Fr. 300 p.a.)</w:t>
            </w:r>
          </w:p>
          <w:p>
            <w:pPr>
              <w:spacing w:after="0" w:line="240"/>
            </w:pPr>
            <w:r>
              <w:rPr>
                <w:b w:val="false"/>
                <w:bCs w:val="false"/>
                <w:sz w:val="18"/>
                <w:szCs w:val="18"/>
              </w:rPr>
              <w:t xml:space="preserve">⚠️ Doc 9/10/11 (Unterhalt ohne CHF)</w:t>
            </w:r>
          </w:p>
          <w:p>
            <w:pPr>
              <w:spacing w:after="0" w:line="240"/>
            </w:pPr>
            <w:r>
              <w:rPr>
                <w:b w:val="false"/>
                <w:bCs w:val="false"/>
                <w:sz w:val="18"/>
                <w:szCs w:val="18"/>
              </w:rPr>
              <w:t xml:space="preserve">❌ Doc 2</w:t>
            </w:r>
          </w:p>
        </w:tc>
      </w:tr>
      <w:tr>
        <w:tc>
          <w:tcPr>
            <w:tcW w:type="dxa" w:w="154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12 Gemeinde</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Gemeinde + Kanton klar</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mehrere Gemeinden (1:n); abgeleitet</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immer vorhanden</w:t>
            </w:r>
          </w:p>
        </w:tc>
        <w:tc>
          <w:tcPr>
            <w:tcW w:type="dxa" w:w="205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 Doc 2 (Olten SO)</w:t>
            </w:r>
          </w:p>
          <w:p>
            <w:pPr>
              <w:spacing w:after="0" w:line="240"/>
            </w:pPr>
            <w:r>
              <w:rPr>
                <w:b w:val="false"/>
                <w:bCs w:val="false"/>
                <w:sz w:val="18"/>
                <w:szCs w:val="18"/>
              </w:rPr>
              <w:t xml:space="preserve">1:n Doc 8 (4 Gemeinden)</w:t>
            </w:r>
          </w:p>
        </w:tc>
      </w:tr>
      <w:tr>
        <w:tc>
          <w:tcPr>
            <w:tcW w:type="dxa" w:w="154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13 Quellenangaben</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Fundstelle je Feld vorhanden</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erschlossene Fundstelle gekennzeichnet</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Pflicht — nie leer</w:t>
            </w:r>
          </w:p>
        </w:tc>
        <w:tc>
          <w:tcPr>
            <w:tcW w:type="dxa" w:w="205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konsequent in allen 16 erfasst</w:t>
            </w:r>
          </w:p>
        </w:tc>
      </w:tr>
    </w:tbl>
    <w:p>
      <w:pPr>
        <w:pStyle w:val="Heading1"/>
        <w:pBdr>
          <w:bottom w:val="single" w:color="C00000" w:sz="6" w:space="6"/>
        </w:pBdr>
      </w:pPr>
      <w:r>
        <w:t xml:space="preserve">3. Klassifikationslogik Vertragstyp</w:t>
      </w:r>
    </w:p>
    <w:p>
      <w:pPr>
        <w:spacing w:after="140" w:line="264"/>
      </w:pPr>
      <w:r>
        <w:rPr>
          <w:b w:val="false"/>
          <w:bCs w:val="false"/>
          <w:i w:val="false"/>
          <w:iCs w:val="false"/>
          <w:sz w:val="21"/>
          <w:szCs w:val="21"/>
        </w:rPr>
        <w:t xml:space="preserve">Der Vertragstyp steht nie explizit im Dokument. Die KI leitet vier Ebenen aus Titel und Inhalt ab. Ebene 1 ist immer «Infrastrukturverträge» und wird mitgegeben, aber nicht eigens hergeleitet.</w:t>
      </w:r>
    </w:p>
    <w:p>
      <w:pPr>
        <w:pStyle w:val="Heading2"/>
      </w:pPr>
      <w:r>
        <w:t xml:space="preserve">3.1 Der Entscheidungsbaum im Überblick</w:t>
      </w:r>
    </w:p>
    <w:p>
      <w:pPr>
        <w:spacing w:after="80" w:line="264"/>
      </w:pPr>
      <w:r>
        <w:rPr>
          <w:b/>
          <w:bCs/>
          <w:sz w:val="21"/>
          <w:szCs w:val="21"/>
        </w:rPr>
        <w:t xml:space="preserve">Schritt 1 — Ebene 2: </w:t>
      </w:r>
      <w:r>
        <w:rPr>
          <w:sz w:val="21"/>
          <w:szCs w:val="21"/>
        </w:rPr>
        <w:t xml:space="preserve">Geht es um den Lebenszyklus einer Anlage (planen / bauen / betreiben / zurückbauen) → «Zusammenarbeit bei Anlagen». Oder geht es um die Nutzung von SBB-Grund bzw. um Bauten Dritter → «Grundstücknutzung»?</w:t>
      </w:r>
    </w:p>
    <w:p>
      <w:pPr>
        <w:spacing w:after="80" w:line="264"/>
      </w:pPr>
      <w:r>
        <w:rPr>
          <w:b/>
          <w:bCs/>
          <w:sz w:val="21"/>
          <w:szCs w:val="21"/>
        </w:rPr>
        <w:t xml:space="preserve">Schritt 2 (nur bei «Zusammenarbeit»): </w:t>
      </w:r>
      <w:r>
        <w:rPr>
          <w:sz w:val="21"/>
          <w:szCs w:val="21"/>
        </w:rPr>
        <w:t xml:space="preserve">Es werden ZWEI Dimensionen zugleich gewählt — Ebene 3 = Lebenszyklus-Phase (Vorstudie / Projektierung / Ausführung / Ausführung mit Betrieb+Unterhalt / Betrieb+Unterhalt) UND Ebene 4 = Objekt-/Werktyp.</w:t>
      </w:r>
    </w:p>
    <w:p>
      <w:pPr>
        <w:spacing w:after="80" w:line="264"/>
      </w:pPr>
      <w:r>
        <w:rPr>
          <w:b/>
          <w:bCs/>
          <w:sz w:val="21"/>
          <w:szCs w:val="21"/>
        </w:rPr>
        <w:t xml:space="preserve">Schritt 2 (bei «Grundstücknutzung»): </w:t>
      </w:r>
      <w:r>
        <w:rPr>
          <w:sz w:val="21"/>
          <w:szCs w:val="21"/>
        </w:rPr>
        <w:t xml:space="preserve">Ebene 3 = Nutzungsverträge oder Bauten Dritter; danach Ebene 4 aus der jeweiligen Unterliste.</w:t>
      </w:r>
    </w:p>
    <w:p>
      <w:pPr>
        <w:spacing w:after="60" w:before="60"/>
      </w:pPr>
      <w:r>
        <w:rPr>
          <w:b/>
          <w:bCs/>
          <w:i/>
          <w:iCs/>
          <w:color w:val="555555"/>
          <w:sz w:val="18"/>
          <w:szCs w:val="18"/>
        </w:rPr>
        <w:t xml:space="preserve">Tabelle 4 — Schritt 1: Ebene 2 bestimmen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6"/>
        <w:gridCol w:w="2400"/>
        <w:gridCol w:w="3140"/>
      </w:tblGrid>
      <w:tr>
        <w:trPr>
          <w:tblHeader/>
        </w:trPr>
        <w:tc>
          <w:tcPr>
            <w:tcW w:type="dxa" w:w="4206"/>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Leitfrage</w:t>
            </w:r>
          </w:p>
        </w:tc>
        <w:tc>
          <w:tcPr>
            <w:tcW w:type="dxa" w:w="24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Ebene 2</w:t>
            </w:r>
          </w:p>
        </w:tc>
        <w:tc>
          <w:tcPr>
            <w:tcW w:type="dxa" w:w="314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Beispiele aus den 16</w:t>
            </w:r>
          </w:p>
        </w:tc>
      </w:tr>
      <w:tr>
        <w:tc>
          <w:tcPr>
            <w:tcW w:type="dxa" w:w="42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Soll eine Anlage geplant, finanziert, gebaut, betrieben, unterhalten oder zurückgebaut werden?</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Zusammenarbeit bei Anlagen</w:t>
            </w:r>
          </w:p>
        </w:tc>
        <w:tc>
          <w:tcPr>
            <w:tcW w:type="dxa" w:w="31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3, 7, 8, 9, 10, 11, 13, 14, 15, 16</w:t>
            </w:r>
          </w:p>
        </w:tc>
      </w:tr>
      <w:tr>
        <w:tc>
          <w:tcPr>
            <w:tcW w:type="dxa" w:w="42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Geht es um die Nutzung von SBB-Grund durch Dritte oder um Bauten Dritter auf / an SBB-Areal?</w:t>
            </w:r>
          </w:p>
        </w:tc>
        <w:tc>
          <w:tcPr>
            <w:tcW w:type="dxa" w:w="2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Grundstücknutzung</w:t>
            </w:r>
          </w:p>
        </w:tc>
        <w:tc>
          <w:tcPr>
            <w:tcW w:type="dxa" w:w="31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1, 2 (Anker); Doc 4, 6 (Flächennutzung); Doc 5, 12 (Kleinbauten)</w:t>
            </w:r>
          </w:p>
        </w:tc>
      </w:tr>
    </w:tbl>
    <w:p>
      <w:pPr>
        <w:spacing w:after="60" w:before="60"/>
      </w:pPr>
      <w:r>
        <w:rPr>
          <w:b/>
          <w:bCs/>
          <w:i/>
          <w:iCs/>
          <w:color w:val="555555"/>
          <w:sz w:val="18"/>
          <w:szCs w:val="18"/>
        </w:rPr>
        <w:t xml:space="preserve">Tabelle 5 — Schritt 2: Ebene 3 (Lebenszyklus-Phase) bei «Zusammenarbeit bei Anlagen»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6"/>
        <w:gridCol w:w="1200"/>
        <w:gridCol w:w="2900"/>
        <w:gridCol w:w="3040"/>
      </w:tblGrid>
      <w:tr>
        <w:trPr>
          <w:tblHeader/>
        </w:trPr>
        <w:tc>
          <w:tcPr>
            <w:tcW w:type="dxa" w:w="2606"/>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Phase (Ebene 3)</w:t>
            </w:r>
          </w:p>
        </w:tc>
        <w:tc>
          <w:tcPr>
            <w:tcW w:type="dxa" w:w="12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Code</w:t>
            </w:r>
          </w:p>
        </w:tc>
        <w:tc>
          <w:tcPr>
            <w:tcW w:type="dxa" w:w="29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Erkennungsmerkmal</w:t>
            </w:r>
          </w:p>
        </w:tc>
        <w:tc>
          <w:tcPr>
            <w:tcW w:type="dxa" w:w="304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Beispiel aus den 16</w:t>
            </w:r>
          </w:p>
        </w:tc>
      </w:tr>
      <w:tr>
        <w:tc>
          <w:tcPr>
            <w:tcW w:type="dxa" w:w="26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Vorstudie</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Vertrag 1</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Finanzierung / Auftrag einer Studie</w:t>
            </w:r>
          </w:p>
        </w:tc>
        <w:tc>
          <w:tcPr>
            <w:tcW w:type="dxa" w:w="30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8 (Finanzierung Studie S-Bahn Bern)</w:t>
            </w:r>
          </w:p>
        </w:tc>
      </w:tr>
      <w:tr>
        <w:tc>
          <w:tcPr>
            <w:tcW w:type="dxa" w:w="26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Zusammenarbeitsgrundsätze und Projektierung</w:t>
            </w:r>
          </w:p>
        </w:tc>
        <w:tc>
          <w:tcPr>
            <w:tcW w:type="dxa" w:w="12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Vertrag 2</w:t>
            </w:r>
          </w:p>
        </w:tc>
        <w:tc>
          <w:tcPr>
            <w:tcW w:type="dxa" w:w="29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Bau- / Auflageprojekt, Projektierung</w:t>
            </w:r>
          </w:p>
        </w:tc>
        <w:tc>
          <w:tcPr>
            <w:tcW w:type="dxa" w:w="30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in Doc 1–16 nicht belegt (vgl. spätere Verträge)</w:t>
            </w:r>
          </w:p>
        </w:tc>
      </w:tr>
      <w:tr>
        <w:tc>
          <w:tcPr>
            <w:tcW w:type="dxa" w:w="26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Ausführung Projekt</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Vertrag 3</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reiner Bau / Investitionskostenaufteilung, keine Betriebsregelung</w:t>
            </w:r>
          </w:p>
        </w:tc>
        <w:tc>
          <w:tcPr>
            <w:tcW w:type="dxa" w:w="30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7 (Investitionskosten Bahnhof Turgi)</w:t>
            </w:r>
          </w:p>
        </w:tc>
      </w:tr>
      <w:tr>
        <w:tc>
          <w:tcPr>
            <w:tcW w:type="dxa" w:w="26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Ausführung Projekt mit Betrieb und Unterhalt</w:t>
            </w:r>
          </w:p>
        </w:tc>
        <w:tc>
          <w:tcPr>
            <w:tcW w:type="dxa" w:w="12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Vertrag 3&amp;4</w:t>
            </w:r>
          </w:p>
        </w:tc>
        <w:tc>
          <w:tcPr>
            <w:tcW w:type="dxa" w:w="29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Bau UND anschliessender Betrieb / Unterhalt in einem Vertrag</w:t>
            </w:r>
          </w:p>
        </w:tc>
        <w:tc>
          <w:tcPr>
            <w:tcW w:type="dxa" w:w="30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3, 9, 10, 11, 14, 15</w:t>
            </w:r>
          </w:p>
        </w:tc>
      </w:tr>
      <w:tr>
        <w:tc>
          <w:tcPr>
            <w:tcW w:type="dxa" w:w="26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Betrieb und Unterhalt</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Vertrag 4</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nur Betrieb / Unterhalt bestehender Anlagen</w:t>
            </w:r>
          </w:p>
        </w:tc>
        <w:tc>
          <w:tcPr>
            <w:tcW w:type="dxa" w:w="30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16 (Unterhalt Bahnareal Unter-Wetzikon)</w:t>
            </w:r>
          </w:p>
        </w:tc>
      </w:tr>
    </w:tbl>
    <w:p>
      <w:pPr>
        <w:spacing w:after="140" w:line="264"/>
      </w:pPr>
      <w:r>
        <w:rPr>
          <w:b w:val="false"/>
          <w:bCs w:val="false"/>
          <w:i w:val="false"/>
          <w:iCs w:val="false"/>
          <w:color w:val="555555"/>
          <w:sz w:val="18"/>
          <w:szCs w:val="18"/>
        </w:rPr>
        <w:t xml:space="preserve">Ein Footer-Code «(Vertrag N)» im Dokument ist ein starkes Indiz für die Phase und wird übernommen.</w:t>
      </w:r>
    </w:p>
    <w:p>
      <w:pPr>
        <w:spacing w:after="60" w:before="60"/>
      </w:pPr>
      <w:r>
        <w:rPr>
          <w:b/>
          <w:bCs/>
          <w:i/>
          <w:iCs/>
          <w:color w:val="555555"/>
          <w:sz w:val="18"/>
          <w:szCs w:val="18"/>
        </w:rPr>
        <w:t xml:space="preserve">Tabelle 6 — Schritt 2/3: Ebene 4 (Objekt-/Werktyp), belegt durch Doc 1–16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6"/>
        <w:gridCol w:w="3600"/>
        <w:gridCol w:w="3340"/>
      </w:tblGrid>
      <w:tr>
        <w:trPr>
          <w:tblHeader/>
        </w:trPr>
        <w:tc>
          <w:tcPr>
            <w:tcW w:type="dxa" w:w="2806"/>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Typ (Ebene 4)</w:t>
            </w:r>
          </w:p>
        </w:tc>
        <w:tc>
          <w:tcPr>
            <w:tcW w:type="dxa" w:w="36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Erkennung</w:t>
            </w:r>
          </w:p>
        </w:tc>
        <w:tc>
          <w:tcPr>
            <w:tcW w:type="dxa" w:w="334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Beispiel aus den 16</w:t>
            </w:r>
          </w:p>
        </w:tc>
      </w:tr>
      <w:tr>
        <w:tc>
          <w:tcPr>
            <w:tcW w:type="dxa" w:w="28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Bahnhof</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Bahnhof / Haltestelle / Station / Perron / Bahnareal</w:t>
            </w:r>
          </w:p>
        </w:tc>
        <w:tc>
          <w:tcPr>
            <w:tcW w:type="dxa" w:w="33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3 (Haltestelle), Doc 7 (Bahnhof Turgi), Doc 8 (Perronverl.), Doc 16 (Bahnareal)</w:t>
            </w:r>
          </w:p>
        </w:tc>
      </w:tr>
      <w:tr>
        <w:tc>
          <w:tcPr>
            <w:tcW w:type="dxa" w:w="28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Bahnhof — Unterfall WC-Anlage</w:t>
            </w:r>
          </w:p>
        </w:tc>
        <w:tc>
          <w:tcPr>
            <w:tcW w:type="dxa" w:w="36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öffentliche WC- / Abortanlage am Bahnhof (derzeit unter «Bahnhof»)</w:t>
            </w:r>
          </w:p>
        </w:tc>
        <w:tc>
          <w:tcPr>
            <w:tcW w:type="dxa" w:w="33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11 (Abortanlage Mitlödi), Doc 13 (WC Kaltbrunn)</w:t>
            </w:r>
          </w:p>
        </w:tc>
      </w:tr>
      <w:tr>
        <w:tc>
          <w:tcPr>
            <w:tcW w:type="dxa" w:w="28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Öffentliche Verkehrswege ohne Kreuzung</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Personenunterführung / Zugang / Weg für Fussgänger, ohne Strassenkreuzung der Bahn</w:t>
            </w:r>
          </w:p>
        </w:tc>
        <w:tc>
          <w:tcPr>
            <w:tcW w:type="dxa" w:w="33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9 (PU Immensee), Doc 14, Doc 15 (PU Wetzikon)</w:t>
            </w:r>
          </w:p>
        </w:tc>
      </w:tr>
      <w:tr>
        <w:tc>
          <w:tcPr>
            <w:tcW w:type="dxa" w:w="28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Kreuzungsbauwerk (Brücke)</w:t>
            </w:r>
          </w:p>
        </w:tc>
        <w:tc>
          <w:tcPr>
            <w:tcW w:type="dxa" w:w="36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eine Strasse / ein Weg kreuzt die Bahn höhenfrei (Brücke / Strassenunterführung)</w:t>
            </w:r>
          </w:p>
        </w:tc>
        <w:tc>
          <w:tcPr>
            <w:tcW w:type="dxa" w:w="33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10 (Strassenunterführung Othmarsingen)</w:t>
            </w:r>
          </w:p>
        </w:tc>
      </w:tr>
      <w:tr>
        <w:tc>
          <w:tcPr>
            <w:tcW w:type="dxa" w:w="28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Kreuzungsbauwerk (Bahnübergang)</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niveaugleicher Übergang / Schrankenanlage</w:t>
            </w:r>
          </w:p>
        </w:tc>
        <w:tc>
          <w:tcPr>
            <w:tcW w:type="dxa" w:w="33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in Doc 1–16 nicht belegt (vgl. spätere Verträge)</w:t>
            </w:r>
          </w:p>
        </w:tc>
      </w:tr>
      <w:tr>
        <w:tc>
          <w:tcPr>
            <w:tcW w:type="dxa" w:w="28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Grundstücknutzung › Nutzungsverträge › Flächennutzung</w:t>
            </w:r>
          </w:p>
        </w:tc>
        <w:tc>
          <w:tcPr>
            <w:tcW w:type="dxa" w:w="36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Nutzung / Beschränkung einer Fläche</w:t>
            </w:r>
          </w:p>
        </w:tc>
        <w:tc>
          <w:tcPr>
            <w:tcW w:type="dxa" w:w="33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4 (Pflanzbeschränkung), Doc 6 (Rheinkiesgeleise)</w:t>
            </w:r>
          </w:p>
        </w:tc>
      </w:tr>
      <w:tr>
        <w:tc>
          <w:tcPr>
            <w:tcW w:type="dxa" w:w="28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Grundstücknutzung › Bauten Dritter › Anker</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Erdanker / Baugrubensicherung, die SBB-Areal beansprucht</w:t>
            </w:r>
          </w:p>
        </w:tc>
        <w:tc>
          <w:tcPr>
            <w:tcW w:type="dxa" w:w="33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1, Doc 2</w:t>
            </w:r>
          </w:p>
        </w:tc>
      </w:tr>
      <w:tr>
        <w:tc>
          <w:tcPr>
            <w:tcW w:type="dxa" w:w="28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Grundstücknutzung › Bauten Dritter › Kleinbauten</w:t>
            </w:r>
          </w:p>
        </w:tc>
        <w:tc>
          <w:tcPr>
            <w:tcW w:type="dxa" w:w="36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kleine bauliche Anlage (Spiegel, Böschung, Kanalisation, Trottoir)</w:t>
            </w:r>
          </w:p>
        </w:tc>
        <w:tc>
          <w:tcPr>
            <w:tcW w:type="dxa" w:w="33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5 (Verkehrsspiegel), Doc 12 (Böschung / Kanalisation / Trottoir)</w:t>
            </w:r>
          </w:p>
        </w:tc>
      </w:tr>
    </w:tbl>
    <w:p>
      <w:pPr>
        <w:pStyle w:val="Heading2"/>
      </w:pPr>
      <w:r>
        <w:t xml:space="preserve">3.2 Abgrenzungsfälle — mit Begründung</w:t>
      </w:r>
    </w:p>
    <w:p>
      <w:pPr>
        <w:spacing w:after="140" w:line="264"/>
      </w:pPr>
      <w:r>
        <w:rPr>
          <w:b w:val="false"/>
          <w:bCs w:val="false"/>
          <w:i w:val="false"/>
          <w:iCs w:val="false"/>
          <w:sz w:val="21"/>
          <w:szCs w:val="21"/>
        </w:rPr>
        <w:t xml:space="preserve">Die schwierigen Entscheidungen liegen in der Abgrenzung ähnlicher Typen. Die folgende Tabelle zeigt für jeden Grenzfall die entscheidende Frage und die Begründung — insbesondere, warum Doc 15 als «Öffentliche Verkehrswege ohne Kreuzung» und nicht als «Kreuzungsbauwerk» klassifiziert wurde.</w:t>
      </w:r>
    </w:p>
    <w:p>
      <w:pPr>
        <w:spacing w:after="60" w:before="60"/>
      </w:pPr>
      <w:r>
        <w:rPr>
          <w:b/>
          <w:bCs/>
          <w:i/>
          <w:iCs/>
          <w:color w:val="555555"/>
          <w:sz w:val="18"/>
          <w:szCs w:val="18"/>
        </w:rPr>
        <w:t xml:space="preserve">Tabelle 7 — Abgrenzungsfälle aus Doc 1–16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6"/>
        <w:gridCol w:w="1700"/>
        <w:gridCol w:w="1700"/>
        <w:gridCol w:w="3740"/>
        <w:gridCol w:w="900"/>
      </w:tblGrid>
      <w:tr>
        <w:trPr>
          <w:tblHeader/>
        </w:trPr>
        <w:tc>
          <w:tcPr>
            <w:tcW w:type="dxa" w:w="1706"/>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Fall</w:t>
            </w:r>
          </w:p>
        </w:tc>
        <w:tc>
          <w:tcPr>
            <w:tcW w:type="dxa" w:w="17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Gewählt</w:t>
            </w:r>
          </w:p>
        </w:tc>
        <w:tc>
          <w:tcPr>
            <w:tcW w:type="dxa" w:w="17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Nicht gewählt</w:t>
            </w:r>
          </w:p>
        </w:tc>
        <w:tc>
          <w:tcPr>
            <w:tcW w:type="dxa" w:w="374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Entscheidende Frage / Begründung</w:t>
            </w:r>
          </w:p>
        </w:tc>
        <w:tc>
          <w:tcPr>
            <w:tcW w:type="dxa" w:w="9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Doc</w:t>
            </w:r>
          </w:p>
        </w:tc>
      </w:tr>
      <w:tr>
        <w:tc>
          <w:tcPr>
            <w:tcW w:type="dxa" w:w="17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Personenunterführung Poststrasse, Bf Wetzikon</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Öff. Verkehrswege ohne Kreuzung</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Kreuzungsbauwerk (Brücke)</w:t>
            </w:r>
          </w:p>
        </w:tc>
        <w:tc>
          <w:tcPr>
            <w:tcW w:type="dxa" w:w="37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Es ist ein Personendurchgang (Fussgänger- / Zugangsweg), nicht eine Stelle, an der eine öffentliche Strasse die Bahn höhenfrei kreuzt. Massgebliche Frage: Kreuzt ein öffentlicher Verkehrsweg die Bahn (→ Kreuzungsbauwerk) oder handelt es sich um einen Personen- / Zugangsweg ohne Strassenkreuzung (→ ohne Kreuzung)?</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15 (vgl. 9, 14)</w:t>
            </w:r>
          </w:p>
        </w:tc>
      </w:tr>
      <w:tr>
        <w:tc>
          <w:tcPr>
            <w:tcW w:type="dxa" w:w="17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Strassenunterführung km 7.108, Othmarsingen</w:t>
            </w:r>
          </w:p>
        </w:tc>
        <w:tc>
          <w:tcPr>
            <w:tcW w:type="dxa" w:w="17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Kreuzungsbauwerk (Brücke)</w:t>
            </w:r>
          </w:p>
        </w:tc>
        <w:tc>
          <w:tcPr>
            <w:tcW w:type="dxa" w:w="17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Öff. Verkehrswege ohne Kreuzung</w:t>
            </w:r>
          </w:p>
        </w:tc>
        <w:tc>
          <w:tcPr>
            <w:tcW w:type="dxa" w:w="37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Hier kreuzt eine Strasse die Bahnlinie höhenfrei (die Bahn wird auf einem Brückenbauwerk über die Strasse geführt) → Kreuzungsbauwerk (Brücke). Gegenstück zu Doc 15.</w:t>
            </w:r>
          </w:p>
        </w:tc>
        <w:tc>
          <w:tcPr>
            <w:tcW w:type="dxa" w:w="9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10</w:t>
            </w:r>
          </w:p>
        </w:tc>
      </w:tr>
      <w:tr>
        <w:tc>
          <w:tcPr>
            <w:tcW w:type="dxa" w:w="17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Haltestelle Henau (Errichtung + Betrieb)</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Ausführung mit B+U (3&amp;4) › Bahnhof</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nur Ausführung (Vertrag 3)</w:t>
            </w:r>
          </w:p>
        </w:tc>
        <w:tc>
          <w:tcPr>
            <w:tcW w:type="dxa" w:w="37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Der Vertrag regelt Errichtung UND Betrieb / Unterhalt in einem → Phase 3&amp;4, nicht reine Ausführung.</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3</w:t>
            </w:r>
          </w:p>
        </w:tc>
      </w:tr>
      <w:tr>
        <w:tc>
          <w:tcPr>
            <w:tcW w:type="dxa" w:w="17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Bahnhof Turgi (Investitionskostenaufteilung)</w:t>
            </w:r>
          </w:p>
        </w:tc>
        <w:tc>
          <w:tcPr>
            <w:tcW w:type="dxa" w:w="17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Ausführung Projekt (Vertrag 3) › Bahnhof</w:t>
            </w:r>
          </w:p>
        </w:tc>
        <w:tc>
          <w:tcPr>
            <w:tcW w:type="dxa" w:w="17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Ausführung mit B+U (3&amp;4)</w:t>
            </w:r>
          </w:p>
        </w:tc>
        <w:tc>
          <w:tcPr>
            <w:tcW w:type="dxa" w:w="37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Es geht ausschliesslich um die Aufteilung der Bau- / Investitionskosten, ohne Betriebs- / Unterhaltsregelung → reine Ausführung.</w:t>
            </w:r>
          </w:p>
        </w:tc>
        <w:tc>
          <w:tcPr>
            <w:tcW w:type="dxa" w:w="9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7</w:t>
            </w:r>
          </w:p>
        </w:tc>
      </w:tr>
      <w:tr>
        <w:tc>
          <w:tcPr>
            <w:tcW w:type="dxa" w:w="17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WC- / Abortanlage Mitlödi und Kaltbrunn</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Bahnhof (Unterfall WC)</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eigener Ebene-4-Typ</w:t>
            </w:r>
          </w:p>
        </w:tc>
        <w:tc>
          <w:tcPr>
            <w:tcW w:type="dxa" w:w="37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Für WC-Anlagen besteht (noch) kein eigener Ebene-4-Typ; sie werden unter «Bahnhof» geführt, mit Hinweis.</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11, 13</w:t>
            </w:r>
          </w:p>
        </w:tc>
      </w:tr>
      <w:tr>
        <w:tc>
          <w:tcPr>
            <w:tcW w:type="dxa" w:w="17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Erdanker Baugrubensicherung</w:t>
            </w:r>
          </w:p>
        </w:tc>
        <w:tc>
          <w:tcPr>
            <w:tcW w:type="dxa" w:w="17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Grundstücknutzung › Bauten Dritter › Anker</w:t>
            </w:r>
          </w:p>
        </w:tc>
        <w:tc>
          <w:tcPr>
            <w:tcW w:type="dxa" w:w="17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Zusammenarbeit bei Anlagen</w:t>
            </w:r>
          </w:p>
        </w:tc>
        <w:tc>
          <w:tcPr>
            <w:tcW w:type="dxa" w:w="37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Es ist eine bauliche Anlage eines Dritten, die SBB-Areal beansprucht — keine gemeinsame Bahnanlage → Grundstücknutzung.</w:t>
            </w:r>
          </w:p>
        </w:tc>
        <w:tc>
          <w:tcPr>
            <w:tcW w:type="dxa" w:w="9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1, 2</w:t>
            </w:r>
          </w:p>
        </w:tc>
      </w:tr>
      <w:tr>
        <w:tc>
          <w:tcPr>
            <w:tcW w:type="dxa" w:w="17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Weiterbestand Rheinkiesgeleise (Seitengeleise)</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Grundstücknutzung › Nutzungsverträge › Flächennutzung</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Zusammenarbeit › Bahnhof</w:t>
            </w:r>
          </w:p>
        </w:tc>
        <w:tc>
          <w:tcPr>
            <w:tcW w:type="dxa" w:w="37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Geregelt wird die fortgesetzte Nutzung / Duldung einer Fläche bzw. Anlage, nicht der Bau / Betrieb einer SBB-Bahnanlage → Grundstücknutzung.</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6</w:t>
            </w:r>
          </w:p>
        </w:tc>
      </w:tr>
    </w:tbl>
    <w:p>
      <w:pPr>
        <w:pStyle w:val="Heading1"/>
        <w:pBdr>
          <w:bottom w:val="single" w:color="C00000" w:sz="6" w:space="6"/>
        </w:pBdr>
      </w:pPr>
      <w:r>
        <w:t xml:space="preserve">4. Sonderfälle und Lösungslogik</w:t>
      </w:r>
    </w:p>
    <w:p>
      <w:pPr>
        <w:spacing w:after="140" w:line="264"/>
      </w:pPr>
      <w:r>
        <w:rPr>
          <w:b w:val="false"/>
          <w:bCs w:val="false"/>
          <w:i w:val="false"/>
          <w:iCs w:val="false"/>
          <w:sz w:val="21"/>
          <w:szCs w:val="21"/>
        </w:rPr>
        <w:t xml:space="preserve">Bei der Extraktion der 16 Verträge traten wiederkehrende Sonderfälle auf. Die Tabelle nennt für jeden Fall das Problem, das auslösende Dokument, die Lösung der KI und die daraus folgende Anforderung an SAP.</w:t>
      </w:r>
    </w:p>
    <w:p>
      <w:pPr>
        <w:spacing w:after="60" w:before="60"/>
      </w:pPr>
      <w:r>
        <w:rPr>
          <w:b/>
          <w:bCs/>
          <w:i/>
          <w:iCs/>
          <w:color w:val="555555"/>
          <w:sz w:val="18"/>
          <w:szCs w:val="18"/>
        </w:rPr>
        <w:t xml:space="preserve">Tabelle 8 — Sonderfälle: Problem · Beispiel · Lösung · SAP-Anforderung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6"/>
        <w:gridCol w:w="2400"/>
        <w:gridCol w:w="1200"/>
        <w:gridCol w:w="2400"/>
        <w:gridCol w:w="2040"/>
      </w:tblGrid>
      <w:tr>
        <w:trPr>
          <w:tblHeader/>
        </w:trPr>
        <w:tc>
          <w:tcPr>
            <w:tcW w:type="dxa" w:w="1706"/>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Sonderfall</w:t>
            </w:r>
          </w:p>
        </w:tc>
        <w:tc>
          <w:tcPr>
            <w:tcW w:type="dxa" w:w="24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Problem</w:t>
            </w:r>
          </w:p>
        </w:tc>
        <w:tc>
          <w:tcPr>
            <w:tcW w:type="dxa" w:w="12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Gezeigt in</w:t>
            </w:r>
          </w:p>
        </w:tc>
        <w:tc>
          <w:tcPr>
            <w:tcW w:type="dxa" w:w="24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Lösung der KI</w:t>
            </w:r>
          </w:p>
        </w:tc>
        <w:tc>
          <w:tcPr>
            <w:tcW w:type="dxa" w:w="204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Was SAP können muss</w:t>
            </w:r>
          </w:p>
        </w:tc>
      </w:tr>
      <w:tr>
        <w:tc>
          <w:tcPr>
            <w:tcW w:type="dxa" w:w="17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Mehrparteienvertrag</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Das Feld «Vertragspartner» ist als Einzelpartei gedacht, es gibt aber drei Parteien.</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15 (SBB + Gemeinde Wetzikon + PTT)</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Alle externen Parteien als separate Einträge erfasst, je mit Parteityp; SBB nie genannt.</w:t>
            </w:r>
          </w:p>
        </w:tc>
        <w:tc>
          <w:tcPr>
            <w:tcW w:type="dxa" w:w="20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1:n-Relation für Vertragsparteien</w:t>
            </w:r>
          </w:p>
        </w:tc>
      </w:tr>
      <w:tr>
        <w:tc>
          <w:tcPr>
            <w:tcW w:type="dxa" w:w="17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Vertragsbeilage ohne ContrAct-Nr.</w:t>
            </w:r>
          </w:p>
        </w:tc>
        <w:tc>
          <w:tcPr>
            <w:tcW w:type="dxa" w:w="2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Ein Sub-Vertrag hat keine eigene Vertragsnummer.</w:t>
            </w:r>
          </w:p>
        </w:tc>
        <w:tc>
          <w:tcPr>
            <w:tcW w:type="dxa" w:w="12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14, Doc 15 (Beilagen 2+3 zu Doc 16)</w:t>
            </w:r>
          </w:p>
        </w:tc>
        <w:tc>
          <w:tcPr>
            <w:tcW w:type="dxa" w:w="2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Vertrag-Nr. = ❌; Verweis auf den Dachvertrag (Doc 16) gesetzt.</w:t>
            </w:r>
          </w:p>
        </w:tc>
        <w:tc>
          <w:tcPr>
            <w:tcW w:type="dxa" w:w="20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Hierarchische Vertragsstruktur (Eltern/Kind)</w:t>
            </w:r>
          </w:p>
        </w:tc>
      </w:tr>
      <w:tr>
        <w:tc>
          <w:tcPr>
            <w:tcW w:type="dxa" w:w="17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Dachvertrag + Detailbeilagen</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Ein Bahnhof = 1 Dachvertrag + mehrere Objektbeilagen.</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16 (Dach) + Doc 14/15 (Beilagen)</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Dachvertrag als eigener Datensatz; Beilagen als Kinder verknüpft.</w:t>
            </w:r>
          </w:p>
        </w:tc>
        <w:tc>
          <w:tcPr>
            <w:tcW w:type="dxa" w:w="20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Eltern-Kind-Hierarchie + gemeinsame Anzeige</w:t>
            </w:r>
          </w:p>
        </w:tc>
      </w:tr>
      <w:tr>
        <w:tc>
          <w:tcPr>
            <w:tcW w:type="dxa" w:w="17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Nachtrag ändert Klauseln</w:t>
            </w:r>
          </w:p>
        </w:tc>
        <w:tc>
          <w:tcPr>
            <w:tcW w:type="dxa" w:w="2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Ein Nachtrag ersetzt einzelne Artikel grundlegend.</w:t>
            </w:r>
          </w:p>
        </w:tc>
        <w:tc>
          <w:tcPr>
            <w:tcW w:type="dxa" w:w="12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11 (Nachtrag I 1990: Einnahmen gehen neu an die Gemeinde)</w:t>
            </w:r>
          </w:p>
        </w:tc>
        <w:tc>
          <w:tcPr>
            <w:tcW w:type="dxa" w:w="2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Aktuellen Stand erfasst (Einnahmen → Gemeinde), Nachtragsdatum + geänderte Artikel dokumentiert.</w:t>
            </w:r>
          </w:p>
        </w:tc>
        <w:tc>
          <w:tcPr>
            <w:tcW w:type="dxa" w:w="20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Datierte Versionierung einzelner Klauseln</w:t>
            </w:r>
          </w:p>
        </w:tc>
      </w:tr>
      <w:tr>
        <w:tc>
          <w:tcPr>
            <w:tcW w:type="dxa" w:w="17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Mehrere ContrAct-Nummern</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Ein Dokument trägt mehrere Vertragsnummern.</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12 (3 Nummern)</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Alle Nummern erfasst, primäre zuerst.</w:t>
            </w:r>
          </w:p>
        </w:tc>
        <w:tc>
          <w:tcPr>
            <w:tcW w:type="dxa" w:w="20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Mehrere Nummern je Vertrag (primär + weitere)</w:t>
            </w:r>
          </w:p>
        </w:tc>
      </w:tr>
      <w:tr>
        <w:tc>
          <w:tcPr>
            <w:tcW w:type="dxa" w:w="17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Fehlende Nr. + Vorgängervertrag</w:t>
            </w:r>
          </w:p>
        </w:tc>
        <w:tc>
          <w:tcPr>
            <w:tcW w:type="dxa" w:w="2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Modernes Dokument ohne sichtbare ContrAct-Nr., Vorgänger referenziert.</w:t>
            </w:r>
          </w:p>
        </w:tc>
        <w:tc>
          <w:tcPr>
            <w:tcW w:type="dxa" w:w="12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13 (Vorgänger Nr. 87220.116.001)</w:t>
            </w:r>
          </w:p>
        </w:tc>
        <w:tc>
          <w:tcPr>
            <w:tcW w:type="dxa" w:w="2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Nr. = ❌; Vorgängerbeziehung gespeichert.</w:t>
            </w:r>
          </w:p>
        </w:tc>
        <w:tc>
          <w:tcPr>
            <w:tcW w:type="dxa" w:w="20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Vorgänger-/Nachfolgerbeziehung</w:t>
            </w:r>
          </w:p>
        </w:tc>
      </w:tr>
      <w:tr>
        <w:tc>
          <w:tcPr>
            <w:tcW w:type="dxa" w:w="17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Handschriftliche Felder</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Schlüsselangaben sind handschriftlich.</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1 (ContrAct); Doc 3, 7, 9, 10, 11 (Nr.)</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Wert erfasst und «handschr.» vermerkt; ⚠️ bei Unsicherheit.</w:t>
            </w:r>
          </w:p>
        </w:tc>
        <w:tc>
          <w:tcPr>
            <w:tcW w:type="dxa" w:w="20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Kennzeichen «handschriftlich» + Unsicherheitsgrad</w:t>
            </w:r>
          </w:p>
        </w:tc>
      </w:tr>
      <w:tr>
        <w:tc>
          <w:tcPr>
            <w:tcW w:type="dxa" w:w="17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km nur aus Plan / Beilage</w:t>
            </w:r>
          </w:p>
        </w:tc>
        <w:tc>
          <w:tcPr>
            <w:tcW w:type="dxa" w:w="2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Bahn-km steht nicht im Vertragstext, nur im Situationsplan.</w:t>
            </w:r>
          </w:p>
        </w:tc>
        <w:tc>
          <w:tcPr>
            <w:tcW w:type="dxa" w:w="12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1 (Situationsplan S. 5); Doc 16 (Beilagenref.)</w:t>
            </w:r>
          </w:p>
        </w:tc>
        <w:tc>
          <w:tcPr>
            <w:tcW w:type="dxa" w:w="2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km erfasst, Quelle «Situationsplan» + ⚠️.</w:t>
            </w:r>
          </w:p>
        </w:tc>
        <w:tc>
          <w:tcPr>
            <w:tcW w:type="dxa" w:w="20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Quelle «Beilage/Plan» als zulässige Fundstelle</w:t>
            </w:r>
          </w:p>
        </w:tc>
      </w:tr>
      <w:tr>
        <w:tc>
          <w:tcPr>
            <w:tcW w:type="dxa" w:w="17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Linie aus Kontext erschlossen</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Keine DfA-Strecke angegeben.</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1 (Paralleldok.), Doc 6 (Stempel), Doc 9 («SBB-Kreis II»)</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Linie ⚠️ erschlossen, Herleitung dokumentiert.</w:t>
            </w:r>
          </w:p>
        </w:tc>
        <w:tc>
          <w:tcPr>
            <w:tcW w:type="dxa" w:w="20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Status «abgeleitet» + Herkunftshinweis</w:t>
            </w:r>
          </w:p>
        </w:tc>
      </w:tr>
      <w:tr>
        <w:tc>
          <w:tcPr>
            <w:tcW w:type="dxa" w:w="17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Punktobjekt (km von = km bis)</w:t>
            </w:r>
          </w:p>
        </w:tc>
        <w:tc>
          <w:tcPr>
            <w:tcW w:type="dxa" w:w="2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Objekt hat keinen Streckenabschnitt, nur einen Punkt.</w:t>
            </w:r>
          </w:p>
        </w:tc>
        <w:tc>
          <w:tcPr>
            <w:tcW w:type="dxa" w:w="12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3 (103.4), Doc 9 (0.278), Doc 10 (7.108)</w:t>
            </w:r>
          </w:p>
        </w:tc>
        <w:tc>
          <w:tcPr>
            <w:tcW w:type="dxa" w:w="2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km von = km bis gesetzt, «Punktobjekt» vermerkt.</w:t>
            </w:r>
          </w:p>
        </w:tc>
        <w:tc>
          <w:tcPr>
            <w:tcW w:type="dxa" w:w="20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km von/bis identisch zulässig + Kennzeichen Punktobjekt</w:t>
            </w:r>
          </w:p>
        </w:tc>
      </w:tr>
      <w:tr>
        <w:tc>
          <w:tcPr>
            <w:tcW w:type="dxa" w:w="17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Anlage ohne Bahn-km</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Eine Anlage (Seitengeleise) hat gar keinen Bahn-km.</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6 (Rheinkiesgeleise)</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km als nicht vorhanden geführt.</w:t>
            </w:r>
          </w:p>
        </w:tc>
        <w:tc>
          <w:tcPr>
            <w:tcW w:type="dxa" w:w="20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Status «fehlend» sauber von «n.a.» trennen</w:t>
            </w:r>
          </w:p>
        </w:tc>
      </w:tr>
      <w:tr>
        <w:tc>
          <w:tcPr>
            <w:tcW w:type="dxa" w:w="17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Mehrere Unterzeichnungsdaten</w:t>
            </w:r>
          </w:p>
        </w:tc>
        <w:tc>
          <w:tcPr>
            <w:tcW w:type="dxa" w:w="2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Parteien unterschreiben an verschiedenen Tagen.</w:t>
            </w:r>
          </w:p>
        </w:tc>
        <w:tc>
          <w:tcPr>
            <w:tcW w:type="dxa" w:w="12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14 (2), Doc 15 (3), Doc 7 (2)</w:t>
            </w:r>
          </w:p>
        </w:tc>
        <w:tc>
          <w:tcPr>
            <w:tcW w:type="dxa" w:w="2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Frühestes Datum als Beginn, alle Daten im Hinweis, ⚠️.</w:t>
            </w:r>
          </w:p>
        </w:tc>
        <w:tc>
          <w:tcPr>
            <w:tcW w:type="dxa" w:w="20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Mehrere Datumsangaben + Regel «frühestes»</w:t>
            </w:r>
          </w:p>
        </w:tc>
      </w:tr>
      <w:tr>
        <w:tc>
          <w:tcPr>
            <w:tcW w:type="dxa" w:w="17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Einnahme: einmalig vs. periodisch</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Eine Einmalzahlung darf nicht als periodisch gelten.</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1 / Doc 2 (einmalig) vs. Doc 5 (p.a.)</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«einmalig» gekennzeichnet, von periodisch getrennt.</w:t>
            </w:r>
          </w:p>
        </w:tc>
        <w:tc>
          <w:tcPr>
            <w:tcW w:type="dxa" w:w="20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Geldfeld-Typ einmalig / periodisch</w:t>
            </w:r>
          </w:p>
        </w:tc>
      </w:tr>
      <w:tr>
        <w:tc>
          <w:tcPr>
            <w:tcW w:type="dxa" w:w="17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Nutzungsabhängige Gebühr</w:t>
            </w:r>
          </w:p>
        </w:tc>
        <w:tc>
          <w:tcPr>
            <w:tcW w:type="dxa" w:w="2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Kein Fixbetrag, sondern Betrag pro Nutzung.</w:t>
            </w:r>
          </w:p>
        </w:tc>
        <w:tc>
          <w:tcPr>
            <w:tcW w:type="dxa" w:w="12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13 (CHF 1.– pro Benutzung)</w:t>
            </w:r>
          </w:p>
        </w:tc>
        <w:tc>
          <w:tcPr>
            <w:tcW w:type="dxa" w:w="2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Als Sonderfall «nutzungsabhängig» gekennzeichnet.</w:t>
            </w:r>
          </w:p>
        </w:tc>
        <w:tc>
          <w:tcPr>
            <w:tcW w:type="dxa" w:w="20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Geldfeld-Typ «nutzungsabhängig» (Betrag × Menge)</w:t>
            </w:r>
          </w:p>
        </w:tc>
      </w:tr>
      <w:tr>
        <w:tc>
          <w:tcPr>
            <w:tcW w:type="dxa" w:w="17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Unterhaltspflicht ohne CHF</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Verpflichtung ohne Betragsangabe.</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9, 10, 11, 14, 15, 16</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Qualitativ erfasst, «kein CHF-Betrag», ⚠️.</w:t>
            </w:r>
          </w:p>
        </w:tc>
        <w:tc>
          <w:tcPr>
            <w:tcW w:type="dxa" w:w="20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Boolean «Unterhaltspflicht SBB» ohne Betrag</w:t>
            </w:r>
          </w:p>
        </w:tc>
      </w:tr>
      <w:tr>
        <w:tc>
          <w:tcPr>
            <w:tcW w:type="dxa" w:w="17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Mehrere Gemeinden</w:t>
            </w:r>
          </w:p>
        </w:tc>
        <w:tc>
          <w:tcPr>
            <w:tcW w:type="dxa" w:w="2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Vertrag betrifft mehrere Gemeinden.</w:t>
            </w:r>
          </w:p>
        </w:tc>
        <w:tc>
          <w:tcPr>
            <w:tcW w:type="dxa" w:w="12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8 (Flamatt, Wünnewil, Schmitten, Düdingen)</w:t>
            </w:r>
          </w:p>
        </w:tc>
        <w:tc>
          <w:tcPr>
            <w:tcW w:type="dxa" w:w="24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Alle Gemeinden erfasst.</w:t>
            </w:r>
          </w:p>
        </w:tc>
        <w:tc>
          <w:tcPr>
            <w:tcW w:type="dxa" w:w="20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1:n-Relation Gemeinde</w:t>
            </w:r>
          </w:p>
        </w:tc>
      </w:tr>
      <w:tr>
        <w:tc>
          <w:tcPr>
            <w:tcW w:type="dxa" w:w="17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Beträge aus Sicht SBB</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Die Richtung Einnahme / Ausgabe ist nicht immer offensichtlich.</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11 (Einnahmen gehen nach Nachtrag an die Gemeinde → für SBB keine Einnahme)</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Geldfluss-Richtung aus SBB-Sicht geprüft und korrekt zugeordnet.</w:t>
            </w:r>
          </w:p>
        </w:tc>
        <w:tc>
          <w:tcPr>
            <w:tcW w:type="dxa" w:w="20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Richtung «aus Sicht SBB» als Pflichtlogik</w:t>
            </w:r>
          </w:p>
        </w:tc>
      </w:tr>
    </w:tbl>
    <w:p>
      <w:pPr>
        <w:pStyle w:val="Heading2"/>
      </w:pPr>
      <w:r>
        <w:t xml:space="preserve">4.1 Ausblick: weitere Sonderfälle aus späteren Verträgen</w:t>
      </w:r>
    </w:p>
    <w:p>
      <w:pPr>
        <w:spacing w:after="140" w:line="264"/>
      </w:pPr>
      <w:r>
        <w:rPr>
          <w:b w:val="false"/>
          <w:bCs w:val="false"/>
          <w:i w:val="false"/>
          <w:iCs w:val="false"/>
          <w:sz w:val="21"/>
          <w:szCs w:val="21"/>
        </w:rPr>
        <w:t xml:space="preserve">Die spätere Bearbeitung (Verträge der Jahre 2021–2025) brachte zusätzliche Muster, die hier nur genannt seien und im begleitenden System-Prompt bereits abgedeckt sind: Versionsketten über mehrere Vertragsänderungen, rückwirkend gestrichene Geldklauseln, Rahmenvereinbarung mit nachgelagerten Objektverträgen, Kostenanteil-Rückerstattung als Einnahmemodell, einmalige Investition kombiniert mit periodischen Folgekosten, Rückbau als Vertragszweck, Kostenträger ungleich Vertragspartei (Veranlasser-Prinzip) sowie Kostenteiler in nicht beigefügten Beilagen.</w:t>
      </w:r>
    </w:p>
    <w:p>
      <w:pPr>
        <w:spacing w:after="140" w:line="264"/>
      </w:pPr>
      <w:r>
        <w:rPr>
          <w:b w:val="false"/>
          <w:bCs w:val="false"/>
          <w:i w:val="false"/>
          <w:iCs w:val="false"/>
          <w:sz w:val="21"/>
          <w:szCs w:val="21"/>
        </w:rPr>
        <w:t xml:space="preserve">Empfehlung: SAP sollte die in Abschnitt 4 beschriebenen Strukturen — 1:n-Relationen, Eltern-Kind-Hierarchie, Versionierung und differenzierte Geldfeld-Typen — von Beginn an so anlegen, dass diese Erweiterungen ohne Umbau Platz finden.</w:t>
      </w:r>
    </w:p>
    <w:p>
      <w:pPr>
        <w:pStyle w:val="Heading1"/>
        <w:pBdr>
          <w:bottom w:val="single" w:color="C00000" w:sz="6" w:space="6"/>
        </w:pBdr>
      </w:pPr>
      <w:r>
        <w:t xml:space="preserve">5. Qualitätskriterien</w:t>
      </w:r>
    </w:p>
    <w:p>
      <w:pPr>
        <w:spacing w:after="140" w:line="264"/>
      </w:pPr>
      <w:r>
        <w:rPr>
          <w:b w:val="false"/>
          <w:bCs w:val="false"/>
          <w:i w:val="false"/>
          <w:iCs w:val="false"/>
          <w:sz w:val="21"/>
          <w:szCs w:val="21"/>
        </w:rPr>
        <w:t xml:space="preserve">Massstab ist nicht, dass überall ✅ steht, sondern dass jede Angabe belegt und jede Unsicherheit ehrlich markiert ist. Eine Extraktion ist «check-reif», wenn ein Mitarbeiter sie anhand der Quellenangaben in kurzer Zeit gegenprüfen kann.</w:t>
      </w:r>
    </w:p>
    <w:p>
      <w:pPr>
        <w:pStyle w:val="Heading2"/>
      </w:pPr>
      <w:r>
        <w:t xml:space="preserve">5.1 Kritikalität der Felder</w:t>
      </w:r>
    </w:p>
    <w:p>
      <w:pPr>
        <w:spacing w:after="60" w:before="60"/>
      </w:pPr>
      <w:r>
        <w:rPr>
          <w:b/>
          <w:bCs/>
          <w:i/>
          <w:iCs/>
          <w:color w:val="555555"/>
          <w:sz w:val="18"/>
          <w:szCs w:val="18"/>
        </w:rPr>
        <w:t xml:space="preserve">Tabelle 9 — Welche Felder kritisch sind und welche Unsicherheit tolerieren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6"/>
        <w:gridCol w:w="1700"/>
        <w:gridCol w:w="3540"/>
        <w:gridCol w:w="2100"/>
      </w:tblGrid>
      <w:tr>
        <w:trPr>
          <w:tblHeader/>
        </w:trPr>
        <w:tc>
          <w:tcPr>
            <w:tcW w:type="dxa" w:w="2406"/>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Feld</w:t>
            </w:r>
          </w:p>
        </w:tc>
        <w:tc>
          <w:tcPr>
            <w:tcW w:type="dxa" w:w="17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Kritikalität</w:t>
            </w:r>
          </w:p>
        </w:tc>
        <w:tc>
          <w:tcPr>
            <w:tcW w:type="dxa" w:w="354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Akzeptable Mindestqualität</w:t>
            </w:r>
          </w:p>
        </w:tc>
        <w:tc>
          <w:tcPr>
            <w:tcW w:type="dxa" w:w="210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Toleriert Unsicherheit?</w:t>
            </w:r>
          </w:p>
        </w:tc>
      </w:tr>
      <w:tr>
        <w:tc>
          <w:tcPr>
            <w:tcW w:type="dxa" w:w="24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Vertragsnummer</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Hoch</w:t>
            </w:r>
          </w:p>
        </w:tc>
        <w:tc>
          <w:tcPr>
            <w:tcW w:type="dxa" w:w="35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 oder begründetes ❌ mit Vorgänger-/Dachvertragsverweis</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Nein</w:t>
            </w:r>
          </w:p>
        </w:tc>
      </w:tr>
      <w:tr>
        <w:tc>
          <w:tcPr>
            <w:tcW w:type="dxa" w:w="24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Vertragstyp — Ebene 2</w:t>
            </w:r>
          </w:p>
        </w:tc>
        <w:tc>
          <w:tcPr>
            <w:tcW w:type="dxa" w:w="17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Hoch</w:t>
            </w:r>
          </w:p>
        </w:tc>
        <w:tc>
          <w:tcPr>
            <w:tcW w:type="dxa" w:w="35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korrekt abgeleitet; Ebene 2 muss stimmen</w:t>
            </w:r>
          </w:p>
        </w:tc>
        <w:tc>
          <w:tcPr>
            <w:tcW w:type="dxa" w:w="21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Nein (Ebene 2)</w:t>
            </w:r>
          </w:p>
        </w:tc>
      </w:tr>
      <w:tr>
        <w:tc>
          <w:tcPr>
            <w:tcW w:type="dxa" w:w="24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Vertragspartner</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Hoch</w:t>
            </w:r>
          </w:p>
        </w:tc>
        <w:tc>
          <w:tcPr>
            <w:tcW w:type="dxa" w:w="35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 alle Parteien erfasst</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Nein</w:t>
            </w:r>
          </w:p>
        </w:tc>
      </w:tr>
      <w:tr>
        <w:tc>
          <w:tcPr>
            <w:tcW w:type="dxa" w:w="24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Vertragsbeginn</w:t>
            </w:r>
          </w:p>
        </w:tc>
        <w:tc>
          <w:tcPr>
            <w:tcW w:type="dxa" w:w="17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Hoch</w:t>
            </w:r>
          </w:p>
        </w:tc>
        <w:tc>
          <w:tcPr>
            <w:tcW w:type="dxa" w:w="35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 oder ⚠️ (frühestes Datum) mit Quelle</w:t>
            </w:r>
          </w:p>
        </w:tc>
        <w:tc>
          <w:tcPr>
            <w:tcW w:type="dxa" w:w="21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Begrenzt</w:t>
            </w:r>
          </w:p>
        </w:tc>
      </w:tr>
      <w:tr>
        <w:tc>
          <w:tcPr>
            <w:tcW w:type="dxa" w:w="24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Gemeinde</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Hoch</w:t>
            </w:r>
          </w:p>
        </w:tc>
        <w:tc>
          <w:tcPr>
            <w:tcW w:type="dxa" w:w="35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Begrenzt</w:t>
            </w:r>
          </w:p>
        </w:tc>
      </w:tr>
      <w:tr>
        <w:tc>
          <w:tcPr>
            <w:tcW w:type="dxa" w:w="24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Beträge (Einnahmen / Ausgaben)</w:t>
            </w:r>
          </w:p>
        </w:tc>
        <w:tc>
          <w:tcPr>
            <w:tcW w:type="dxa" w:w="17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Hoch, wenn vorhanden</w:t>
            </w:r>
          </w:p>
        </w:tc>
        <w:tc>
          <w:tcPr>
            <w:tcW w:type="dxa" w:w="35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Richtung aus SBB-Sicht korrekt; einmalig / periodisch getrennt</w:t>
            </w:r>
          </w:p>
        </w:tc>
        <w:tc>
          <w:tcPr>
            <w:tcW w:type="dxa" w:w="21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Betragshöhe ⚠️ tolerierbar, Richtung nicht</w:t>
            </w:r>
          </w:p>
        </w:tc>
      </w:tr>
      <w:tr>
        <w:tc>
          <w:tcPr>
            <w:tcW w:type="dxa" w:w="24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Quellenangaben</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Hoch</w:t>
            </w:r>
          </w:p>
        </w:tc>
        <w:tc>
          <w:tcPr>
            <w:tcW w:type="dxa" w:w="35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je befülltes Feld eine Fundstelle</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Nein</w:t>
            </w:r>
          </w:p>
        </w:tc>
      </w:tr>
      <w:tr>
        <w:tc>
          <w:tcPr>
            <w:tcW w:type="dxa" w:w="24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Anlage</w:t>
            </w:r>
          </w:p>
        </w:tc>
        <w:tc>
          <w:tcPr>
            <w:tcW w:type="dxa" w:w="17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Mittel</w:t>
            </w:r>
          </w:p>
        </w:tc>
        <w:tc>
          <w:tcPr>
            <w:tcW w:type="dxa" w:w="35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 / ⚠️</w:t>
            </w:r>
          </w:p>
        </w:tc>
        <w:tc>
          <w:tcPr>
            <w:tcW w:type="dxa" w:w="21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Ja</w:t>
            </w:r>
          </w:p>
        </w:tc>
      </w:tr>
      <w:tr>
        <w:tc>
          <w:tcPr>
            <w:tcW w:type="dxa" w:w="24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Vertragstyp — Ebene 3 / 4</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Mittel</w:t>
            </w:r>
          </w:p>
        </w:tc>
        <w:tc>
          <w:tcPr>
            <w:tcW w:type="dxa" w:w="35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plausibel abgeleitet</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Ja (Feinklassierung)</w:t>
            </w:r>
          </w:p>
        </w:tc>
      </w:tr>
      <w:tr>
        <w:tc>
          <w:tcPr>
            <w:tcW w:type="dxa" w:w="24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Bahnlinie</w:t>
            </w:r>
          </w:p>
        </w:tc>
        <w:tc>
          <w:tcPr>
            <w:tcW w:type="dxa" w:w="17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Tief–mittel</w:t>
            </w:r>
          </w:p>
        </w:tc>
        <w:tc>
          <w:tcPr>
            <w:tcW w:type="dxa" w:w="35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 / ❌ akzeptabel (alte Verträge)</w:t>
            </w:r>
          </w:p>
        </w:tc>
        <w:tc>
          <w:tcPr>
            <w:tcW w:type="dxa" w:w="21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Ja</w:t>
            </w:r>
          </w:p>
        </w:tc>
      </w:tr>
      <w:tr>
        <w:tc>
          <w:tcPr>
            <w:tcW w:type="dxa" w:w="24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km von / bis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Tief–mittel</w:t>
            </w:r>
          </w:p>
        </w:tc>
        <w:tc>
          <w:tcPr>
            <w:tcW w:type="dxa" w:w="35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 (Plan) / ❌ / n.a. akzeptabel</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Ja</w:t>
            </w:r>
          </w:p>
        </w:tc>
      </w:tr>
      <w:tr>
        <w:tc>
          <w:tcPr>
            <w:tcW w:type="dxa" w:w="24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Vertragsende</w:t>
            </w:r>
          </w:p>
        </w:tc>
        <w:tc>
          <w:tcPr>
            <w:tcW w:type="dxa" w:w="17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Tief</w:t>
            </w:r>
          </w:p>
        </w:tc>
        <w:tc>
          <w:tcPr>
            <w:tcW w:type="dxa" w:w="35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 «nicht angegeben» akzeptabel</w:t>
            </w:r>
          </w:p>
        </w:tc>
        <w:tc>
          <w:tcPr>
            <w:tcW w:type="dxa" w:w="210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Ja</w:t>
            </w:r>
          </w:p>
        </w:tc>
      </w:tr>
    </w:tbl>
    <w:p>
      <w:pPr>
        <w:pStyle w:val="Heading2"/>
      </w:pPr>
      <w:r>
        <w:t xml:space="preserve">5.2 Freigabekriterien — wann eine Extraktion check-reif ist</w:t>
      </w:r>
    </w:p>
    <w:p>
      <w:pPr>
        <w:pStyle w:val="ListParagraph"/>
        <w:numPr>
          <w:ilvl w:val="0"/>
          <w:numId w:val="2"/>
        </w:numPr>
        <w:spacing w:after="60" w:line="264"/>
      </w:pPr>
      <w:r>
        <w:rPr>
          <w:sz w:val="21"/>
          <w:szCs w:val="21"/>
        </w:rPr>
        <w:t xml:space="preserve">Alle Pflichtfelder (Vertragsnummer*, Vertragstyp, Anlage, Vertragspartner, Vertragsbeginn, Gemeinde, Quellenangaben) sind befüllt oder mit begründetem ❌ / n.a. versehen. (*sofern im Dokument vorhanden)</w:t>
      </w:r>
    </w:p>
    <w:p>
      <w:pPr>
        <w:pStyle w:val="ListParagraph"/>
        <w:numPr>
          <w:ilvl w:val="0"/>
          <w:numId w:val="2"/>
        </w:numPr>
        <w:spacing w:after="60" w:line="264"/>
      </w:pPr>
      <w:r>
        <w:rPr>
          <w:sz w:val="21"/>
          <w:szCs w:val="21"/>
        </w:rPr>
        <w:t xml:space="preserve">Jede ⚠️-Angabe trägt eine nachvollziehbare Herleitung in der Quellenangabe.</w:t>
      </w:r>
    </w:p>
    <w:p>
      <w:pPr>
        <w:pStyle w:val="ListParagraph"/>
        <w:numPr>
          <w:ilvl w:val="0"/>
          <w:numId w:val="2"/>
        </w:numPr>
        <w:spacing w:after="60" w:line="264"/>
      </w:pPr>
      <w:r>
        <w:rPr>
          <w:sz w:val="21"/>
          <w:szCs w:val="21"/>
        </w:rPr>
        <w:t xml:space="preserve">Kein Wert ist erfunden; Lücken sind als ❌ bzw. n.a. ausgewiesen, und «fehlend» ist von «nicht anwendbar» unterschieden.</w:t>
      </w:r>
    </w:p>
    <w:p>
      <w:pPr>
        <w:pStyle w:val="ListParagraph"/>
        <w:numPr>
          <w:ilvl w:val="0"/>
          <w:numId w:val="2"/>
        </w:numPr>
        <w:spacing w:after="60" w:line="264"/>
      </w:pPr>
      <w:r>
        <w:rPr>
          <w:sz w:val="21"/>
          <w:szCs w:val="21"/>
        </w:rPr>
        <w:t xml:space="preserve">Bei Geldfeldern ist die Richtung aus Sicht SBB geprüft und einmalig / periodisch unterschieden.</w:t>
      </w:r>
    </w:p>
    <w:p>
      <w:pPr>
        <w:pStyle w:val="ListParagraph"/>
        <w:numPr>
          <w:ilvl w:val="0"/>
          <w:numId w:val="2"/>
        </w:numPr>
        <w:spacing w:after="60" w:line="264"/>
      </w:pPr>
      <w:r>
        <w:rPr>
          <w:sz w:val="21"/>
          <w:szCs w:val="21"/>
        </w:rPr>
        <w:t xml:space="preserve">Die Vertragstyp-Ebene 2 (Zusammenarbeit vs. Grundstücknutzung) ist korrekt — sie hat die grösste Folgewirkung für die Weiterverarbeitung.</w:t>
      </w:r>
    </w:p>
    <w:p>
      <w:pPr>
        <w:pStyle w:val="ListParagraph"/>
        <w:numPr>
          <w:ilvl w:val="0"/>
          <w:numId w:val="2"/>
        </w:numPr>
        <w:spacing w:after="60" w:line="264"/>
      </w:pPr>
      <w:r>
        <w:rPr>
          <w:sz w:val="21"/>
          <w:szCs w:val="21"/>
        </w:rPr>
        <w:t xml:space="preserve">Jedes befüllte Feld trägt eine Fundstelle (Seite + Ziffer / Artikel), sodass der Plausibilitätscheck in Sekunden möglich ist.</w:t>
      </w:r>
    </w:p>
    <w:p>
      <w:pPr>
        <w:pStyle w:val="Heading2"/>
      </w:pPr>
      <w:r>
        <w:t xml:space="preserve">5.3 Wann eine manuelle Prüfung zwingend ist</w:t>
      </w:r>
    </w:p>
    <w:p>
      <w:pPr>
        <w:spacing w:after="60" w:before="60"/>
      </w:pPr>
      <w:r>
        <w:rPr>
          <w:b/>
          <w:bCs/>
          <w:i/>
          <w:iCs/>
          <w:color w:val="555555"/>
          <w:sz w:val="18"/>
          <w:szCs w:val="18"/>
        </w:rPr>
        <w:t xml:space="preserve">Tabelle 10 — Auslöser für die zwingende manuelle Prüfung, mit Beispiel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6"/>
        <w:gridCol w:w="4540"/>
      </w:tblGrid>
      <w:tr>
        <w:trPr>
          <w:tblHeader/>
        </w:trPr>
        <w:tc>
          <w:tcPr>
            <w:tcW w:type="dxa" w:w="5206"/>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Auslöser</w:t>
            </w:r>
          </w:p>
        </w:tc>
        <w:tc>
          <w:tcPr>
            <w:tcW w:type="dxa" w:w="4540"/>
            <w:tcBorders>
              <w:top w:val="single" w:color="BBBBBB" w:sz="1"/>
              <w:left w:val="single" w:color="BBBBBB" w:sz="1"/>
              <w:bottom w:val="single" w:color="BBBBBB" w:sz="1"/>
              <w:right w:val="single" w:color="BBBBBB" w:sz="1"/>
            </w:tcBorders>
            <w:shd w:fill="B71C1C" w:val="clear"/>
            <w:tcMar>
              <w:top w:type="dxa" w:w="60"/>
              <w:left w:type="dxa" w:w="110"/>
              <w:bottom w:type="dxa" w:w="60"/>
              <w:right w:type="dxa" w:w="110"/>
            </w:tcMar>
            <w:vAlign w:val="top"/>
          </w:tcPr>
          <w:p>
            <w:pPr>
              <w:spacing w:after="0" w:line="240"/>
            </w:pPr>
            <w:r>
              <w:rPr>
                <w:b/>
                <w:bCs/>
                <w:color w:val="FFFFFF"/>
                <w:sz w:val="18"/>
                <w:szCs w:val="18"/>
              </w:rPr>
              <w:t xml:space="preserve">Beispiel aus den 16</w:t>
            </w:r>
          </w:p>
        </w:tc>
      </w:tr>
      <w:tr>
        <w:tc>
          <w:tcPr>
            <w:tcW w:type="dxa" w:w="52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Keine ContrAct-Nr. ermittelbar</w:t>
            </w:r>
          </w:p>
        </w:tc>
        <w:tc>
          <w:tcPr>
            <w:tcW w:type="dxa" w:w="45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13, Doc 14, Doc 15</w:t>
            </w:r>
          </w:p>
        </w:tc>
      </w:tr>
      <w:tr>
        <w:tc>
          <w:tcPr>
            <w:tcW w:type="dxa" w:w="52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Mehrere ContrAct-Nummern</w:t>
            </w:r>
          </w:p>
        </w:tc>
        <w:tc>
          <w:tcPr>
            <w:tcW w:type="dxa" w:w="45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12</w:t>
            </w:r>
          </w:p>
        </w:tc>
      </w:tr>
      <w:tr>
        <w:tc>
          <w:tcPr>
            <w:tcW w:type="dxa" w:w="52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Mehrparteienvertrag</w:t>
            </w:r>
          </w:p>
        </w:tc>
        <w:tc>
          <w:tcPr>
            <w:tcW w:type="dxa" w:w="45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15</w:t>
            </w:r>
          </w:p>
        </w:tc>
      </w:tr>
      <w:tr>
        <w:tc>
          <w:tcPr>
            <w:tcW w:type="dxa" w:w="52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Nachtrag ändert Geld- oder Kernklauseln</w:t>
            </w:r>
          </w:p>
        </w:tc>
        <w:tc>
          <w:tcPr>
            <w:tcW w:type="dxa" w:w="45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11</w:t>
            </w:r>
          </w:p>
        </w:tc>
      </w:tr>
      <w:tr>
        <w:tc>
          <w:tcPr>
            <w:tcW w:type="dxa" w:w="52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Vertragsbeginn unklar / mehrere Daten</w:t>
            </w:r>
          </w:p>
        </w:tc>
        <w:tc>
          <w:tcPr>
            <w:tcW w:type="dxa" w:w="45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7, Doc 14, Doc 15</w:t>
            </w:r>
          </w:p>
        </w:tc>
      </w:tr>
      <w:tr>
        <w:tc>
          <w:tcPr>
            <w:tcW w:type="dxa" w:w="5206"/>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Schlüsselangaben handschriftlich oder schlecht lesbar</w:t>
            </w:r>
          </w:p>
        </w:tc>
        <w:tc>
          <w:tcPr>
            <w:tcW w:type="dxa" w:w="4540"/>
            <w:tcBorders>
              <w:top w:val="single" w:color="BBBBBB" w:sz="1"/>
              <w:left w:val="single" w:color="BBBBBB" w:sz="1"/>
              <w:bottom w:val="single" w:color="BBBBBB" w:sz="1"/>
              <w:right w:val="single" w:color="BBBBBB" w:sz="1"/>
            </w:tcBorders>
            <w:shd w:fill="F4F4F4" w:val="clear"/>
            <w:tcMar>
              <w:top w:type="dxa" w:w="60"/>
              <w:left w:type="dxa" w:w="110"/>
              <w:bottom w:type="dxa" w:w="60"/>
              <w:right w:type="dxa" w:w="110"/>
            </w:tcMar>
            <w:vAlign w:val="top"/>
          </w:tcPr>
          <w:p>
            <w:pPr>
              <w:spacing w:after="0" w:line="240"/>
            </w:pPr>
            <w:r>
              <w:rPr>
                <w:b w:val="false"/>
                <w:bCs w:val="false"/>
                <w:sz w:val="18"/>
                <w:szCs w:val="18"/>
              </w:rPr>
              <w:t xml:space="preserve">Doc 1, Doc 3, Doc 9, Doc 10</w:t>
            </w:r>
          </w:p>
        </w:tc>
      </w:tr>
      <w:tr>
        <w:tc>
          <w:tcPr>
            <w:tcW w:type="dxa" w:w="5206"/>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Anteilige Unterhaltspflicht ohne Betrag (finanzielle Wirkung offen)</w:t>
            </w:r>
          </w:p>
        </w:tc>
        <w:tc>
          <w:tcPr>
            <w:tcW w:type="dxa" w:w="4540"/>
            <w:tcBorders>
              <w:top w:val="single" w:color="BBBBBB" w:sz="1"/>
              <w:left w:val="single" w:color="BBBBBB" w:sz="1"/>
              <w:bottom w:val="single" w:color="BBBBBB" w:sz="1"/>
              <w:right w:val="single" w:color="BBBBBB" w:sz="1"/>
            </w:tcBorders>
            <w:tcMar>
              <w:top w:type="dxa" w:w="60"/>
              <w:left w:type="dxa" w:w="110"/>
              <w:bottom w:type="dxa" w:w="60"/>
              <w:right w:type="dxa" w:w="110"/>
            </w:tcMar>
            <w:vAlign w:val="top"/>
          </w:tcPr>
          <w:p>
            <w:pPr>
              <w:spacing w:after="0" w:line="240"/>
            </w:pPr>
            <w:r>
              <w:rPr>
                <w:b w:val="false"/>
                <w:bCs w:val="false"/>
                <w:sz w:val="18"/>
                <w:szCs w:val="18"/>
              </w:rPr>
              <w:t xml:space="preserve">Doc 9, Doc 10, Doc 16</w:t>
            </w:r>
          </w:p>
        </w:tc>
      </w:tr>
    </w:tbl>
    <w:p>
      <w:pPr>
        <w:spacing w:after="200" w:line="264"/>
      </w:pPr>
      <w:r>
        <w:rPr>
          <w:b w:val="false"/>
          <w:bCs w:val="false"/>
          <w:i/>
          <w:iCs/>
          <w:sz w:val="21"/>
          <w:szCs w:val="21"/>
        </w:rPr>
        <w:t xml:space="preserve">Grundprinzip: Eine gute Extraktion zeigt nicht überall ✅, sondern belegt jede Angabe und markiert jede Unsicherheit. Der Wert für SAP liegt in der konsequenten Quellenangabe je Feld — sie macht den menschlichen Plausibilitätscheck schnell und verlässlich.</w:t>
      </w:r>
    </w:p>
    <w:p>
      <w:pPr>
        <w:spacing w:after="140" w:line="264"/>
      </w:pPr>
      <w:r>
        <w:rPr>
          <w:b w:val="false"/>
          <w:bCs w:val="false"/>
          <w:i w:val="false"/>
          <w:iCs w:val="false"/>
          <w:color w:val="555555"/>
          <w:sz w:val="19"/>
          <w:szCs w:val="19"/>
        </w:rPr>
        <w:t xml:space="preserve">Dieses Dokument beschreibt die fachliche Logik. Zusammen mit dem System-Prompt «SBB Infrastrukturvertrags-Extraktion» bildet es die Spezifikationsgrundlage für die SAP-Umsetzung.</w:t>
      </w:r>
    </w:p>
    <w:sectPr>
      <w:headerReference w:type="default" r:id="rId7"/>
      <w:headerReference w:type="first" r:id="rId8"/>
      <w:footerReference w:type="default" r:id="rId9"/>
      <w:footerReference w:type="first" r:id="rId10"/>
      <w:pgSz w:w="11906" w:h="16838"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5555"/>
        <w:sz w:val="16"/>
        <w:szCs w:val="16"/>
      </w:rPr>
      <w:t xml:space="preserve">Seite </w:t>
    </w:r>
    <w:r>
      <w:rPr>
        <w:color w:val="5555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left"/>
    </w:pPr>
    <w:r>
      <w:rPr>
        <w:color w:val="555555"/>
        <w:sz w:val="16"/>
        <w:szCs w:val="16"/>
      </w:rPr>
      <w:t xml:space="preserve">Hack4Rail – KI-Extraktionslogik · Dokumentation für SAP-Entwickler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Arial" w:cs="Arial" w:eastAsia="Arial" w:hAnsi="Arial"/>
      <w:b/>
      <w:bCs/>
      <w:color w:val="1A1A1A"/>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A1A1A"/>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endnotes" Target="endnotes.xml"/><Relationship Id="rId9" Type="http://schemas.openxmlformats.org/officeDocument/2006/relationships/footer" Target="footer1.xml"/><Relationship Id="rId14" Type="http://schemas.openxmlformats.org/officeDocument/2006/relationships/customXml" Target="../customXml/item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C7FA2D65802E143AE544A8A0D4C7B9D" ma:contentTypeVersion="18" ma:contentTypeDescription="Ein neues Dokument erstellen." ma:contentTypeScope="" ma:versionID="66721a2c7a24dbe07d80cd78972e9a3b">
  <xsd:schema xmlns:xsd="http://www.w3.org/2001/XMLSchema" xmlns:xs="http://www.w3.org/2001/XMLSchema" xmlns:p="http://schemas.microsoft.com/office/2006/metadata/properties" xmlns:ns2="9211a0c2-e439-43f6-b3c8-c1278e26f744" xmlns:ns3="92de02f7-8a66-43c9-a10c-663538af82ca" targetNamespace="http://schemas.microsoft.com/office/2006/metadata/properties" ma:root="true" ma:fieldsID="edc002b9fb8c6368e6700ccf595ed4fc" ns2:_="" ns3:_="">
    <xsd:import namespace="9211a0c2-e439-43f6-b3c8-c1278e26f744"/>
    <xsd:import namespace="92de02f7-8a66-43c9-a10c-663538af82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11a0c2-e439-43f6-b3c8-c1278e26f7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2e7e7b05-955d-4ec1-8c45-691041b8b004"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de02f7-8a66-43c9-a10c-663538af82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9199877-2aee-4691-8256-018123caffc1}" ma:internalName="TaxCatchAll" ma:showField="CatchAllData" ma:web="92de02f7-8a66-43c9-a10c-663538af82c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2de02f7-8a66-43c9-a10c-663538af82ca" xsi:nil="true"/>
    <lcf76f155ced4ddcb4097134ff3c332f xmlns="9211a0c2-e439-43f6-b3c8-c1278e26f74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E1D5E1-DCB2-4FEE-84E6-12DA3B3832AE}"/>
</file>

<file path=customXml/itemProps2.xml><?xml version="1.0" encoding="utf-8"?>
<ds:datastoreItem xmlns:ds="http://schemas.openxmlformats.org/officeDocument/2006/customXml" ds:itemID="{606CFBB7-4A53-4EB7-994D-15EE63A97237}"/>
</file>

<file path=customXml/itemProps3.xml><?xml version="1.0" encoding="utf-8"?>
<ds:datastoreItem xmlns:ds="http://schemas.openxmlformats.org/officeDocument/2006/customXml" ds:itemID="{9ABCFAF8-10AB-47CE-A894-B38B879DBC2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2026-06-18T12:45:44Z</dcterms:created>
  <dcterms:modified xsi:type="dcterms:W3CDTF">2026-06-18T12:45:44Z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0x0101001C7FA2D65802E143AE544A8A0D4C7B9D</vt:lpwstr>
  </property>
</Properties>
</file>