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BB507">
      <w:pPr>
        <w:pStyle w:val="4"/>
        <w:spacing w:line="360" w:lineRule="auto"/>
        <w:ind w:firstLine="420"/>
        <w:rPr>
          <w:rFonts w:ascii="Times New Roman" w:hAnsi="Times New Roman" w:cs="Times New Roman"/>
          <w:sz w:val="22"/>
          <w:szCs w:val="22"/>
          <w:highlight w:val="none"/>
        </w:rPr>
      </w:pPr>
      <w:r>
        <w:rPr>
          <w:rFonts w:ascii="Times New Roman" w:hAnsi="Times New Roman" w:cs="Times New Roman"/>
          <w:sz w:val="22"/>
          <w:szCs w:val="22"/>
          <w:highlight w:val="none"/>
        </w:rPr>
        <w:t xml:space="preserve">The released code explicitly includes the procedures for automatic identification of damaged elements, triggering of the twin substructure refinement, initialization of the refined substructure, and smooth force transition at the global–local interface, thereby ensuring full transparency and practical reproducibility of the proposed non-intrusive framework. </w:t>
      </w:r>
    </w:p>
    <w:p w14:paraId="404F0586">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Next, we will briefly introduce the usage descriptions, core processes, and key functions/scripts of the main structure and substructure codes:</w:t>
      </w:r>
    </w:p>
    <w:p w14:paraId="2AE8806E">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Level-1 (MSM driver): Runs the global dynamic analysis, decides when to train/replace, exchanges boundary histories and interface forces with Level-2 over a socket.</w:t>
      </w:r>
    </w:p>
    <w:p w14:paraId="342B6B8A">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Level-2 (aggregator/server): Builds and solves the fine submodel(s), collects reactions at interface nodes, optionally relays boundary data to deeper cores.</w:t>
      </w:r>
    </w:p>
    <w:p w14:paraId="7CF64845">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Table 1. Consolidated files and roles (Level-1 and Level-2)</w:t>
      </w:r>
    </w:p>
    <w:tbl>
      <w:tblPr>
        <w:tblStyle w:val="2"/>
        <w:tblW w:w="0" w:type="auto"/>
        <w:tblCellSpacing w:w="15" w:type="dxa"/>
        <w:tblInd w:w="0" w:type="dxa"/>
        <w:tblLayout w:type="autofit"/>
        <w:tblCellMar>
          <w:top w:w="15" w:type="dxa"/>
          <w:left w:w="15" w:type="dxa"/>
          <w:bottom w:w="15" w:type="dxa"/>
          <w:right w:w="15" w:type="dxa"/>
        </w:tblCellMar>
      </w:tblPr>
      <w:tblGrid>
        <w:gridCol w:w="2440"/>
        <w:gridCol w:w="2230"/>
        <w:gridCol w:w="1683"/>
        <w:gridCol w:w="2043"/>
      </w:tblGrid>
      <w:tr w14:paraId="40E5D571">
        <w:tblPrEx>
          <w:tblCellMar>
            <w:top w:w="15" w:type="dxa"/>
            <w:left w:w="15" w:type="dxa"/>
            <w:bottom w:w="15" w:type="dxa"/>
            <w:right w:w="15" w:type="dxa"/>
          </w:tblCellMar>
        </w:tblPrEx>
        <w:trPr>
          <w:trHeight w:val="383" w:hRule="atLeast"/>
          <w:tblHeader/>
          <w:tblCellSpacing w:w="15" w:type="dxa"/>
        </w:trPr>
        <w:tc>
          <w:tcPr>
            <w:tcW w:w="0" w:type="auto"/>
            <w:shd w:val="clear" w:color="auto" w:fill="auto"/>
            <w:vAlign w:val="center"/>
          </w:tcPr>
          <w:p w14:paraId="10DB4094">
            <w:pPr>
              <w:widowControl/>
              <w:jc w:val="center"/>
              <w:rPr>
                <w:b/>
                <w:bCs/>
                <w:szCs w:val="21"/>
              </w:rPr>
            </w:pPr>
            <w:r>
              <w:rPr>
                <w:b/>
                <w:bCs/>
                <w:kern w:val="0"/>
                <w:szCs w:val="21"/>
                <w:lang w:bidi="ar"/>
              </w:rPr>
              <w:t>File</w:t>
            </w:r>
          </w:p>
        </w:tc>
        <w:tc>
          <w:tcPr>
            <w:tcW w:w="0" w:type="auto"/>
            <w:shd w:val="clear" w:color="auto" w:fill="auto"/>
            <w:vAlign w:val="center"/>
          </w:tcPr>
          <w:p w14:paraId="62CDB525">
            <w:pPr>
              <w:widowControl/>
              <w:jc w:val="center"/>
              <w:rPr>
                <w:b/>
                <w:bCs/>
                <w:szCs w:val="21"/>
              </w:rPr>
            </w:pPr>
            <w:r>
              <w:rPr>
                <w:b/>
                <w:bCs/>
                <w:kern w:val="0"/>
                <w:szCs w:val="21"/>
                <w:lang w:bidi="ar"/>
              </w:rPr>
              <w:t>Role</w:t>
            </w:r>
          </w:p>
        </w:tc>
        <w:tc>
          <w:tcPr>
            <w:tcW w:w="0" w:type="auto"/>
            <w:shd w:val="clear" w:color="auto" w:fill="auto"/>
            <w:vAlign w:val="center"/>
          </w:tcPr>
          <w:p w14:paraId="11580531">
            <w:pPr>
              <w:widowControl/>
              <w:jc w:val="center"/>
              <w:rPr>
                <w:b/>
                <w:bCs/>
                <w:kern w:val="0"/>
                <w:szCs w:val="21"/>
                <w:lang w:bidi="ar"/>
              </w:rPr>
            </w:pPr>
            <w:r>
              <w:rPr>
                <w:b/>
                <w:bCs/>
                <w:kern w:val="0"/>
                <w:szCs w:val="21"/>
                <w:lang w:bidi="ar"/>
              </w:rPr>
              <w:t>File</w:t>
            </w:r>
          </w:p>
        </w:tc>
        <w:tc>
          <w:tcPr>
            <w:tcW w:w="0" w:type="auto"/>
            <w:shd w:val="clear" w:color="auto" w:fill="auto"/>
            <w:vAlign w:val="center"/>
          </w:tcPr>
          <w:p w14:paraId="0C6EC298">
            <w:pPr>
              <w:widowControl/>
              <w:jc w:val="center"/>
              <w:rPr>
                <w:b/>
                <w:bCs/>
                <w:kern w:val="0"/>
                <w:szCs w:val="21"/>
                <w:lang w:bidi="ar"/>
              </w:rPr>
            </w:pPr>
            <w:r>
              <w:rPr>
                <w:b/>
                <w:bCs/>
                <w:kern w:val="0"/>
                <w:szCs w:val="21"/>
                <w:lang w:bidi="ar"/>
              </w:rPr>
              <w:t>Role</w:t>
            </w:r>
          </w:p>
        </w:tc>
      </w:tr>
      <w:tr w14:paraId="52826EB7">
        <w:tblPrEx>
          <w:tblCellMar>
            <w:top w:w="15" w:type="dxa"/>
            <w:left w:w="15" w:type="dxa"/>
            <w:bottom w:w="15" w:type="dxa"/>
            <w:right w:w="15" w:type="dxa"/>
          </w:tblCellMar>
        </w:tblPrEx>
        <w:trPr>
          <w:trHeight w:val="676" w:hRule="atLeast"/>
          <w:tblCellSpacing w:w="15" w:type="dxa"/>
        </w:trPr>
        <w:tc>
          <w:tcPr>
            <w:tcW w:w="0" w:type="auto"/>
            <w:shd w:val="clear" w:color="auto" w:fill="auto"/>
            <w:vAlign w:val="center"/>
          </w:tcPr>
          <w:p w14:paraId="5791372D">
            <w:pPr>
              <w:widowControl/>
              <w:jc w:val="left"/>
              <w:rPr>
                <w:sz w:val="18"/>
                <w:szCs w:val="18"/>
              </w:rPr>
            </w:pPr>
            <w:r>
              <w:rPr>
                <w:kern w:val="0"/>
                <w:sz w:val="18"/>
                <w:szCs w:val="18"/>
                <w:lang w:bidi="ar"/>
              </w:rPr>
              <w:t>AnalysisOptn_2.tcl</w:t>
            </w:r>
          </w:p>
        </w:tc>
        <w:tc>
          <w:tcPr>
            <w:tcW w:w="0" w:type="auto"/>
            <w:shd w:val="clear" w:color="auto" w:fill="auto"/>
            <w:vAlign w:val="center"/>
          </w:tcPr>
          <w:p w14:paraId="5D6362B8">
            <w:pPr>
              <w:widowControl/>
              <w:jc w:val="left"/>
              <w:rPr>
                <w:sz w:val="18"/>
                <w:szCs w:val="18"/>
              </w:rPr>
            </w:pPr>
            <w:r>
              <w:rPr>
                <w:kern w:val="0"/>
                <w:sz w:val="18"/>
                <w:szCs w:val="18"/>
                <w:lang w:bidi="ar"/>
              </w:rPr>
              <w:t>Global transient solve and state machine</w:t>
            </w:r>
          </w:p>
        </w:tc>
        <w:tc>
          <w:tcPr>
            <w:tcW w:w="0" w:type="auto"/>
            <w:shd w:val="clear" w:color="auto" w:fill="auto"/>
            <w:vAlign w:val="center"/>
          </w:tcPr>
          <w:p w14:paraId="5C12407E">
            <w:pPr>
              <w:widowControl/>
              <w:jc w:val="left"/>
              <w:rPr>
                <w:sz w:val="18"/>
                <w:szCs w:val="18"/>
              </w:rPr>
            </w:pPr>
            <w:r>
              <w:rPr>
                <w:kern w:val="0"/>
                <w:sz w:val="18"/>
                <w:szCs w:val="18"/>
                <w:lang w:bidi="ar"/>
              </w:rPr>
              <w:t>LoadPattern_3.tcl</w:t>
            </w:r>
          </w:p>
        </w:tc>
        <w:tc>
          <w:tcPr>
            <w:tcW w:w="0" w:type="auto"/>
            <w:shd w:val="clear" w:color="auto" w:fill="auto"/>
            <w:vAlign w:val="center"/>
          </w:tcPr>
          <w:p w14:paraId="28FAA910">
            <w:pPr>
              <w:widowControl/>
              <w:jc w:val="left"/>
              <w:rPr>
                <w:sz w:val="18"/>
                <w:szCs w:val="18"/>
              </w:rPr>
            </w:pPr>
            <w:r>
              <w:rPr>
                <w:kern w:val="0"/>
                <w:sz w:val="18"/>
                <w:szCs w:val="18"/>
                <w:lang w:bidi="ar"/>
              </w:rPr>
              <w:t>Uniform excitation</w:t>
            </w:r>
          </w:p>
        </w:tc>
      </w:tr>
      <w:tr w14:paraId="139BDD0D">
        <w:tblPrEx>
          <w:tblCellMar>
            <w:top w:w="15" w:type="dxa"/>
            <w:left w:w="15" w:type="dxa"/>
            <w:bottom w:w="15" w:type="dxa"/>
            <w:right w:w="15" w:type="dxa"/>
          </w:tblCellMar>
        </w:tblPrEx>
        <w:trPr>
          <w:trHeight w:val="676" w:hRule="atLeast"/>
          <w:tblCellSpacing w:w="15" w:type="dxa"/>
        </w:trPr>
        <w:tc>
          <w:tcPr>
            <w:tcW w:w="0" w:type="auto"/>
            <w:shd w:val="clear" w:color="auto" w:fill="auto"/>
            <w:vAlign w:val="center"/>
          </w:tcPr>
          <w:p w14:paraId="7D90EF0E">
            <w:pPr>
              <w:widowControl/>
              <w:jc w:val="left"/>
              <w:rPr>
                <w:sz w:val="18"/>
                <w:szCs w:val="18"/>
              </w:rPr>
            </w:pPr>
            <w:r>
              <w:rPr>
                <w:kern w:val="0"/>
                <w:sz w:val="18"/>
                <w:szCs w:val="18"/>
                <w:lang w:bidi="ar"/>
              </w:rPr>
              <w:t>addBoudaryInfoToNextLevel.tcl</w:t>
            </w:r>
          </w:p>
        </w:tc>
        <w:tc>
          <w:tcPr>
            <w:tcW w:w="0" w:type="auto"/>
            <w:shd w:val="clear" w:color="auto" w:fill="auto"/>
            <w:vAlign w:val="center"/>
          </w:tcPr>
          <w:p w14:paraId="682F37BC">
            <w:pPr>
              <w:widowControl/>
              <w:jc w:val="left"/>
              <w:rPr>
                <w:sz w:val="18"/>
                <w:szCs w:val="18"/>
              </w:rPr>
            </w:pPr>
            <w:r>
              <w:rPr>
                <w:kern w:val="0"/>
                <w:sz w:val="18"/>
                <w:szCs w:val="18"/>
                <w:lang w:bidi="ar"/>
              </w:rPr>
              <w:t>Push boundary kinematics</w:t>
            </w:r>
          </w:p>
        </w:tc>
        <w:tc>
          <w:tcPr>
            <w:tcW w:w="0" w:type="auto"/>
            <w:shd w:val="clear" w:color="auto" w:fill="auto"/>
            <w:vAlign w:val="center"/>
          </w:tcPr>
          <w:p w14:paraId="7AF52AED">
            <w:pPr>
              <w:widowControl/>
              <w:jc w:val="left"/>
              <w:rPr>
                <w:sz w:val="18"/>
                <w:szCs w:val="18"/>
              </w:rPr>
            </w:pPr>
            <w:r>
              <w:rPr>
                <w:kern w:val="0"/>
                <w:sz w:val="18"/>
                <w:szCs w:val="18"/>
                <w:lang w:bidi="ar"/>
              </w:rPr>
              <w:t>Elements.tcl</w:t>
            </w:r>
          </w:p>
        </w:tc>
        <w:tc>
          <w:tcPr>
            <w:tcW w:w="0" w:type="auto"/>
            <w:shd w:val="clear" w:color="auto" w:fill="auto"/>
            <w:vAlign w:val="center"/>
          </w:tcPr>
          <w:p w14:paraId="4FCB9067">
            <w:pPr>
              <w:widowControl/>
              <w:jc w:val="left"/>
              <w:rPr>
                <w:sz w:val="18"/>
                <w:szCs w:val="18"/>
              </w:rPr>
            </w:pPr>
            <w:r>
              <w:rPr>
                <w:kern w:val="0"/>
                <w:sz w:val="18"/>
                <w:szCs w:val="18"/>
                <w:lang w:bidi="ar"/>
              </w:rPr>
              <w:t>Element assembly</w:t>
            </w:r>
          </w:p>
        </w:tc>
      </w:tr>
      <w:tr w14:paraId="217E310C">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5B76FC27">
            <w:pPr>
              <w:widowControl/>
              <w:jc w:val="left"/>
              <w:rPr>
                <w:sz w:val="18"/>
                <w:szCs w:val="18"/>
              </w:rPr>
            </w:pPr>
            <w:r>
              <w:rPr>
                <w:kern w:val="0"/>
                <w:sz w:val="18"/>
                <w:szCs w:val="18"/>
                <w:lang w:bidi="ar"/>
              </w:rPr>
              <w:t>server.tcl</w:t>
            </w:r>
          </w:p>
        </w:tc>
        <w:tc>
          <w:tcPr>
            <w:tcW w:w="0" w:type="auto"/>
            <w:shd w:val="clear" w:color="auto" w:fill="auto"/>
            <w:vAlign w:val="center"/>
          </w:tcPr>
          <w:p w14:paraId="09DBDE5D">
            <w:pPr>
              <w:widowControl/>
              <w:jc w:val="left"/>
              <w:rPr>
                <w:sz w:val="18"/>
                <w:szCs w:val="18"/>
              </w:rPr>
            </w:pPr>
            <w:r>
              <w:rPr>
                <w:kern w:val="0"/>
                <w:sz w:val="18"/>
                <w:szCs w:val="18"/>
                <w:lang w:bidi="ar"/>
              </w:rPr>
              <w:t>Command server and controller</w:t>
            </w:r>
          </w:p>
        </w:tc>
        <w:tc>
          <w:tcPr>
            <w:tcW w:w="0" w:type="auto"/>
            <w:shd w:val="clear" w:color="auto" w:fill="auto"/>
            <w:vAlign w:val="center"/>
          </w:tcPr>
          <w:p w14:paraId="437469DD">
            <w:pPr>
              <w:widowControl/>
              <w:jc w:val="left"/>
              <w:rPr>
                <w:sz w:val="18"/>
                <w:szCs w:val="18"/>
              </w:rPr>
            </w:pPr>
            <w:r>
              <w:rPr>
                <w:kern w:val="0"/>
                <w:sz w:val="18"/>
                <w:szCs w:val="18"/>
                <w:lang w:bidi="ar"/>
              </w:rPr>
              <w:t>GeoTran.tcl</w:t>
            </w:r>
          </w:p>
        </w:tc>
        <w:tc>
          <w:tcPr>
            <w:tcW w:w="0" w:type="auto"/>
            <w:shd w:val="clear" w:color="auto" w:fill="auto"/>
            <w:vAlign w:val="center"/>
          </w:tcPr>
          <w:p w14:paraId="632C8720">
            <w:pPr>
              <w:widowControl/>
              <w:jc w:val="left"/>
              <w:rPr>
                <w:sz w:val="18"/>
                <w:szCs w:val="18"/>
              </w:rPr>
            </w:pPr>
            <w:r>
              <w:rPr>
                <w:kern w:val="0"/>
                <w:sz w:val="18"/>
                <w:szCs w:val="18"/>
                <w:lang w:bidi="ar"/>
              </w:rPr>
              <w:t>Geometric transforms</w:t>
            </w:r>
          </w:p>
        </w:tc>
      </w:tr>
      <w:tr w14:paraId="60D63BBD">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2012D03C">
            <w:pPr>
              <w:widowControl/>
              <w:jc w:val="left"/>
              <w:rPr>
                <w:sz w:val="18"/>
                <w:szCs w:val="18"/>
              </w:rPr>
            </w:pPr>
            <w:r>
              <w:rPr>
                <w:kern w:val="0"/>
                <w:sz w:val="18"/>
                <w:szCs w:val="18"/>
                <w:lang w:bidi="ar"/>
              </w:rPr>
              <w:t>model.tcl</w:t>
            </w:r>
          </w:p>
        </w:tc>
        <w:tc>
          <w:tcPr>
            <w:tcW w:w="0" w:type="auto"/>
            <w:shd w:val="clear" w:color="auto" w:fill="auto"/>
            <w:vAlign w:val="center"/>
          </w:tcPr>
          <w:p w14:paraId="097AFD52">
            <w:pPr>
              <w:widowControl/>
              <w:jc w:val="left"/>
              <w:rPr>
                <w:sz w:val="18"/>
                <w:szCs w:val="18"/>
              </w:rPr>
            </w:pPr>
            <w:r>
              <w:rPr>
                <w:kern w:val="0"/>
                <w:sz w:val="18"/>
                <w:szCs w:val="18"/>
                <w:lang w:bidi="ar"/>
              </w:rPr>
              <w:t>Fine model build and setup</w:t>
            </w:r>
          </w:p>
        </w:tc>
        <w:tc>
          <w:tcPr>
            <w:tcW w:w="0" w:type="auto"/>
            <w:shd w:val="clear" w:color="auto" w:fill="auto"/>
            <w:vAlign w:val="center"/>
          </w:tcPr>
          <w:p w14:paraId="5BB72218">
            <w:pPr>
              <w:widowControl/>
              <w:jc w:val="left"/>
              <w:rPr>
                <w:sz w:val="18"/>
                <w:szCs w:val="18"/>
              </w:rPr>
            </w:pPr>
            <w:r>
              <w:rPr>
                <w:kern w:val="0"/>
                <w:sz w:val="18"/>
                <w:szCs w:val="18"/>
                <w:lang w:bidi="ar"/>
              </w:rPr>
              <w:t>Sections.tcl</w:t>
            </w:r>
          </w:p>
        </w:tc>
        <w:tc>
          <w:tcPr>
            <w:tcW w:w="0" w:type="auto"/>
            <w:shd w:val="clear" w:color="auto" w:fill="auto"/>
            <w:vAlign w:val="center"/>
          </w:tcPr>
          <w:p w14:paraId="22BA1EE6">
            <w:pPr>
              <w:widowControl/>
              <w:jc w:val="left"/>
              <w:rPr>
                <w:sz w:val="18"/>
                <w:szCs w:val="18"/>
              </w:rPr>
            </w:pPr>
            <w:r>
              <w:rPr>
                <w:kern w:val="0"/>
                <w:sz w:val="18"/>
                <w:szCs w:val="18"/>
                <w:lang w:bidi="ar"/>
              </w:rPr>
              <w:t>RC fiber sections, torsion aggregator</w:t>
            </w:r>
          </w:p>
        </w:tc>
      </w:tr>
      <w:tr w14:paraId="54CBA0CD">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73DB3A95">
            <w:pPr>
              <w:widowControl/>
              <w:jc w:val="left"/>
              <w:rPr>
                <w:sz w:val="18"/>
                <w:szCs w:val="18"/>
              </w:rPr>
            </w:pPr>
            <w:r>
              <w:rPr>
                <w:kern w:val="0"/>
                <w:sz w:val="18"/>
                <w:szCs w:val="18"/>
                <w:lang w:bidi="ar"/>
              </w:rPr>
              <w:t>correctorLoad.tcl</w:t>
            </w:r>
          </w:p>
        </w:tc>
        <w:tc>
          <w:tcPr>
            <w:tcW w:w="0" w:type="auto"/>
            <w:shd w:val="clear" w:color="auto" w:fill="auto"/>
            <w:vAlign w:val="center"/>
          </w:tcPr>
          <w:p w14:paraId="3FC25021">
            <w:pPr>
              <w:widowControl/>
              <w:jc w:val="left"/>
              <w:rPr>
                <w:sz w:val="18"/>
                <w:szCs w:val="18"/>
              </w:rPr>
            </w:pPr>
            <w:r>
              <w:rPr>
                <w:kern w:val="0"/>
                <w:sz w:val="18"/>
                <w:szCs w:val="18"/>
                <w:lang w:bidi="ar"/>
              </w:rPr>
              <w:t>Apply corrector loads</w:t>
            </w:r>
          </w:p>
        </w:tc>
        <w:tc>
          <w:tcPr>
            <w:tcW w:w="0" w:type="auto"/>
            <w:shd w:val="clear" w:color="auto" w:fill="auto"/>
            <w:vAlign w:val="center"/>
          </w:tcPr>
          <w:p w14:paraId="5AB2ED2B">
            <w:pPr>
              <w:widowControl/>
              <w:jc w:val="left"/>
              <w:rPr>
                <w:sz w:val="18"/>
                <w:szCs w:val="18"/>
              </w:rPr>
            </w:pPr>
            <w:r>
              <w:rPr>
                <w:kern w:val="0"/>
                <w:sz w:val="18"/>
                <w:szCs w:val="18"/>
                <w:lang w:bidi="ar"/>
              </w:rPr>
              <w:t>Materials.tcl</w:t>
            </w:r>
          </w:p>
        </w:tc>
        <w:tc>
          <w:tcPr>
            <w:tcW w:w="0" w:type="auto"/>
            <w:shd w:val="clear" w:color="auto" w:fill="auto"/>
            <w:vAlign w:val="center"/>
          </w:tcPr>
          <w:p w14:paraId="740A50AE">
            <w:pPr>
              <w:widowControl/>
              <w:jc w:val="left"/>
              <w:rPr>
                <w:sz w:val="18"/>
                <w:szCs w:val="18"/>
              </w:rPr>
            </w:pPr>
            <w:r>
              <w:rPr>
                <w:kern w:val="0"/>
                <w:sz w:val="18"/>
                <w:szCs w:val="18"/>
                <w:lang w:bidi="ar"/>
              </w:rPr>
              <w:t>Concrete02 and Steel02</w:t>
            </w:r>
          </w:p>
        </w:tc>
      </w:tr>
      <w:tr w14:paraId="4AE7B938">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6AB88B31">
            <w:pPr>
              <w:widowControl/>
              <w:jc w:val="left"/>
              <w:rPr>
                <w:sz w:val="18"/>
                <w:szCs w:val="18"/>
              </w:rPr>
            </w:pPr>
            <w:r>
              <w:rPr>
                <w:kern w:val="0"/>
                <w:sz w:val="18"/>
                <w:szCs w:val="18"/>
                <w:lang w:bidi="ar"/>
              </w:rPr>
              <w:t>dispLoadg.tcl</w:t>
            </w:r>
          </w:p>
        </w:tc>
        <w:tc>
          <w:tcPr>
            <w:tcW w:w="0" w:type="auto"/>
            <w:shd w:val="clear" w:color="auto" w:fill="auto"/>
            <w:vAlign w:val="center"/>
          </w:tcPr>
          <w:p w14:paraId="75C19821">
            <w:pPr>
              <w:widowControl/>
              <w:jc w:val="left"/>
              <w:rPr>
                <w:sz w:val="18"/>
                <w:szCs w:val="18"/>
              </w:rPr>
            </w:pPr>
            <w:r>
              <w:rPr>
                <w:kern w:val="0"/>
                <w:sz w:val="18"/>
                <w:szCs w:val="18"/>
                <w:lang w:bidi="ar"/>
              </w:rPr>
              <w:t>Gravity imposed motions</w:t>
            </w:r>
          </w:p>
        </w:tc>
        <w:tc>
          <w:tcPr>
            <w:tcW w:w="0" w:type="auto"/>
            <w:shd w:val="clear" w:color="auto" w:fill="auto"/>
            <w:vAlign w:val="center"/>
          </w:tcPr>
          <w:p w14:paraId="75A1FFDC">
            <w:pPr>
              <w:widowControl/>
              <w:jc w:val="left"/>
              <w:rPr>
                <w:sz w:val="18"/>
                <w:szCs w:val="18"/>
              </w:rPr>
            </w:pPr>
            <w:r>
              <w:rPr>
                <w:kern w:val="0"/>
                <w:sz w:val="18"/>
                <w:szCs w:val="18"/>
                <w:lang w:bidi="ar"/>
              </w:rPr>
              <w:t>SPConstraint.tcl</w:t>
            </w:r>
          </w:p>
        </w:tc>
        <w:tc>
          <w:tcPr>
            <w:tcW w:w="0" w:type="auto"/>
            <w:shd w:val="clear" w:color="auto" w:fill="auto"/>
            <w:vAlign w:val="center"/>
          </w:tcPr>
          <w:p w14:paraId="15F80895">
            <w:pPr>
              <w:widowControl/>
              <w:jc w:val="left"/>
              <w:rPr>
                <w:sz w:val="18"/>
                <w:szCs w:val="18"/>
              </w:rPr>
            </w:pPr>
            <w:r>
              <w:rPr>
                <w:kern w:val="0"/>
                <w:sz w:val="18"/>
                <w:szCs w:val="18"/>
                <w:lang w:bidi="ar"/>
              </w:rPr>
              <w:t>Boundary constraints</w:t>
            </w:r>
          </w:p>
        </w:tc>
      </w:tr>
      <w:tr w14:paraId="7DE3551C">
        <w:tblPrEx>
          <w:tblCellMar>
            <w:top w:w="15" w:type="dxa"/>
            <w:left w:w="15" w:type="dxa"/>
            <w:bottom w:w="15" w:type="dxa"/>
            <w:right w:w="15" w:type="dxa"/>
          </w:tblCellMar>
        </w:tblPrEx>
        <w:trPr>
          <w:trHeight w:val="676" w:hRule="atLeast"/>
          <w:tblCellSpacing w:w="15" w:type="dxa"/>
        </w:trPr>
        <w:tc>
          <w:tcPr>
            <w:tcW w:w="0" w:type="auto"/>
            <w:shd w:val="clear" w:color="auto" w:fill="auto"/>
            <w:vAlign w:val="center"/>
          </w:tcPr>
          <w:p w14:paraId="58C73BF4">
            <w:pPr>
              <w:widowControl/>
              <w:jc w:val="left"/>
              <w:rPr>
                <w:sz w:val="18"/>
                <w:szCs w:val="18"/>
              </w:rPr>
            </w:pPr>
            <w:r>
              <w:rPr>
                <w:kern w:val="0"/>
                <w:sz w:val="18"/>
                <w:szCs w:val="18"/>
                <w:lang w:bidi="ar"/>
              </w:rPr>
              <w:t>dispLoadt.tcl</w:t>
            </w:r>
          </w:p>
        </w:tc>
        <w:tc>
          <w:tcPr>
            <w:tcW w:w="0" w:type="auto"/>
            <w:shd w:val="clear" w:color="auto" w:fill="auto"/>
            <w:vAlign w:val="center"/>
          </w:tcPr>
          <w:p w14:paraId="2479229F">
            <w:pPr>
              <w:widowControl/>
              <w:jc w:val="left"/>
              <w:rPr>
                <w:sz w:val="18"/>
                <w:szCs w:val="18"/>
              </w:rPr>
            </w:pPr>
            <w:r>
              <w:rPr>
                <w:kern w:val="0"/>
                <w:sz w:val="18"/>
                <w:szCs w:val="18"/>
                <w:lang w:bidi="ar"/>
              </w:rPr>
              <w:t>Transient imposed motions (full history)</w:t>
            </w:r>
          </w:p>
        </w:tc>
        <w:tc>
          <w:tcPr>
            <w:tcW w:w="0" w:type="auto"/>
            <w:shd w:val="clear" w:color="auto" w:fill="auto"/>
            <w:vAlign w:val="center"/>
          </w:tcPr>
          <w:p w14:paraId="2499E06F">
            <w:pPr>
              <w:widowControl/>
              <w:jc w:val="left"/>
              <w:rPr>
                <w:sz w:val="18"/>
                <w:szCs w:val="18"/>
              </w:rPr>
            </w:pPr>
            <w:r>
              <w:rPr>
                <w:kern w:val="0"/>
                <w:sz w:val="18"/>
                <w:szCs w:val="18"/>
                <w:lang w:bidi="ar"/>
              </w:rPr>
              <w:t>NodeCoord.tcl</w:t>
            </w:r>
          </w:p>
        </w:tc>
        <w:tc>
          <w:tcPr>
            <w:tcW w:w="0" w:type="auto"/>
            <w:shd w:val="clear" w:color="auto" w:fill="auto"/>
            <w:vAlign w:val="center"/>
          </w:tcPr>
          <w:p w14:paraId="18AFFBB3">
            <w:pPr>
              <w:widowControl/>
              <w:jc w:val="left"/>
              <w:rPr>
                <w:sz w:val="18"/>
                <w:szCs w:val="18"/>
              </w:rPr>
            </w:pPr>
            <w:r>
              <w:rPr>
                <w:kern w:val="0"/>
                <w:sz w:val="18"/>
                <w:szCs w:val="18"/>
                <w:lang w:bidi="ar"/>
              </w:rPr>
              <w:t>Nodes</w:t>
            </w:r>
          </w:p>
        </w:tc>
      </w:tr>
      <w:tr w14:paraId="39700F4D">
        <w:tblPrEx>
          <w:tblCellMar>
            <w:top w:w="15" w:type="dxa"/>
            <w:left w:w="15" w:type="dxa"/>
            <w:bottom w:w="15" w:type="dxa"/>
            <w:right w:w="15" w:type="dxa"/>
          </w:tblCellMar>
        </w:tblPrEx>
        <w:trPr>
          <w:trHeight w:val="676" w:hRule="atLeast"/>
          <w:tblCellSpacing w:w="15" w:type="dxa"/>
        </w:trPr>
        <w:tc>
          <w:tcPr>
            <w:tcW w:w="0" w:type="auto"/>
            <w:shd w:val="clear" w:color="auto" w:fill="auto"/>
            <w:vAlign w:val="center"/>
          </w:tcPr>
          <w:p w14:paraId="07784F22">
            <w:pPr>
              <w:widowControl/>
              <w:jc w:val="left"/>
              <w:rPr>
                <w:sz w:val="18"/>
                <w:szCs w:val="18"/>
              </w:rPr>
            </w:pPr>
            <w:r>
              <w:rPr>
                <w:kern w:val="0"/>
                <w:sz w:val="18"/>
                <w:szCs w:val="18"/>
                <w:lang w:bidi="ar"/>
              </w:rPr>
              <w:t>dispLoadr.tcl</w:t>
            </w:r>
          </w:p>
        </w:tc>
        <w:tc>
          <w:tcPr>
            <w:tcW w:w="0" w:type="auto"/>
            <w:shd w:val="clear" w:color="auto" w:fill="auto"/>
            <w:vAlign w:val="center"/>
          </w:tcPr>
          <w:p w14:paraId="148BBEBC">
            <w:pPr>
              <w:widowControl/>
              <w:jc w:val="left"/>
              <w:rPr>
                <w:sz w:val="18"/>
                <w:szCs w:val="18"/>
              </w:rPr>
            </w:pPr>
            <w:r>
              <w:rPr>
                <w:kern w:val="0"/>
                <w:sz w:val="18"/>
                <w:szCs w:val="18"/>
                <w:lang w:bidi="ar"/>
              </w:rPr>
              <w:t>Refresh imposed motions in replacement</w:t>
            </w:r>
          </w:p>
        </w:tc>
        <w:tc>
          <w:tcPr>
            <w:tcW w:w="0" w:type="auto"/>
            <w:shd w:val="clear" w:color="auto" w:fill="auto"/>
            <w:vAlign w:val="center"/>
          </w:tcPr>
          <w:p w14:paraId="58F49236">
            <w:pPr>
              <w:widowControl/>
              <w:jc w:val="left"/>
              <w:rPr>
                <w:sz w:val="18"/>
                <w:szCs w:val="18"/>
              </w:rPr>
            </w:pPr>
            <w:r>
              <w:rPr>
                <w:kern w:val="0"/>
                <w:sz w:val="18"/>
                <w:szCs w:val="18"/>
                <w:lang w:bidi="ar"/>
              </w:rPr>
              <w:t>NodeMass.tcl</w:t>
            </w:r>
          </w:p>
        </w:tc>
        <w:tc>
          <w:tcPr>
            <w:tcW w:w="0" w:type="auto"/>
            <w:shd w:val="clear" w:color="auto" w:fill="auto"/>
            <w:vAlign w:val="center"/>
          </w:tcPr>
          <w:p w14:paraId="67140350">
            <w:pPr>
              <w:widowControl/>
              <w:jc w:val="left"/>
              <w:rPr>
                <w:sz w:val="18"/>
                <w:szCs w:val="18"/>
              </w:rPr>
            </w:pPr>
            <w:r>
              <w:rPr>
                <w:kern w:val="0"/>
                <w:sz w:val="18"/>
                <w:szCs w:val="18"/>
                <w:lang w:bidi="ar"/>
              </w:rPr>
              <w:t>Nodal mass (template)</w:t>
            </w:r>
          </w:p>
        </w:tc>
      </w:tr>
      <w:tr w14:paraId="6C49DF54">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0EA6D896">
            <w:pPr>
              <w:widowControl/>
              <w:jc w:val="left"/>
              <w:rPr>
                <w:sz w:val="18"/>
                <w:szCs w:val="18"/>
              </w:rPr>
            </w:pPr>
            <w:r>
              <w:rPr>
                <w:kern w:val="0"/>
                <w:sz w:val="18"/>
                <w:szCs w:val="18"/>
                <w:lang w:bidi="ar"/>
              </w:rPr>
              <w:t>forceToLastLevel.tcl</w:t>
            </w:r>
          </w:p>
        </w:tc>
        <w:tc>
          <w:tcPr>
            <w:tcW w:w="0" w:type="auto"/>
            <w:shd w:val="clear" w:color="auto" w:fill="auto"/>
            <w:vAlign w:val="center"/>
          </w:tcPr>
          <w:p w14:paraId="287D091F">
            <w:pPr>
              <w:widowControl/>
              <w:jc w:val="left"/>
              <w:rPr>
                <w:sz w:val="18"/>
                <w:szCs w:val="18"/>
              </w:rPr>
            </w:pPr>
            <w:r>
              <w:rPr>
                <w:kern w:val="0"/>
                <w:sz w:val="18"/>
                <w:szCs w:val="18"/>
                <w:lang w:bidi="ar"/>
              </w:rPr>
              <w:t>Collect interface reactions</w:t>
            </w:r>
          </w:p>
        </w:tc>
        <w:tc>
          <w:tcPr>
            <w:tcW w:w="0" w:type="auto"/>
            <w:shd w:val="clear" w:color="auto" w:fill="auto"/>
            <w:vAlign w:val="center"/>
          </w:tcPr>
          <w:p w14:paraId="23F27A58">
            <w:pPr>
              <w:widowControl/>
              <w:jc w:val="left"/>
              <w:rPr>
                <w:sz w:val="18"/>
                <w:szCs w:val="18"/>
              </w:rPr>
            </w:pPr>
            <w:r>
              <w:rPr>
                <w:kern w:val="0"/>
                <w:sz w:val="18"/>
                <w:szCs w:val="18"/>
                <w:lang w:bidi="ar"/>
              </w:rPr>
              <w:t>RayleighDamping.tcl</w:t>
            </w:r>
          </w:p>
        </w:tc>
        <w:tc>
          <w:tcPr>
            <w:tcW w:w="0" w:type="auto"/>
            <w:shd w:val="clear" w:color="auto" w:fill="auto"/>
            <w:vAlign w:val="center"/>
          </w:tcPr>
          <w:p w14:paraId="5D680B30">
            <w:pPr>
              <w:widowControl/>
              <w:jc w:val="left"/>
              <w:rPr>
                <w:sz w:val="18"/>
                <w:szCs w:val="18"/>
              </w:rPr>
            </w:pPr>
            <w:r>
              <w:rPr>
                <w:kern w:val="0"/>
                <w:sz w:val="18"/>
                <w:szCs w:val="18"/>
                <w:lang w:bidi="ar"/>
              </w:rPr>
              <w:t>Damping</w:t>
            </w:r>
          </w:p>
        </w:tc>
      </w:tr>
      <w:tr w14:paraId="0356C7DA">
        <w:tblPrEx>
          <w:tblCellMar>
            <w:top w:w="15" w:type="dxa"/>
            <w:left w:w="15" w:type="dxa"/>
            <w:bottom w:w="15" w:type="dxa"/>
            <w:right w:w="15" w:type="dxa"/>
          </w:tblCellMar>
        </w:tblPrEx>
        <w:trPr>
          <w:trHeight w:val="368" w:hRule="atLeast"/>
          <w:tblCellSpacing w:w="15" w:type="dxa"/>
        </w:trPr>
        <w:tc>
          <w:tcPr>
            <w:tcW w:w="0" w:type="auto"/>
            <w:shd w:val="clear" w:color="auto" w:fill="auto"/>
            <w:vAlign w:val="center"/>
          </w:tcPr>
          <w:p w14:paraId="1301340A">
            <w:pPr>
              <w:widowControl/>
              <w:jc w:val="left"/>
              <w:rPr>
                <w:sz w:val="18"/>
                <w:szCs w:val="18"/>
              </w:rPr>
            </w:pPr>
            <w:r>
              <w:rPr>
                <w:kern w:val="0"/>
                <w:sz w:val="18"/>
                <w:szCs w:val="18"/>
                <w:lang w:bidi="ar"/>
              </w:rPr>
              <w:t>divideStepAnalysis.tcl</w:t>
            </w:r>
          </w:p>
        </w:tc>
        <w:tc>
          <w:tcPr>
            <w:tcW w:w="0" w:type="auto"/>
            <w:shd w:val="clear" w:color="auto" w:fill="auto"/>
            <w:vAlign w:val="center"/>
          </w:tcPr>
          <w:p w14:paraId="4FC8E14E">
            <w:pPr>
              <w:widowControl/>
              <w:jc w:val="left"/>
              <w:rPr>
                <w:sz w:val="18"/>
                <w:szCs w:val="18"/>
              </w:rPr>
            </w:pPr>
            <w:r>
              <w:rPr>
                <w:kern w:val="0"/>
                <w:sz w:val="18"/>
                <w:szCs w:val="18"/>
                <w:lang w:bidi="ar"/>
              </w:rPr>
              <w:t>Robust substepping</w:t>
            </w:r>
          </w:p>
        </w:tc>
        <w:tc>
          <w:tcPr>
            <w:tcW w:w="0" w:type="auto"/>
            <w:shd w:val="clear" w:color="auto" w:fill="auto"/>
            <w:vAlign w:val="center"/>
          </w:tcPr>
          <w:p w14:paraId="1B45C4F6">
            <w:pPr>
              <w:widowControl/>
              <w:jc w:val="left"/>
              <w:rPr>
                <w:sz w:val="18"/>
                <w:szCs w:val="18"/>
              </w:rPr>
            </w:pPr>
            <w:r>
              <w:rPr>
                <w:kern w:val="0"/>
                <w:sz w:val="18"/>
                <w:szCs w:val="18"/>
                <w:lang w:bidi="ar"/>
              </w:rPr>
              <w:t>Recorders (record*.tcl)</w:t>
            </w:r>
          </w:p>
        </w:tc>
        <w:tc>
          <w:tcPr>
            <w:tcW w:w="0" w:type="auto"/>
            <w:shd w:val="clear" w:color="auto" w:fill="auto"/>
            <w:vAlign w:val="center"/>
          </w:tcPr>
          <w:p w14:paraId="7366F6B0">
            <w:pPr>
              <w:widowControl/>
              <w:jc w:val="left"/>
              <w:rPr>
                <w:sz w:val="18"/>
                <w:szCs w:val="18"/>
              </w:rPr>
            </w:pPr>
            <w:r>
              <w:rPr>
                <w:kern w:val="0"/>
                <w:sz w:val="18"/>
                <w:szCs w:val="18"/>
                <w:lang w:bidi="ar"/>
              </w:rPr>
              <w:t>Output</w:t>
            </w:r>
          </w:p>
        </w:tc>
      </w:tr>
      <w:tr w14:paraId="5AADC3ED">
        <w:tblPrEx>
          <w:tblCellMar>
            <w:top w:w="15" w:type="dxa"/>
            <w:left w:w="15" w:type="dxa"/>
            <w:bottom w:w="15" w:type="dxa"/>
            <w:right w:w="15" w:type="dxa"/>
          </w:tblCellMar>
        </w:tblPrEx>
        <w:trPr>
          <w:trHeight w:val="383" w:hRule="atLeast"/>
          <w:tblCellSpacing w:w="15" w:type="dxa"/>
        </w:trPr>
        <w:tc>
          <w:tcPr>
            <w:tcW w:w="0" w:type="auto"/>
            <w:shd w:val="clear" w:color="auto" w:fill="auto"/>
            <w:vAlign w:val="center"/>
          </w:tcPr>
          <w:p w14:paraId="7D8AB805">
            <w:pPr>
              <w:widowControl/>
              <w:jc w:val="left"/>
              <w:rPr>
                <w:sz w:val="18"/>
                <w:szCs w:val="18"/>
              </w:rPr>
            </w:pPr>
            <w:r>
              <w:rPr>
                <w:kern w:val="0"/>
                <w:sz w:val="18"/>
                <w:szCs w:val="18"/>
                <w:lang w:bidi="ar"/>
              </w:rPr>
              <w:t>TimeSeries.tcl</w:t>
            </w:r>
          </w:p>
        </w:tc>
        <w:tc>
          <w:tcPr>
            <w:tcW w:w="0" w:type="auto"/>
            <w:shd w:val="clear" w:color="auto" w:fill="auto"/>
            <w:vAlign w:val="center"/>
          </w:tcPr>
          <w:p w14:paraId="50E6F369">
            <w:pPr>
              <w:widowControl/>
              <w:jc w:val="left"/>
              <w:rPr>
                <w:sz w:val="18"/>
                <w:szCs w:val="18"/>
              </w:rPr>
            </w:pPr>
            <w:r>
              <w:rPr>
                <w:kern w:val="0"/>
                <w:sz w:val="18"/>
                <w:szCs w:val="18"/>
                <w:lang w:bidi="ar"/>
              </w:rPr>
              <w:t>Earthquake time series</w:t>
            </w:r>
          </w:p>
        </w:tc>
        <w:tc>
          <w:tcPr>
            <w:tcW w:w="0" w:type="auto"/>
            <w:shd w:val="clear" w:color="auto" w:fill="auto"/>
            <w:vAlign w:val="center"/>
          </w:tcPr>
          <w:p w14:paraId="13B0DA53">
            <w:pPr>
              <w:widowControl/>
              <w:jc w:val="left"/>
              <w:rPr>
                <w:kern w:val="0"/>
                <w:sz w:val="18"/>
                <w:szCs w:val="18"/>
                <w:lang w:bidi="ar"/>
              </w:rPr>
            </w:pPr>
          </w:p>
        </w:tc>
        <w:tc>
          <w:tcPr>
            <w:tcW w:w="0" w:type="auto"/>
            <w:shd w:val="clear" w:color="auto" w:fill="auto"/>
            <w:vAlign w:val="center"/>
          </w:tcPr>
          <w:p w14:paraId="783113BF">
            <w:pPr>
              <w:widowControl/>
              <w:jc w:val="left"/>
              <w:rPr>
                <w:kern w:val="0"/>
                <w:sz w:val="18"/>
                <w:szCs w:val="18"/>
                <w:lang w:bidi="ar"/>
              </w:rPr>
            </w:pPr>
          </w:p>
        </w:tc>
      </w:tr>
    </w:tbl>
    <w:p w14:paraId="7A41FFC7">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After each analysis step, Level-1 reads the current time and the six-DOF displacement, velocity, and acceleration at its interface nodes, then sends addDisp, addVel, and addAccel in order over sock1 to Level-2, waiting for an acknowledgment after each send. Level-2 appends these lines to its histories and, when debugMode=0, forwards the same data for node 65 over sock0 and node 2 over sock2 to downstream cores, again with per-message acks. The receivers turn these time–DOF histories into Path/Linear time series and MultipleSupport prescribed motions, keeping boundary kinematics synchronized across all model levels.</w:t>
      </w:r>
    </w:p>
    <w:p w14:paraId="246AB635">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Table 2. Training and replacement flows</w:t>
      </w:r>
    </w:p>
    <w:tbl>
      <w:tblPr>
        <w:tblStyle w:val="2"/>
        <w:tblW w:w="0" w:type="auto"/>
        <w:tblCellSpacing w:w="15" w:type="dxa"/>
        <w:tblInd w:w="0" w:type="dxa"/>
        <w:tblLayout w:type="autofit"/>
        <w:tblCellMar>
          <w:top w:w="15" w:type="dxa"/>
          <w:left w:w="15" w:type="dxa"/>
          <w:bottom w:w="15" w:type="dxa"/>
          <w:right w:w="15" w:type="dxa"/>
        </w:tblCellMar>
      </w:tblPr>
      <w:tblGrid>
        <w:gridCol w:w="1101"/>
        <w:gridCol w:w="2084"/>
        <w:gridCol w:w="2845"/>
        <w:gridCol w:w="2366"/>
      </w:tblGrid>
      <w:tr w14:paraId="0C965775">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ACDAA65">
            <w:pPr>
              <w:widowControl/>
              <w:jc w:val="center"/>
              <w:rPr>
                <w:kern w:val="0"/>
                <w:sz w:val="20"/>
                <w:szCs w:val="20"/>
                <w:lang w:bidi="ar"/>
              </w:rPr>
            </w:pPr>
            <w:r>
              <w:rPr>
                <w:kern w:val="0"/>
                <w:sz w:val="20"/>
                <w:szCs w:val="20"/>
                <w:lang w:bidi="ar"/>
              </w:rPr>
              <w:t>Phase</w:t>
            </w:r>
          </w:p>
        </w:tc>
        <w:tc>
          <w:tcPr>
            <w:tcW w:w="0" w:type="auto"/>
            <w:shd w:val="clear" w:color="auto" w:fill="auto"/>
            <w:vAlign w:val="center"/>
          </w:tcPr>
          <w:p w14:paraId="516E3E49">
            <w:pPr>
              <w:widowControl/>
              <w:jc w:val="center"/>
              <w:rPr>
                <w:kern w:val="0"/>
                <w:sz w:val="20"/>
                <w:szCs w:val="20"/>
                <w:lang w:bidi="ar"/>
              </w:rPr>
            </w:pPr>
            <w:r>
              <w:rPr>
                <w:kern w:val="0"/>
                <w:sz w:val="20"/>
                <w:szCs w:val="20"/>
                <w:lang w:bidi="ar"/>
              </w:rPr>
              <w:t>Level-1 (MSM)</w:t>
            </w:r>
          </w:p>
        </w:tc>
        <w:tc>
          <w:tcPr>
            <w:tcW w:w="0" w:type="auto"/>
            <w:shd w:val="clear" w:color="auto" w:fill="auto"/>
            <w:vAlign w:val="center"/>
          </w:tcPr>
          <w:p w14:paraId="504B9BB5">
            <w:pPr>
              <w:widowControl/>
              <w:jc w:val="center"/>
              <w:rPr>
                <w:kern w:val="0"/>
                <w:sz w:val="20"/>
                <w:szCs w:val="20"/>
                <w:lang w:bidi="ar"/>
              </w:rPr>
            </w:pPr>
            <w:r>
              <w:rPr>
                <w:kern w:val="0"/>
                <w:sz w:val="20"/>
                <w:szCs w:val="20"/>
                <w:lang w:bidi="ar"/>
              </w:rPr>
              <w:t>Level-2 (</w:t>
            </w:r>
            <w:r>
              <w:rPr>
                <w:rFonts w:hint="eastAsia"/>
                <w:kern w:val="0"/>
                <w:sz w:val="20"/>
                <w:szCs w:val="20"/>
                <w:lang w:bidi="ar"/>
              </w:rPr>
              <w:t>TSM</w:t>
            </w:r>
            <w:r>
              <w:rPr>
                <w:kern w:val="0"/>
                <w:sz w:val="20"/>
                <w:szCs w:val="20"/>
                <w:lang w:bidi="ar"/>
              </w:rPr>
              <w:t>)</w:t>
            </w:r>
          </w:p>
        </w:tc>
        <w:tc>
          <w:tcPr>
            <w:tcW w:w="0" w:type="auto"/>
            <w:shd w:val="clear" w:color="auto" w:fill="auto"/>
            <w:vAlign w:val="center"/>
          </w:tcPr>
          <w:p w14:paraId="022427B4">
            <w:pPr>
              <w:widowControl/>
              <w:jc w:val="center"/>
              <w:rPr>
                <w:kern w:val="0"/>
                <w:sz w:val="20"/>
                <w:szCs w:val="20"/>
                <w:lang w:bidi="ar"/>
              </w:rPr>
            </w:pPr>
            <w:r>
              <w:rPr>
                <w:kern w:val="0"/>
                <w:sz w:val="20"/>
                <w:szCs w:val="20"/>
                <w:lang w:bidi="ar"/>
              </w:rPr>
              <w:t>Data exchanged</w:t>
            </w:r>
          </w:p>
        </w:tc>
      </w:tr>
      <w:tr w14:paraId="0C1E2C42">
        <w:tblPrEx>
          <w:tblCellMar>
            <w:top w:w="15" w:type="dxa"/>
            <w:left w:w="15" w:type="dxa"/>
            <w:bottom w:w="15" w:type="dxa"/>
            <w:right w:w="15" w:type="dxa"/>
          </w:tblCellMar>
        </w:tblPrEx>
        <w:trPr>
          <w:tblCellSpacing w:w="15" w:type="dxa"/>
        </w:trPr>
        <w:tc>
          <w:tcPr>
            <w:tcW w:w="0" w:type="auto"/>
            <w:shd w:val="clear" w:color="auto" w:fill="auto"/>
            <w:vAlign w:val="center"/>
          </w:tcPr>
          <w:p w14:paraId="619F6148">
            <w:pPr>
              <w:widowControl/>
              <w:jc w:val="center"/>
              <w:rPr>
                <w:kern w:val="0"/>
                <w:sz w:val="18"/>
                <w:szCs w:val="18"/>
                <w:lang w:bidi="ar"/>
              </w:rPr>
            </w:pPr>
            <w:r>
              <w:rPr>
                <w:kern w:val="0"/>
                <w:sz w:val="18"/>
                <w:szCs w:val="18"/>
                <w:lang w:bidi="ar"/>
              </w:rPr>
              <w:t>Gravity training</w:t>
            </w:r>
          </w:p>
        </w:tc>
        <w:tc>
          <w:tcPr>
            <w:tcW w:w="0" w:type="auto"/>
            <w:shd w:val="clear" w:color="auto" w:fill="auto"/>
            <w:vAlign w:val="center"/>
          </w:tcPr>
          <w:p w14:paraId="6AD6F350">
            <w:pPr>
              <w:widowControl/>
              <w:jc w:val="center"/>
              <w:rPr>
                <w:kern w:val="0"/>
                <w:sz w:val="18"/>
                <w:szCs w:val="18"/>
                <w:lang w:bidi="ar"/>
              </w:rPr>
            </w:pPr>
            <w:r>
              <w:rPr>
                <w:kern w:val="0"/>
                <w:sz w:val="18"/>
                <w:szCs w:val="18"/>
                <w:lang w:bidi="ar"/>
              </w:rPr>
              <w:t>Standard static/transient until trigger; continuously pushes kinematics</w:t>
            </w:r>
          </w:p>
        </w:tc>
        <w:tc>
          <w:tcPr>
            <w:tcW w:w="0" w:type="auto"/>
            <w:shd w:val="clear" w:color="auto" w:fill="auto"/>
            <w:vAlign w:val="center"/>
          </w:tcPr>
          <w:p w14:paraId="4F5F1D55">
            <w:pPr>
              <w:widowControl/>
              <w:jc w:val="center"/>
              <w:rPr>
                <w:kern w:val="0"/>
                <w:sz w:val="18"/>
                <w:szCs w:val="18"/>
                <w:lang w:bidi="ar"/>
              </w:rPr>
            </w:pPr>
            <w:r>
              <w:rPr>
                <w:kern w:val="0"/>
                <w:sz w:val="18"/>
                <w:szCs w:val="18"/>
                <w:lang w:bidi="ar"/>
              </w:rPr>
              <w:t>trainModel: dispLoadg.tcl → static analyze 10; optional downstream “trainModelGravity”; clearSeries</w:t>
            </w:r>
          </w:p>
        </w:tc>
        <w:tc>
          <w:tcPr>
            <w:tcW w:w="0" w:type="auto"/>
            <w:shd w:val="clear" w:color="auto" w:fill="auto"/>
            <w:vAlign w:val="center"/>
          </w:tcPr>
          <w:p w14:paraId="3FDEF944">
            <w:pPr>
              <w:widowControl/>
              <w:jc w:val="center"/>
              <w:rPr>
                <w:kern w:val="0"/>
                <w:sz w:val="18"/>
                <w:szCs w:val="18"/>
                <w:lang w:bidi="ar"/>
              </w:rPr>
            </w:pPr>
            <w:r>
              <w:rPr>
                <w:kern w:val="0"/>
                <w:sz w:val="18"/>
                <w:szCs w:val="18"/>
                <w:lang w:bidi="ar"/>
              </w:rPr>
              <w:t>addDisp/addVel/addAccel; trainModelGravity/finish acks</w:t>
            </w:r>
          </w:p>
        </w:tc>
      </w:tr>
      <w:tr w14:paraId="65F55EC2">
        <w:tblPrEx>
          <w:tblCellMar>
            <w:top w:w="15" w:type="dxa"/>
            <w:left w:w="15" w:type="dxa"/>
            <w:bottom w:w="15" w:type="dxa"/>
            <w:right w:w="15" w:type="dxa"/>
          </w:tblCellMar>
        </w:tblPrEx>
        <w:trPr>
          <w:tblCellSpacing w:w="15" w:type="dxa"/>
        </w:trPr>
        <w:tc>
          <w:tcPr>
            <w:tcW w:w="0" w:type="auto"/>
            <w:shd w:val="clear" w:color="auto" w:fill="auto"/>
            <w:vAlign w:val="center"/>
          </w:tcPr>
          <w:p w14:paraId="696C3216">
            <w:pPr>
              <w:widowControl/>
              <w:jc w:val="center"/>
              <w:rPr>
                <w:kern w:val="0"/>
                <w:sz w:val="18"/>
                <w:szCs w:val="18"/>
                <w:lang w:bidi="ar"/>
              </w:rPr>
            </w:pPr>
            <w:r>
              <w:rPr>
                <w:kern w:val="0"/>
                <w:sz w:val="18"/>
                <w:szCs w:val="18"/>
                <w:lang w:bidi="ar"/>
              </w:rPr>
              <w:t>Dynamic training</w:t>
            </w:r>
          </w:p>
        </w:tc>
        <w:tc>
          <w:tcPr>
            <w:tcW w:w="0" w:type="auto"/>
            <w:shd w:val="clear" w:color="auto" w:fill="auto"/>
            <w:vAlign w:val="center"/>
          </w:tcPr>
          <w:p w14:paraId="6B10BC7C">
            <w:pPr>
              <w:widowControl/>
              <w:jc w:val="center"/>
              <w:rPr>
                <w:kern w:val="0"/>
                <w:sz w:val="18"/>
                <w:szCs w:val="18"/>
                <w:lang w:bidi="ar"/>
              </w:rPr>
            </w:pPr>
            <w:r>
              <w:rPr>
                <w:kern w:val="0"/>
                <w:sz w:val="18"/>
                <w:szCs w:val="18"/>
                <w:lang w:bidi="ar"/>
              </w:rPr>
              <w:t>When toUpdate=1: puts sock1 "trainModel $steps" then switch toUpdate=2</w:t>
            </w:r>
          </w:p>
        </w:tc>
        <w:tc>
          <w:tcPr>
            <w:tcW w:w="0" w:type="auto"/>
            <w:shd w:val="clear" w:color="auto" w:fill="auto"/>
            <w:vAlign w:val="center"/>
          </w:tcPr>
          <w:p w14:paraId="384A6B11">
            <w:pPr>
              <w:widowControl/>
              <w:jc w:val="center"/>
              <w:rPr>
                <w:kern w:val="0"/>
                <w:sz w:val="18"/>
                <w:szCs w:val="18"/>
                <w:lang w:bidi="ar"/>
              </w:rPr>
            </w:pPr>
            <w:r>
              <w:rPr>
                <w:kern w:val="0"/>
                <w:sz w:val="18"/>
                <w:szCs w:val="18"/>
                <w:lang w:bidi="ar"/>
              </w:rPr>
              <w:t>Newmark transient with steps=$data; dispLoadt.tcl; per substep record and forceToLastLevel</w:t>
            </w:r>
          </w:p>
        </w:tc>
        <w:tc>
          <w:tcPr>
            <w:tcW w:w="0" w:type="auto"/>
            <w:shd w:val="clear" w:color="auto" w:fill="auto"/>
            <w:vAlign w:val="center"/>
          </w:tcPr>
          <w:p w14:paraId="0901357B">
            <w:pPr>
              <w:widowControl/>
              <w:jc w:val="center"/>
              <w:rPr>
                <w:kern w:val="0"/>
                <w:sz w:val="18"/>
                <w:szCs w:val="18"/>
                <w:lang w:bidi="ar"/>
              </w:rPr>
            </w:pPr>
            <w:r>
              <w:rPr>
                <w:kern w:val="0"/>
                <w:sz w:val="18"/>
                <w:szCs w:val="18"/>
                <w:lang w:bidi="ar"/>
              </w:rPr>
              <w:t>finish ack; subForce recorded per step</w:t>
            </w:r>
          </w:p>
        </w:tc>
      </w:tr>
      <w:tr w14:paraId="3CEC4B11">
        <w:tblPrEx>
          <w:tblCellMar>
            <w:top w:w="15" w:type="dxa"/>
            <w:left w:w="15" w:type="dxa"/>
            <w:bottom w:w="15" w:type="dxa"/>
            <w:right w:w="15" w:type="dxa"/>
          </w:tblCellMar>
        </w:tblPrEx>
        <w:trPr>
          <w:tblCellSpacing w:w="15" w:type="dxa"/>
        </w:trPr>
        <w:tc>
          <w:tcPr>
            <w:tcW w:w="0" w:type="auto"/>
            <w:shd w:val="clear" w:color="auto" w:fill="auto"/>
            <w:vAlign w:val="center"/>
          </w:tcPr>
          <w:p w14:paraId="122C278E">
            <w:pPr>
              <w:widowControl/>
              <w:jc w:val="center"/>
              <w:rPr>
                <w:kern w:val="0"/>
                <w:sz w:val="18"/>
                <w:szCs w:val="18"/>
                <w:lang w:bidi="ar"/>
              </w:rPr>
            </w:pPr>
            <w:r>
              <w:rPr>
                <w:kern w:val="0"/>
                <w:sz w:val="18"/>
                <w:szCs w:val="18"/>
                <w:lang w:bidi="ar"/>
              </w:rPr>
              <w:t>Replacement (per step)</w:t>
            </w:r>
          </w:p>
        </w:tc>
        <w:tc>
          <w:tcPr>
            <w:tcW w:w="0" w:type="auto"/>
            <w:shd w:val="clear" w:color="auto" w:fill="auto"/>
            <w:vAlign w:val="center"/>
          </w:tcPr>
          <w:p w14:paraId="5399E815">
            <w:pPr>
              <w:widowControl/>
              <w:jc w:val="center"/>
              <w:rPr>
                <w:kern w:val="0"/>
                <w:sz w:val="18"/>
                <w:szCs w:val="18"/>
                <w:lang w:bidi="ar"/>
              </w:rPr>
            </w:pPr>
            <w:r>
              <w:rPr>
                <w:kern w:val="0"/>
                <w:sz w:val="18"/>
                <w:szCs w:val="18"/>
                <w:lang w:bidi="ar"/>
              </w:rPr>
              <w:t>Compute lambda, request “getTrialForce”; clearSeries; push kinematics; apply corrector; analyze; “replaceModel”</w:t>
            </w:r>
          </w:p>
        </w:tc>
        <w:tc>
          <w:tcPr>
            <w:tcW w:w="0" w:type="auto"/>
            <w:shd w:val="clear" w:color="auto" w:fill="auto"/>
            <w:vAlign w:val="center"/>
          </w:tcPr>
          <w:p w14:paraId="089BCA64">
            <w:pPr>
              <w:widowControl/>
              <w:jc w:val="center"/>
              <w:rPr>
                <w:kern w:val="0"/>
                <w:sz w:val="18"/>
                <w:szCs w:val="18"/>
                <w:lang w:bidi="ar"/>
              </w:rPr>
            </w:pPr>
            <w:r>
              <w:rPr>
                <w:kern w:val="0"/>
                <w:sz w:val="18"/>
                <w:szCs w:val="18"/>
                <w:lang w:bidi="ar"/>
              </w:rPr>
              <w:t>Compute mainForce0/2; request subForce0/2 from sock0/sock2; clearSeries; push kinematics; correctorLoad.tcl; dispLoadr.tcl; analyze; downstream “replaceModel”</w:t>
            </w:r>
          </w:p>
        </w:tc>
        <w:tc>
          <w:tcPr>
            <w:tcW w:w="0" w:type="auto"/>
            <w:shd w:val="clear" w:color="auto" w:fill="auto"/>
            <w:vAlign w:val="center"/>
          </w:tcPr>
          <w:p w14:paraId="64401906">
            <w:pPr>
              <w:widowControl/>
              <w:jc w:val="center"/>
              <w:rPr>
                <w:kern w:val="0"/>
                <w:sz w:val="18"/>
                <w:szCs w:val="18"/>
                <w:lang w:bidi="ar"/>
              </w:rPr>
            </w:pPr>
            <w:r>
              <w:rPr>
                <w:kern w:val="0"/>
                <w:sz w:val="18"/>
                <w:szCs w:val="18"/>
                <w:lang w:bidi="ar"/>
              </w:rPr>
              <w:t>subForce line (12 comps); finish acks for clearSeries/replaceModel</w:t>
            </w:r>
          </w:p>
        </w:tc>
      </w:tr>
    </w:tbl>
    <w:p w14:paraId="4337D128">
      <w:pPr>
        <w:pStyle w:val="4"/>
        <w:spacing w:line="360" w:lineRule="auto"/>
        <w:ind w:firstLine="420"/>
        <w:rPr>
          <w:rFonts w:ascii="Times New Roman" w:hAnsi="Times New Roman" w:eastAsia="宋体" w:cs="Times New Roman"/>
          <w:sz w:val="22"/>
          <w:szCs w:val="22"/>
        </w:rPr>
      </w:pPr>
      <w:r>
        <w:rPr>
          <w:rFonts w:hint="eastAsia" w:ascii="Times New Roman" w:hAnsi="Times New Roman" w:eastAsia="宋体" w:cs="Times New Roman"/>
          <w:sz w:val="22"/>
          <w:szCs w:val="22"/>
        </w:rPr>
        <w:t>Table 3. Interface forces and correctors</w:t>
      </w:r>
    </w:p>
    <w:tbl>
      <w:tblPr>
        <w:tblStyle w:val="2"/>
        <w:tblW w:w="0" w:type="auto"/>
        <w:tblCellSpacing w:w="15" w:type="dxa"/>
        <w:tblInd w:w="0" w:type="dxa"/>
        <w:tblLayout w:type="autofit"/>
        <w:tblCellMar>
          <w:top w:w="15" w:type="dxa"/>
          <w:left w:w="15" w:type="dxa"/>
          <w:bottom w:w="15" w:type="dxa"/>
          <w:right w:w="15" w:type="dxa"/>
        </w:tblCellMar>
      </w:tblPr>
      <w:tblGrid>
        <w:gridCol w:w="1093"/>
        <w:gridCol w:w="827"/>
        <w:gridCol w:w="1575"/>
        <w:gridCol w:w="4901"/>
      </w:tblGrid>
      <w:tr w14:paraId="452DE310">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70323EDE">
            <w:pPr>
              <w:widowControl/>
              <w:jc w:val="center"/>
              <w:rPr>
                <w:kern w:val="0"/>
                <w:sz w:val="20"/>
                <w:szCs w:val="20"/>
                <w:lang w:bidi="ar"/>
              </w:rPr>
            </w:pPr>
            <w:r>
              <w:rPr>
                <w:kern w:val="0"/>
                <w:sz w:val="20"/>
                <w:szCs w:val="20"/>
                <w:lang w:bidi="ar"/>
              </w:rPr>
              <w:t>Item</w:t>
            </w:r>
          </w:p>
        </w:tc>
        <w:tc>
          <w:tcPr>
            <w:tcW w:w="0" w:type="auto"/>
            <w:shd w:val="clear" w:color="auto" w:fill="auto"/>
            <w:vAlign w:val="center"/>
          </w:tcPr>
          <w:p w14:paraId="3C6C3B1E">
            <w:pPr>
              <w:widowControl/>
              <w:jc w:val="center"/>
              <w:rPr>
                <w:kern w:val="0"/>
                <w:sz w:val="20"/>
                <w:szCs w:val="20"/>
                <w:lang w:bidi="ar"/>
              </w:rPr>
            </w:pPr>
            <w:r>
              <w:rPr>
                <w:kern w:val="0"/>
                <w:sz w:val="20"/>
                <w:szCs w:val="20"/>
                <w:lang w:bidi="ar"/>
              </w:rPr>
              <w:t>Nodes</w:t>
            </w:r>
          </w:p>
        </w:tc>
        <w:tc>
          <w:tcPr>
            <w:tcW w:w="0" w:type="auto"/>
            <w:shd w:val="clear" w:color="auto" w:fill="auto"/>
            <w:vAlign w:val="center"/>
          </w:tcPr>
          <w:p w14:paraId="752D01D4">
            <w:pPr>
              <w:widowControl/>
              <w:jc w:val="center"/>
              <w:rPr>
                <w:kern w:val="0"/>
                <w:sz w:val="20"/>
                <w:szCs w:val="20"/>
                <w:lang w:bidi="ar"/>
              </w:rPr>
            </w:pPr>
            <w:r>
              <w:rPr>
                <w:kern w:val="0"/>
                <w:sz w:val="20"/>
                <w:szCs w:val="20"/>
                <w:lang w:bidi="ar"/>
              </w:rPr>
              <w:t>Source/Use</w:t>
            </w:r>
          </w:p>
        </w:tc>
        <w:tc>
          <w:tcPr>
            <w:tcW w:w="0" w:type="auto"/>
            <w:shd w:val="clear" w:color="auto" w:fill="auto"/>
            <w:vAlign w:val="center"/>
          </w:tcPr>
          <w:p w14:paraId="47229264">
            <w:pPr>
              <w:widowControl/>
              <w:jc w:val="center"/>
              <w:rPr>
                <w:kern w:val="0"/>
                <w:sz w:val="20"/>
                <w:szCs w:val="20"/>
                <w:lang w:bidi="ar"/>
              </w:rPr>
            </w:pPr>
            <w:r>
              <w:rPr>
                <w:kern w:val="0"/>
                <w:sz w:val="20"/>
                <w:szCs w:val="20"/>
                <w:lang w:bidi="ar"/>
              </w:rPr>
              <w:t>Details</w:t>
            </w:r>
          </w:p>
        </w:tc>
      </w:tr>
      <w:tr w14:paraId="0CFF5677">
        <w:tblPrEx>
          <w:tblCellMar>
            <w:top w:w="15" w:type="dxa"/>
            <w:left w:w="15" w:type="dxa"/>
            <w:bottom w:w="15" w:type="dxa"/>
            <w:right w:w="15" w:type="dxa"/>
          </w:tblCellMar>
        </w:tblPrEx>
        <w:trPr>
          <w:tblCellSpacing w:w="15" w:type="dxa"/>
        </w:trPr>
        <w:tc>
          <w:tcPr>
            <w:tcW w:w="0" w:type="auto"/>
            <w:shd w:val="clear" w:color="auto" w:fill="auto"/>
            <w:vAlign w:val="center"/>
          </w:tcPr>
          <w:p w14:paraId="12DE1BCF">
            <w:pPr>
              <w:widowControl/>
              <w:jc w:val="center"/>
              <w:rPr>
                <w:kern w:val="0"/>
                <w:sz w:val="18"/>
                <w:szCs w:val="18"/>
                <w:lang w:bidi="ar"/>
              </w:rPr>
            </w:pPr>
            <w:r>
              <w:rPr>
                <w:kern w:val="0"/>
                <w:sz w:val="18"/>
                <w:szCs w:val="18"/>
                <w:lang w:bidi="ar"/>
              </w:rPr>
              <w:t>Upstream reactions (to L1)</w:t>
            </w:r>
          </w:p>
        </w:tc>
        <w:tc>
          <w:tcPr>
            <w:tcW w:w="0" w:type="auto"/>
            <w:shd w:val="clear" w:color="auto" w:fill="auto"/>
            <w:vAlign w:val="center"/>
          </w:tcPr>
          <w:p w14:paraId="2952152F">
            <w:pPr>
              <w:widowControl/>
              <w:jc w:val="center"/>
              <w:rPr>
                <w:kern w:val="0"/>
                <w:sz w:val="18"/>
                <w:szCs w:val="18"/>
                <w:lang w:bidi="ar"/>
              </w:rPr>
            </w:pPr>
            <w:r>
              <w:rPr>
                <w:kern w:val="0"/>
                <w:sz w:val="18"/>
                <w:szCs w:val="18"/>
                <w:lang w:bidi="ar"/>
              </w:rPr>
              <w:t>L2 nodes 65 and 165</w:t>
            </w:r>
          </w:p>
        </w:tc>
        <w:tc>
          <w:tcPr>
            <w:tcW w:w="0" w:type="auto"/>
            <w:shd w:val="clear" w:color="auto" w:fill="auto"/>
            <w:vAlign w:val="center"/>
          </w:tcPr>
          <w:p w14:paraId="730FC5DB">
            <w:pPr>
              <w:widowControl/>
              <w:jc w:val="center"/>
              <w:rPr>
                <w:kern w:val="0"/>
                <w:sz w:val="18"/>
                <w:szCs w:val="18"/>
                <w:lang w:bidi="ar"/>
              </w:rPr>
            </w:pPr>
            <w:r>
              <w:rPr>
                <w:kern w:val="0"/>
                <w:sz w:val="18"/>
                <w:szCs w:val="18"/>
                <w:lang w:bidi="ar"/>
              </w:rPr>
              <w:t>forceToLastLevel.tcl</w:t>
            </w:r>
          </w:p>
        </w:tc>
        <w:tc>
          <w:tcPr>
            <w:tcW w:w="0" w:type="auto"/>
            <w:shd w:val="clear" w:color="auto" w:fill="auto"/>
            <w:vAlign w:val="center"/>
          </w:tcPr>
          <w:p w14:paraId="7876FBB2">
            <w:pPr>
              <w:widowControl/>
              <w:jc w:val="center"/>
              <w:rPr>
                <w:kern w:val="0"/>
                <w:sz w:val="18"/>
                <w:szCs w:val="18"/>
                <w:lang w:bidi="ar"/>
              </w:rPr>
            </w:pPr>
            <w:r>
              <w:rPr>
                <w:kern w:val="0"/>
                <w:sz w:val="18"/>
                <w:szCs w:val="18"/>
                <w:lang w:bidi="ar"/>
              </w:rPr>
              <w:t>subForce0 = [nodeReaction 65] (6 DOFs), subForce2 = [nodeReaction 165] (6 DOFs); subForce concatenated (12 comps)</w:t>
            </w:r>
          </w:p>
        </w:tc>
      </w:tr>
      <w:tr w14:paraId="44B084F6">
        <w:tblPrEx>
          <w:tblCellMar>
            <w:top w:w="15" w:type="dxa"/>
            <w:left w:w="15" w:type="dxa"/>
            <w:bottom w:w="15" w:type="dxa"/>
            <w:right w:w="15" w:type="dxa"/>
          </w:tblCellMar>
        </w:tblPrEx>
        <w:trPr>
          <w:tblCellSpacing w:w="15" w:type="dxa"/>
        </w:trPr>
        <w:tc>
          <w:tcPr>
            <w:tcW w:w="0" w:type="auto"/>
            <w:shd w:val="clear" w:color="auto" w:fill="auto"/>
            <w:vAlign w:val="center"/>
          </w:tcPr>
          <w:p w14:paraId="2E456C44">
            <w:pPr>
              <w:widowControl/>
              <w:jc w:val="center"/>
              <w:rPr>
                <w:kern w:val="0"/>
                <w:sz w:val="18"/>
                <w:szCs w:val="18"/>
                <w:lang w:bidi="ar"/>
              </w:rPr>
            </w:pPr>
            <w:r>
              <w:rPr>
                <w:kern w:val="0"/>
                <w:sz w:val="18"/>
                <w:szCs w:val="18"/>
                <w:lang w:bidi="ar"/>
              </w:rPr>
              <w:t>Corrector loads (L2)</w:t>
            </w:r>
          </w:p>
        </w:tc>
        <w:tc>
          <w:tcPr>
            <w:tcW w:w="0" w:type="auto"/>
            <w:shd w:val="clear" w:color="auto" w:fill="auto"/>
            <w:vAlign w:val="center"/>
          </w:tcPr>
          <w:p w14:paraId="017844C9">
            <w:pPr>
              <w:widowControl/>
              <w:jc w:val="center"/>
              <w:rPr>
                <w:kern w:val="0"/>
                <w:sz w:val="18"/>
                <w:szCs w:val="18"/>
                <w:lang w:bidi="ar"/>
              </w:rPr>
            </w:pPr>
            <w:r>
              <w:rPr>
                <w:kern w:val="0"/>
                <w:sz w:val="18"/>
                <w:szCs w:val="18"/>
                <w:lang w:bidi="ar"/>
              </w:rPr>
              <w:t>Nodes 65 and 2</w:t>
            </w:r>
          </w:p>
        </w:tc>
        <w:tc>
          <w:tcPr>
            <w:tcW w:w="0" w:type="auto"/>
            <w:shd w:val="clear" w:color="auto" w:fill="auto"/>
            <w:vAlign w:val="center"/>
          </w:tcPr>
          <w:p w14:paraId="0114AF5A">
            <w:pPr>
              <w:widowControl/>
              <w:jc w:val="center"/>
              <w:rPr>
                <w:kern w:val="0"/>
                <w:sz w:val="18"/>
                <w:szCs w:val="18"/>
                <w:lang w:bidi="ar"/>
              </w:rPr>
            </w:pPr>
            <w:r>
              <w:rPr>
                <w:kern w:val="0"/>
                <w:sz w:val="18"/>
                <w:szCs w:val="18"/>
                <w:lang w:bidi="ar"/>
              </w:rPr>
              <w:t>correctorLoad.tcl</w:t>
            </w:r>
          </w:p>
        </w:tc>
        <w:tc>
          <w:tcPr>
            <w:tcW w:w="0" w:type="auto"/>
            <w:shd w:val="clear" w:color="auto" w:fill="auto"/>
            <w:vAlign w:val="center"/>
          </w:tcPr>
          <w:p w14:paraId="7FDAA197">
            <w:pPr>
              <w:widowControl/>
              <w:jc w:val="center"/>
              <w:rPr>
                <w:kern w:val="0"/>
                <w:sz w:val="18"/>
                <w:szCs w:val="18"/>
                <w:lang w:bidi="ar"/>
              </w:rPr>
            </w:pPr>
            <w:r>
              <w:rPr>
                <w:kern w:val="0"/>
                <w:sz w:val="18"/>
                <w:szCs w:val="18"/>
                <w:lang w:bidi="ar"/>
              </w:rPr>
              <w:t>For each DOF i: timeSeries Path with times "0. t t+dt 1000." and values "0 0 ΔF ΔF", ΔF = mainForce − subForce; apply via Plain pattern and load command. DOF mapping modulo 6; tag advancement per 6 DOFs</w:t>
            </w:r>
          </w:p>
        </w:tc>
      </w:tr>
      <w:tr w14:paraId="15951D44">
        <w:tblPrEx>
          <w:tblCellMar>
            <w:top w:w="15" w:type="dxa"/>
            <w:left w:w="15" w:type="dxa"/>
            <w:bottom w:w="15" w:type="dxa"/>
            <w:right w:w="15" w:type="dxa"/>
          </w:tblCellMar>
        </w:tblPrEx>
        <w:trPr>
          <w:tblCellSpacing w:w="15" w:type="dxa"/>
        </w:trPr>
        <w:tc>
          <w:tcPr>
            <w:tcW w:w="0" w:type="auto"/>
            <w:shd w:val="clear" w:color="auto" w:fill="auto"/>
            <w:vAlign w:val="center"/>
          </w:tcPr>
          <w:p w14:paraId="11359C6A">
            <w:pPr>
              <w:widowControl/>
              <w:jc w:val="center"/>
              <w:rPr>
                <w:kern w:val="0"/>
                <w:sz w:val="18"/>
                <w:szCs w:val="18"/>
                <w:lang w:bidi="ar"/>
              </w:rPr>
            </w:pPr>
            <w:r>
              <w:rPr>
                <w:kern w:val="0"/>
                <w:sz w:val="18"/>
                <w:szCs w:val="18"/>
                <w:lang w:bidi="ar"/>
              </w:rPr>
              <w:t>Imposed motions (L2)</w:t>
            </w:r>
          </w:p>
        </w:tc>
        <w:tc>
          <w:tcPr>
            <w:tcW w:w="0" w:type="auto"/>
            <w:shd w:val="clear" w:color="auto" w:fill="auto"/>
            <w:vAlign w:val="center"/>
          </w:tcPr>
          <w:p w14:paraId="59E9FF86">
            <w:pPr>
              <w:widowControl/>
              <w:jc w:val="center"/>
              <w:rPr>
                <w:kern w:val="0"/>
                <w:sz w:val="18"/>
                <w:szCs w:val="18"/>
                <w:lang w:bidi="ar"/>
              </w:rPr>
            </w:pPr>
            <w:r>
              <w:rPr>
                <w:kern w:val="0"/>
                <w:sz w:val="18"/>
                <w:szCs w:val="18"/>
                <w:lang w:bidi="ar"/>
              </w:rPr>
              <w:t>Nodes {65, 165}</w:t>
            </w:r>
          </w:p>
        </w:tc>
        <w:tc>
          <w:tcPr>
            <w:tcW w:w="0" w:type="auto"/>
            <w:shd w:val="clear" w:color="auto" w:fill="auto"/>
            <w:vAlign w:val="center"/>
          </w:tcPr>
          <w:p w14:paraId="682B4B34">
            <w:pPr>
              <w:widowControl/>
              <w:jc w:val="center"/>
              <w:rPr>
                <w:kern w:val="0"/>
                <w:sz w:val="18"/>
                <w:szCs w:val="18"/>
                <w:lang w:bidi="ar"/>
              </w:rPr>
            </w:pPr>
            <w:r>
              <w:rPr>
                <w:kern w:val="0"/>
                <w:sz w:val="18"/>
                <w:szCs w:val="18"/>
                <w:lang w:bidi="ar"/>
              </w:rPr>
              <w:t>dispLoadg/t/r.tcl</w:t>
            </w:r>
          </w:p>
        </w:tc>
        <w:tc>
          <w:tcPr>
            <w:tcW w:w="0" w:type="auto"/>
            <w:shd w:val="clear" w:color="auto" w:fill="auto"/>
            <w:vAlign w:val="center"/>
          </w:tcPr>
          <w:p w14:paraId="6A01F1CD">
            <w:pPr>
              <w:widowControl/>
              <w:jc w:val="center"/>
              <w:rPr>
                <w:kern w:val="0"/>
                <w:sz w:val="18"/>
                <w:szCs w:val="18"/>
                <w:lang w:bidi="ar"/>
              </w:rPr>
            </w:pPr>
            <w:r>
              <w:rPr>
                <w:kern w:val="0"/>
                <w:sz w:val="18"/>
                <w:szCs w:val="18"/>
                <w:lang w:bidi="ar"/>
              </w:rPr>
              <w:t>MultipleSupport patterns with groundMotion Plain: gravity uses Linear factors; transient uses Path from full histories; replacement refreshes short paths</w:t>
            </w:r>
          </w:p>
        </w:tc>
      </w:tr>
    </w:tbl>
    <w:p w14:paraId="7A25E43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Mono">
    <w:altName w:val="Courier New"/>
    <w:panose1 w:val="00000000000000000000"/>
    <w:charset w:val="01"/>
    <w:family w:val="modern"/>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41045A"/>
    <w:rsid w:val="7D410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reformatted Text"/>
    <w:basedOn w:val="1"/>
    <w:qFormat/>
    <w:uiPriority w:val="0"/>
    <w:rPr>
      <w:rFonts w:ascii="Liberation Mono" w:hAnsi="Liberation Mono" w:eastAsia="Liberation Mono" w:cs="Liberation Mono"/>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2026-01-08T05:33:00Z</dcterms:created>
  <dc:creator>张宁</dc:creator>
  <cp:lastModifiedBy>张宁</cp:lastModifiedBy>
  <dcterms:modified xsi:type="dcterms:W3CDTF">2026-01-08T05:33:19Z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22344E4D6FB9423AAD72EF51488BD512_11</vt:lpwstr>
  </property>
  <property fmtid="{D5CDD505-2E9C-101B-9397-08002B2CF9AE}" pid="4" name="KSOTemplateDocerSaveRecord">
    <vt:lpwstr>eyJoZGlkIjoiNGRhZDE4MTZjODAxNmZmNzJmZjc0ZmMyYjFjNTM1MjEiLCJ1c2VySWQiOiIzMTU4NDkzMzEifQ==</vt:lpwstr>
  </property>
</Properties>
</file>