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2029"/>
        <w:gridCol w:w="1968"/>
        <w:gridCol w:w="4788"/>
      </w:tblGrid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Item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r w:rsidRPr="00B02FA3">
              <w:t>Name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>
              <w:t xml:space="preserve">Component </w:t>
            </w:r>
            <w:r w:rsidRPr="00B02FA3">
              <w:t>Desc</w:t>
            </w:r>
            <w:r>
              <w:t>ription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0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r w:rsidRPr="00B02FA3">
              <w:t>OpenSextant Commons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>Often used data model for abstracting gazetteer data and the core attributes about textual annotations;  As well as any common text and IO utilities used across 2 or more OpenSextant modules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1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r w:rsidRPr="00B02FA3">
              <w:t>Gazetteer Processing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 xml:space="preserve">This component is responsible for the fetching, cleaning, and transformation of the source gazetteer data sets into a single clean consistent gazetteer data set ready to be used by the </w:t>
            </w:r>
            <w:proofErr w:type="spellStart"/>
            <w:r w:rsidRPr="00B02FA3">
              <w:t>geotagger</w:t>
            </w:r>
            <w:proofErr w:type="spellEnd"/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 w:rsidP="00B02FA3">
            <w:r w:rsidRPr="00B02FA3">
              <w:t>1a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r w:rsidRPr="00B02FA3">
              <w:t>Gazetteer data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 w:rsidP="002345A6">
            <w:r w:rsidRPr="00B02FA3">
              <w:t xml:space="preserve">This is the actual gazetteer data produced by the gazetteer cleaning/transforming process. This may take the form of either a CSV file or a prebuilt </w:t>
            </w:r>
            <w:proofErr w:type="spellStart"/>
            <w:r w:rsidR="002345A6">
              <w:t>Solr</w:t>
            </w:r>
            <w:proofErr w:type="spellEnd"/>
            <w:r w:rsidR="002345A6">
              <w:t xml:space="preserve"> </w:t>
            </w:r>
            <w:r w:rsidRPr="00B02FA3">
              <w:t>gazetteer (see item #2)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2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r>
              <w:t>Gazetteer Repository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 w:rsidP="00526A01">
            <w:r w:rsidRPr="00B02FA3">
              <w:t>This component s</w:t>
            </w:r>
            <w:r>
              <w:t>tores the gazetteer</w:t>
            </w:r>
            <w:r w:rsidR="00526A01">
              <w:t xml:space="preserve"> information. Built on </w:t>
            </w:r>
            <w:proofErr w:type="spellStart"/>
            <w:r>
              <w:t>Solr</w:t>
            </w:r>
            <w:proofErr w:type="spellEnd"/>
            <w:r>
              <w:t>.</w:t>
            </w:r>
            <w:r w:rsidRPr="00B02FA3">
              <w:t xml:space="preserve"> 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3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proofErr w:type="spellStart"/>
            <w:r w:rsidRPr="00B02FA3">
              <w:t>Solr</w:t>
            </w:r>
            <w:proofErr w:type="spellEnd"/>
            <w:r w:rsidRPr="00B02FA3">
              <w:t xml:space="preserve"> Matcher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 xml:space="preserve">This component provides the document-to-gazetteer matching for the </w:t>
            </w:r>
            <w:proofErr w:type="spellStart"/>
            <w:r w:rsidRPr="00B02FA3">
              <w:t>Solr</w:t>
            </w:r>
            <w:proofErr w:type="spellEnd"/>
            <w:r w:rsidRPr="00B02FA3">
              <w:t xml:space="preserve"> repository. It is identified as a separate component since it may be contributed to the </w:t>
            </w:r>
            <w:proofErr w:type="spellStart"/>
            <w:r w:rsidRPr="00B02FA3">
              <w:t>Solr</w:t>
            </w:r>
            <w:proofErr w:type="spellEnd"/>
            <w:r w:rsidRPr="00B02FA3">
              <w:t xml:space="preserve"> project baseline (independent of any OpenSextant open sourcing effort)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4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proofErr w:type="spellStart"/>
            <w:r w:rsidRPr="00B02FA3">
              <w:t>Xponents</w:t>
            </w:r>
            <w:proofErr w:type="spellEnd"/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 xml:space="preserve">These set of components provide the implementations for the finding </w:t>
            </w:r>
            <w:proofErr w:type="spellStart"/>
            <w:r w:rsidRPr="00B02FA3">
              <w:t>geocoords</w:t>
            </w:r>
            <w:proofErr w:type="spellEnd"/>
            <w:r w:rsidRPr="00B02FA3">
              <w:t xml:space="preserve"> (</w:t>
            </w:r>
            <w:proofErr w:type="spellStart"/>
            <w:r w:rsidRPr="00B02FA3">
              <w:t>Xcoords</w:t>
            </w:r>
            <w:proofErr w:type="spellEnd"/>
            <w:r w:rsidRPr="00B02FA3">
              <w:t>) and date/time information (</w:t>
            </w:r>
            <w:proofErr w:type="spellStart"/>
            <w:r w:rsidRPr="00B02FA3">
              <w:t>Xtemporal</w:t>
            </w:r>
            <w:proofErr w:type="spellEnd"/>
            <w:r w:rsidRPr="00B02FA3">
              <w:t xml:space="preserve">). Further components are planned (details TBD). These are identified as separate components since they can be used independently as standalone coordinate and date/time extractors for use cases which do not need or cannot support the full OpenSextant extraction processes. 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 w:rsidP="00B02FA3">
            <w:r w:rsidRPr="00B02FA3">
              <w:t>4a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proofErr w:type="spellStart"/>
            <w:r w:rsidRPr="00B02FA3">
              <w:t>FlexPat</w:t>
            </w:r>
            <w:proofErr w:type="spellEnd"/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526A01">
            <w:r>
              <w:t>A gramma</w:t>
            </w:r>
            <w:r w:rsidR="00B02FA3" w:rsidRPr="00B02FA3">
              <w:t>r based on REGEX for defining and testing pattern-based extraction which yields higher level text annotations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 w:rsidP="00B02FA3">
            <w:r w:rsidRPr="00B02FA3">
              <w:t>4b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proofErr w:type="spellStart"/>
            <w:r w:rsidRPr="00B02FA3">
              <w:t>Xtext</w:t>
            </w:r>
            <w:proofErr w:type="spellEnd"/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 xml:space="preserve">A component used for acquiring text from data artifacts; Captures important metadata, text payload properly in UTF-8, and other mechanics of input files;  </w:t>
            </w:r>
            <w:proofErr w:type="spellStart"/>
            <w:r w:rsidRPr="00B02FA3">
              <w:t>Xtext</w:t>
            </w:r>
            <w:proofErr w:type="spellEnd"/>
            <w:r w:rsidRPr="00B02FA3">
              <w:t xml:space="preserve"> offers a way of persisting organizing conversions on disk as well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 w:rsidP="00B02FA3">
            <w:r w:rsidRPr="00B02FA3">
              <w:t>4c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proofErr w:type="spellStart"/>
            <w:r w:rsidRPr="00B02FA3">
              <w:t>Xcoord</w:t>
            </w:r>
            <w:proofErr w:type="spellEnd"/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>Geographic coordinate extraction and normalization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 w:rsidP="00B02FA3">
            <w:r w:rsidRPr="00B02FA3">
              <w:t>4d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proofErr w:type="spellStart"/>
            <w:r w:rsidRPr="00B02FA3">
              <w:t>Xtemp</w:t>
            </w:r>
            <w:proofErr w:type="spellEnd"/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>Date and time extraction and normalization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5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r w:rsidRPr="00B02FA3">
              <w:t>OpenSextant Toolbox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 w:rsidP="00B02FA3">
            <w:r>
              <w:t>This component consists of 8</w:t>
            </w:r>
            <w:r w:rsidRPr="00B02FA3">
              <w:t xml:space="preserve"> Natural Language Processing (NLP) components (called </w:t>
            </w:r>
            <w:proofErr w:type="spellStart"/>
            <w:r w:rsidRPr="00B02FA3">
              <w:t>ProcessingResources</w:t>
            </w:r>
            <w:proofErr w:type="spellEnd"/>
            <w:r w:rsidRPr="00B02FA3">
              <w:t xml:space="preserve">) which can be combined with other </w:t>
            </w:r>
            <w:proofErr w:type="spellStart"/>
            <w:r w:rsidRPr="00B02FA3">
              <w:t>ProcessingResources</w:t>
            </w:r>
            <w:proofErr w:type="spellEnd"/>
            <w:r w:rsidRPr="00B02FA3">
              <w:t xml:space="preserve"> provided by the GATE framework (see GATE dependency below) to build a complete NLP processing pipeline (such as items #7 and #8 below). These </w:t>
            </w:r>
            <w:proofErr w:type="spellStart"/>
            <w:r w:rsidRPr="00B02FA3">
              <w:t>ProcessingResources</w:t>
            </w:r>
            <w:proofErr w:type="spellEnd"/>
            <w:r w:rsidRPr="00B02FA3">
              <w:t xml:space="preserve"> are described on the OpenSextant Toolbox Components </w:t>
            </w:r>
            <w:r>
              <w:t>table below.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6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r w:rsidRPr="00B02FA3">
              <w:t>Language Resources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>This component consists of the rules, patterns, vocabularies and other language data resources used by the OpenSextant Toolbox (this components is data only, no software)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7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proofErr w:type="spellStart"/>
            <w:r w:rsidRPr="00B02FA3">
              <w:t>Geotagger</w:t>
            </w:r>
            <w:proofErr w:type="spellEnd"/>
            <w:r w:rsidRPr="00B02FA3">
              <w:t xml:space="preserve"> Pipeline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 xml:space="preserve">This component is the definition of the complete sequence of steps needed to perform </w:t>
            </w:r>
            <w:proofErr w:type="spellStart"/>
            <w:r w:rsidRPr="00B02FA3">
              <w:t>geotagging</w:t>
            </w:r>
            <w:proofErr w:type="spellEnd"/>
            <w:r w:rsidRPr="00B02FA3">
              <w:t xml:space="preserve">. It consists of a GATE application definition file (XML) which specifies which </w:t>
            </w:r>
            <w:proofErr w:type="spellStart"/>
            <w:r w:rsidRPr="00B02FA3">
              <w:t>ProcessingResources</w:t>
            </w:r>
            <w:proofErr w:type="spellEnd"/>
            <w:r w:rsidRPr="00B02FA3">
              <w:t xml:space="preserve"> (see #5 OpenSextant Toolbox above) and Language Resources (see #6 Language Resources above) are to be used in what order to perform </w:t>
            </w:r>
            <w:proofErr w:type="spellStart"/>
            <w:r w:rsidRPr="00B02FA3">
              <w:t>geotagging</w:t>
            </w:r>
            <w:proofErr w:type="spellEnd"/>
            <w:r w:rsidRPr="00B02FA3">
              <w:t>.</w:t>
            </w:r>
          </w:p>
        </w:tc>
      </w:tr>
      <w:tr w:rsidR="00B02FA3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B02FA3" w:rsidRPr="00B02FA3" w:rsidRDefault="00B02FA3">
            <w:r w:rsidRPr="00B02FA3">
              <w:t>8</w:t>
            </w:r>
          </w:p>
        </w:tc>
        <w:tc>
          <w:tcPr>
            <w:tcW w:w="2029" w:type="dxa"/>
            <w:noWrap/>
            <w:hideMark/>
          </w:tcPr>
          <w:p w:rsidR="00B02FA3" w:rsidRPr="00B02FA3" w:rsidRDefault="00B02FA3">
            <w:r w:rsidRPr="00B02FA3">
              <w:t>General Purpose Extractor Pipeline</w:t>
            </w:r>
          </w:p>
        </w:tc>
        <w:tc>
          <w:tcPr>
            <w:tcW w:w="6756" w:type="dxa"/>
            <w:gridSpan w:val="2"/>
            <w:noWrap/>
            <w:hideMark/>
          </w:tcPr>
          <w:p w:rsidR="00B02FA3" w:rsidRPr="00B02FA3" w:rsidRDefault="00B02FA3">
            <w:r w:rsidRPr="00B02FA3">
              <w:t xml:space="preserve">THIS COMPONENET IS UNDER DEVELOPMENT. This component is the definition of the complete sequence of steps needed to perform general purpose entity extraction It consists of a GATE application definition file </w:t>
            </w:r>
            <w:r w:rsidRPr="00B02FA3">
              <w:lastRenderedPageBreak/>
              <w:t xml:space="preserve">(XML) which specifies which </w:t>
            </w:r>
            <w:proofErr w:type="spellStart"/>
            <w:r w:rsidRPr="00B02FA3">
              <w:t>ProcessingResources</w:t>
            </w:r>
            <w:proofErr w:type="spellEnd"/>
            <w:r w:rsidRPr="00B02FA3">
              <w:t xml:space="preserve"> (see #5 OpenSextant Toolbox above) and Language Resources (see #6 Language Resources above) are to be used in what order to perform general purpose extraction</w:t>
            </w:r>
          </w:p>
        </w:tc>
      </w:tr>
      <w:tr w:rsidR="00063734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063734" w:rsidRPr="00B02FA3" w:rsidRDefault="002B0A99">
            <w:r>
              <w:lastRenderedPageBreak/>
              <w:t>10</w:t>
            </w:r>
          </w:p>
        </w:tc>
        <w:tc>
          <w:tcPr>
            <w:tcW w:w="2029" w:type="dxa"/>
            <w:noWrap/>
            <w:hideMark/>
          </w:tcPr>
          <w:p w:rsidR="00063734" w:rsidRPr="00B02FA3" w:rsidRDefault="00063734">
            <w:r w:rsidRPr="00B02FA3">
              <w:t>Applications</w:t>
            </w:r>
          </w:p>
        </w:tc>
        <w:tc>
          <w:tcPr>
            <w:tcW w:w="6756" w:type="dxa"/>
            <w:gridSpan w:val="2"/>
            <w:noWrap/>
            <w:hideMark/>
          </w:tcPr>
          <w:p w:rsidR="00063734" w:rsidRPr="00B02FA3" w:rsidRDefault="00063734">
            <w:r>
              <w:t>It is expected that there will be numerous applications which build open one or more OpenSextant components. Those built by or known to the OpenSextant project are listed below.</w:t>
            </w:r>
          </w:p>
        </w:tc>
      </w:tr>
      <w:tr w:rsidR="00063734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063734" w:rsidRPr="00B02FA3" w:rsidRDefault="002B0A99">
            <w:r>
              <w:t>10</w:t>
            </w:r>
            <w:r w:rsidR="00063734" w:rsidRPr="00B02FA3">
              <w:t>a</w:t>
            </w:r>
          </w:p>
        </w:tc>
        <w:tc>
          <w:tcPr>
            <w:tcW w:w="2029" w:type="dxa"/>
            <w:noWrap/>
            <w:hideMark/>
          </w:tcPr>
          <w:p w:rsidR="00063734" w:rsidRPr="00B02FA3" w:rsidRDefault="00063734">
            <w:r w:rsidRPr="00B02FA3">
              <w:t>OpenSextantRunner</w:t>
            </w:r>
          </w:p>
        </w:tc>
        <w:tc>
          <w:tcPr>
            <w:tcW w:w="6756" w:type="dxa"/>
            <w:gridSpan w:val="2"/>
            <w:noWrap/>
            <w:hideMark/>
          </w:tcPr>
          <w:p w:rsidR="00063734" w:rsidRPr="00B02FA3" w:rsidRDefault="00063734">
            <w:r w:rsidRPr="00B02FA3">
              <w:t xml:space="preserve">A complete command-line based document processing/geocoding pipeline;  Documents are ingested/converted/saved, </w:t>
            </w:r>
            <w:proofErr w:type="spellStart"/>
            <w:r w:rsidRPr="00B02FA3">
              <w:t>gecoded</w:t>
            </w:r>
            <w:proofErr w:type="spellEnd"/>
            <w:r w:rsidRPr="00B02FA3">
              <w:t>… this would work fine as a batch processing for small ~1000s of documents</w:t>
            </w:r>
          </w:p>
        </w:tc>
      </w:tr>
      <w:tr w:rsidR="00063734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063734" w:rsidRPr="00B02FA3" w:rsidRDefault="002B0A99" w:rsidP="00B02FA3">
            <w:r>
              <w:t>10</w:t>
            </w:r>
            <w:r w:rsidR="00063734" w:rsidRPr="00B02FA3">
              <w:t>c</w:t>
            </w:r>
          </w:p>
        </w:tc>
        <w:tc>
          <w:tcPr>
            <w:tcW w:w="2029" w:type="dxa"/>
            <w:noWrap/>
            <w:hideMark/>
          </w:tcPr>
          <w:p w:rsidR="00063734" w:rsidRPr="00B02FA3" w:rsidRDefault="00063734">
            <w:proofErr w:type="spellStart"/>
            <w:r w:rsidRPr="00B02FA3">
              <w:t>SimpleGeocoder</w:t>
            </w:r>
            <w:proofErr w:type="spellEnd"/>
          </w:p>
        </w:tc>
        <w:tc>
          <w:tcPr>
            <w:tcW w:w="6756" w:type="dxa"/>
            <w:gridSpan w:val="2"/>
            <w:noWrap/>
            <w:hideMark/>
          </w:tcPr>
          <w:p w:rsidR="00063734" w:rsidRPr="00B02FA3" w:rsidRDefault="00063734">
            <w:r w:rsidRPr="00B02FA3">
              <w:t>A core geocoding class that provides access to the bare minimum, full geocoding pipeline</w:t>
            </w:r>
          </w:p>
        </w:tc>
      </w:tr>
      <w:tr w:rsidR="00063734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063734" w:rsidRPr="00B02FA3" w:rsidRDefault="002B0A99" w:rsidP="00B02FA3">
            <w:r>
              <w:t>10</w:t>
            </w:r>
            <w:r w:rsidR="00063734" w:rsidRPr="00B02FA3">
              <w:t>d</w:t>
            </w:r>
          </w:p>
        </w:tc>
        <w:tc>
          <w:tcPr>
            <w:tcW w:w="2029" w:type="dxa"/>
            <w:noWrap/>
            <w:hideMark/>
          </w:tcPr>
          <w:p w:rsidR="00063734" w:rsidRPr="00B02FA3" w:rsidRDefault="00063734">
            <w:r w:rsidRPr="00B02FA3">
              <w:t>OpenSextant Desktop</w:t>
            </w:r>
          </w:p>
        </w:tc>
        <w:tc>
          <w:tcPr>
            <w:tcW w:w="6756" w:type="dxa"/>
            <w:gridSpan w:val="2"/>
            <w:noWrap/>
            <w:hideMark/>
          </w:tcPr>
          <w:p w:rsidR="00063734" w:rsidRPr="00B02FA3" w:rsidRDefault="00063734">
            <w:r w:rsidRPr="00B02FA3">
              <w:t>A desktop GUI for an end user to manage their own geocoding runs</w:t>
            </w:r>
          </w:p>
        </w:tc>
      </w:tr>
      <w:tr w:rsidR="00063734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063734" w:rsidRPr="00B02FA3" w:rsidRDefault="002B0A99" w:rsidP="00B02FA3">
            <w:r>
              <w:t>10</w:t>
            </w:r>
            <w:r w:rsidR="00063734" w:rsidRPr="00B02FA3">
              <w:t>e</w:t>
            </w:r>
          </w:p>
        </w:tc>
        <w:tc>
          <w:tcPr>
            <w:tcW w:w="2029" w:type="dxa"/>
            <w:noWrap/>
            <w:hideMark/>
          </w:tcPr>
          <w:p w:rsidR="00063734" w:rsidRPr="00B02FA3" w:rsidRDefault="00063734">
            <w:proofErr w:type="spellStart"/>
            <w:r w:rsidRPr="00B02FA3">
              <w:t>TweetGeocoder</w:t>
            </w:r>
            <w:proofErr w:type="spellEnd"/>
            <w:r w:rsidRPr="00B02FA3">
              <w:t xml:space="preserve"> test</w:t>
            </w:r>
          </w:p>
        </w:tc>
        <w:tc>
          <w:tcPr>
            <w:tcW w:w="6756" w:type="dxa"/>
            <w:gridSpan w:val="2"/>
            <w:noWrap/>
            <w:hideMark/>
          </w:tcPr>
          <w:p w:rsidR="00063734" w:rsidRPr="00B02FA3" w:rsidRDefault="00063734">
            <w:r w:rsidRPr="00B02FA3">
              <w:t xml:space="preserve">A demonstration of how to use a semi-structured data set, </w:t>
            </w:r>
            <w:proofErr w:type="spellStart"/>
            <w:r w:rsidRPr="00B02FA3">
              <w:t>SimpleGeocoder</w:t>
            </w:r>
            <w:proofErr w:type="spellEnd"/>
            <w:r w:rsidRPr="00B02FA3">
              <w:t>, and the OpenSextant output module to generate GIS products live.</w:t>
            </w:r>
          </w:p>
        </w:tc>
      </w:tr>
      <w:tr w:rsidR="00063734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063734" w:rsidRPr="00B02FA3" w:rsidRDefault="002B0A99" w:rsidP="00B02FA3">
            <w:r>
              <w:t>9</w:t>
            </w:r>
          </w:p>
        </w:tc>
        <w:tc>
          <w:tcPr>
            <w:tcW w:w="2029" w:type="dxa"/>
            <w:noWrap/>
            <w:hideMark/>
          </w:tcPr>
          <w:p w:rsidR="00063734" w:rsidRPr="00B02FA3" w:rsidRDefault="00063734">
            <w:r w:rsidRPr="00B02FA3">
              <w:t>Web Services</w:t>
            </w:r>
          </w:p>
        </w:tc>
        <w:tc>
          <w:tcPr>
            <w:tcW w:w="6756" w:type="dxa"/>
            <w:gridSpan w:val="2"/>
            <w:noWrap/>
            <w:hideMark/>
          </w:tcPr>
          <w:p w:rsidR="00063734" w:rsidRPr="00B02FA3" w:rsidRDefault="00063734">
            <w:r w:rsidRPr="00B02FA3">
              <w:t xml:space="preserve">There is some value in figuring out a real full-up WS or REST interface and support it… but this will </w:t>
            </w:r>
            <w:proofErr w:type="spellStart"/>
            <w:r w:rsidRPr="00B02FA3">
              <w:t>lilkely</w:t>
            </w:r>
            <w:proofErr w:type="spellEnd"/>
            <w:r w:rsidRPr="00B02FA3">
              <w:t xml:space="preserve"> be the first thing the OSS community will take on… and others out there will do this much better than we.</w:t>
            </w:r>
          </w:p>
        </w:tc>
      </w:tr>
      <w:tr w:rsidR="002B0A99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2B0A99" w:rsidRPr="00B02FA3" w:rsidRDefault="002B0A99" w:rsidP="002D740B"/>
        </w:tc>
        <w:tc>
          <w:tcPr>
            <w:tcW w:w="2029" w:type="dxa"/>
            <w:noWrap/>
            <w:hideMark/>
          </w:tcPr>
          <w:p w:rsidR="002B0A99" w:rsidRPr="00B02FA3" w:rsidRDefault="002B0A99" w:rsidP="002D740B">
            <w:r w:rsidRPr="00B02FA3">
              <w:t xml:space="preserve">General Purpose Extractor  </w:t>
            </w:r>
            <w:proofErr w:type="spellStart"/>
            <w:r w:rsidRPr="00B02FA3">
              <w:t>webservice</w:t>
            </w:r>
            <w:proofErr w:type="spellEnd"/>
          </w:p>
        </w:tc>
        <w:tc>
          <w:tcPr>
            <w:tcW w:w="6756" w:type="dxa"/>
            <w:gridSpan w:val="2"/>
            <w:noWrap/>
            <w:hideMark/>
          </w:tcPr>
          <w:p w:rsidR="002B0A99" w:rsidRPr="00B02FA3" w:rsidRDefault="002B0A99" w:rsidP="002D740B">
            <w:r w:rsidRPr="00B02FA3">
              <w:t xml:space="preserve">THIS COMPONENT HAS NOT YEST BEEN BUILT. When built, this component will expose the general purpose </w:t>
            </w:r>
            <w:r w:rsidR="002345A6" w:rsidRPr="00B02FA3">
              <w:t>extraction pipeline</w:t>
            </w:r>
            <w:r w:rsidRPr="00B02FA3">
              <w:t xml:space="preserve"> as a web service. Further details TBD.</w:t>
            </w:r>
          </w:p>
        </w:tc>
      </w:tr>
      <w:tr w:rsidR="00063734" w:rsidRPr="00B02FA3" w:rsidTr="008F7FD2">
        <w:trPr>
          <w:trHeight w:val="300"/>
        </w:trPr>
        <w:tc>
          <w:tcPr>
            <w:tcW w:w="791" w:type="dxa"/>
            <w:noWrap/>
            <w:hideMark/>
          </w:tcPr>
          <w:p w:rsidR="00063734" w:rsidRPr="00B02FA3" w:rsidRDefault="00063734"/>
        </w:tc>
        <w:tc>
          <w:tcPr>
            <w:tcW w:w="2029" w:type="dxa"/>
            <w:noWrap/>
            <w:hideMark/>
          </w:tcPr>
          <w:p w:rsidR="00063734" w:rsidRPr="00B02FA3" w:rsidRDefault="00063734">
            <w:r>
              <w:t>OpenSextant</w:t>
            </w:r>
            <w:r w:rsidRPr="00B02FA3">
              <w:t xml:space="preserve"> </w:t>
            </w:r>
            <w:proofErr w:type="spellStart"/>
            <w:r w:rsidRPr="00B02FA3">
              <w:t>Geotagger</w:t>
            </w:r>
            <w:proofErr w:type="spellEnd"/>
            <w:r w:rsidRPr="00B02FA3">
              <w:t xml:space="preserve"> web service</w:t>
            </w:r>
          </w:p>
        </w:tc>
        <w:tc>
          <w:tcPr>
            <w:tcW w:w="6756" w:type="dxa"/>
            <w:gridSpan w:val="2"/>
            <w:noWrap/>
            <w:hideMark/>
          </w:tcPr>
          <w:p w:rsidR="00063734" w:rsidRPr="00B02FA3" w:rsidRDefault="00063734">
            <w:r w:rsidRPr="00B02FA3">
              <w:t xml:space="preserve">This component exposes the </w:t>
            </w:r>
            <w:proofErr w:type="spellStart"/>
            <w:r w:rsidRPr="00B02FA3">
              <w:t>Geotagger</w:t>
            </w:r>
            <w:proofErr w:type="spellEnd"/>
            <w:r w:rsidRPr="00B02FA3">
              <w:t xml:space="preserve"> pipeline as a web service. It also provided the capability to provide the results in a variety of geospatial output formats. This component also provides a basic user web application (user interface) to allow an individual to submit documents to be </w:t>
            </w:r>
            <w:proofErr w:type="spellStart"/>
            <w:r w:rsidRPr="00B02FA3">
              <w:t>geotagged</w:t>
            </w:r>
            <w:proofErr w:type="spellEnd"/>
            <w:r w:rsidRPr="00B02FA3">
              <w:t>.</w:t>
            </w:r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>Toolbox Component</w:t>
            </w:r>
          </w:p>
        </w:tc>
        <w:tc>
          <w:tcPr>
            <w:tcW w:w="4788" w:type="dxa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>Desc</w:t>
            </w:r>
            <w:r>
              <w:rPr>
                <w:rFonts w:ascii="Calibri" w:eastAsia="Times New Roman" w:hAnsi="Calibri" w:cs="Times New Roman"/>
                <w:color w:val="000000"/>
              </w:rPr>
              <w:t>ription</w:t>
            </w:r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NaiveTaggerSolr</w:t>
            </w:r>
            <w:proofErr w:type="spellEnd"/>
          </w:p>
        </w:tc>
        <w:tc>
          <w:tcPr>
            <w:tcW w:w="4788" w:type="dxa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Matches gazetteer entries to document contents. Based on </w:t>
            </w: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Solr</w:t>
            </w:r>
            <w:proofErr w:type="spellEnd"/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. The primary </w:t>
            </w: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NaiveTagger</w:t>
            </w:r>
            <w:proofErr w:type="spellEnd"/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PhoneticTagger</w:t>
            </w:r>
            <w:proofErr w:type="spellEnd"/>
          </w:p>
        </w:tc>
        <w:tc>
          <w:tcPr>
            <w:tcW w:w="4788" w:type="dxa"/>
            <w:noWrap/>
            <w:hideMark/>
          </w:tcPr>
          <w:p w:rsidR="008F7FD2" w:rsidRPr="008F7FD2" w:rsidRDefault="008F7FD2" w:rsidP="002345A6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Tags tokens with phonetic or simplified version of the token. </w:t>
            </w:r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>Cantilever</w:t>
            </w:r>
          </w:p>
        </w:tc>
        <w:tc>
          <w:tcPr>
            <w:tcW w:w="4788" w:type="dxa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A geospatial specific form of </w:t>
            </w: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coreferencer</w:t>
            </w:r>
            <w:proofErr w:type="spellEnd"/>
            <w:r w:rsidRPr="008F7FD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CaseDetector</w:t>
            </w:r>
            <w:proofErr w:type="spellEnd"/>
          </w:p>
        </w:tc>
        <w:tc>
          <w:tcPr>
            <w:tcW w:w="4788" w:type="dxa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>Determines if a document is written in  all upper, all lower or "proper" case</w:t>
            </w:r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GeocoordFinder</w:t>
            </w:r>
            <w:proofErr w:type="spellEnd"/>
          </w:p>
        </w:tc>
        <w:tc>
          <w:tcPr>
            <w:tcW w:w="4788" w:type="dxa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Tags </w:t>
            </w: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gecoords</w:t>
            </w:r>
            <w:proofErr w:type="spellEnd"/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 in documents. Built on top of </w:t>
            </w: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Xcoord</w:t>
            </w:r>
            <w:proofErr w:type="spellEnd"/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DateFinder</w:t>
            </w:r>
            <w:proofErr w:type="spellEnd"/>
          </w:p>
        </w:tc>
        <w:tc>
          <w:tcPr>
            <w:tcW w:w="4788" w:type="dxa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Tags date/time information in documents. Built on top of </w:t>
            </w: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Xtemporal</w:t>
            </w:r>
            <w:proofErr w:type="spellEnd"/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7FD2">
              <w:rPr>
                <w:rFonts w:ascii="Calibri" w:eastAsia="Times New Roman" w:hAnsi="Calibri" w:cs="Times New Roman"/>
                <w:color w:val="000000"/>
              </w:rPr>
              <w:t>POSTagger</w:t>
            </w:r>
            <w:proofErr w:type="spellEnd"/>
          </w:p>
        </w:tc>
        <w:tc>
          <w:tcPr>
            <w:tcW w:w="4788" w:type="dxa"/>
            <w:noWrap/>
            <w:hideMark/>
          </w:tcPr>
          <w:p w:rsidR="008F7FD2" w:rsidRPr="008F7FD2" w:rsidRDefault="008F7FD2" w:rsidP="002345A6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>IN PROGRESS</w:t>
            </w:r>
            <w:proofErr w:type="gramStart"/>
            <w:r w:rsidRPr="008F7FD2">
              <w:rPr>
                <w:rFonts w:ascii="Calibri" w:eastAsia="Times New Roman" w:hAnsi="Calibri" w:cs="Times New Roman"/>
                <w:color w:val="000000"/>
              </w:rPr>
              <w:t>,REWORK</w:t>
            </w:r>
            <w:proofErr w:type="gramEnd"/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 FROM </w:t>
            </w:r>
            <w:r w:rsidR="002345A6">
              <w:rPr>
                <w:rFonts w:ascii="Calibri" w:eastAsia="Times New Roman" w:hAnsi="Calibri" w:cs="Times New Roman"/>
                <w:color w:val="000000"/>
              </w:rPr>
              <w:t>EARLIER</w:t>
            </w:r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 FORM TO OPENSEXTANT FORM. Tags tokens with their part of speech. Used by the General Purpose extraction process</w:t>
            </w:r>
          </w:p>
        </w:tc>
      </w:tr>
      <w:tr w:rsidR="008F7FD2" w:rsidRPr="008F7FD2" w:rsidTr="008F7FD2">
        <w:trPr>
          <w:trHeight w:val="300"/>
        </w:trPr>
        <w:tc>
          <w:tcPr>
            <w:tcW w:w="4788" w:type="dxa"/>
            <w:gridSpan w:val="3"/>
            <w:noWrap/>
            <w:hideMark/>
          </w:tcPr>
          <w:p w:rsidR="008F7FD2" w:rsidRPr="008F7FD2" w:rsidRDefault="008F7FD2" w:rsidP="008F7FD2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>Decapitator</w:t>
            </w:r>
          </w:p>
        </w:tc>
        <w:tc>
          <w:tcPr>
            <w:tcW w:w="4788" w:type="dxa"/>
            <w:noWrap/>
            <w:hideMark/>
          </w:tcPr>
          <w:p w:rsidR="008F7FD2" w:rsidRPr="008F7FD2" w:rsidRDefault="008F7FD2" w:rsidP="002345A6">
            <w:pPr>
              <w:rPr>
                <w:rFonts w:ascii="Calibri" w:eastAsia="Times New Roman" w:hAnsi="Calibri" w:cs="Times New Roman"/>
                <w:color w:val="000000"/>
              </w:rPr>
            </w:pPr>
            <w:r w:rsidRPr="008F7FD2">
              <w:rPr>
                <w:rFonts w:ascii="Calibri" w:eastAsia="Times New Roman" w:hAnsi="Calibri" w:cs="Times New Roman"/>
                <w:color w:val="000000"/>
              </w:rPr>
              <w:t>IN PROGRESS</w:t>
            </w:r>
            <w:proofErr w:type="gramStart"/>
            <w:r w:rsidRPr="008F7FD2">
              <w:rPr>
                <w:rFonts w:ascii="Calibri" w:eastAsia="Times New Roman" w:hAnsi="Calibri" w:cs="Times New Roman"/>
                <w:color w:val="000000"/>
              </w:rPr>
              <w:t>,REWORK</w:t>
            </w:r>
            <w:proofErr w:type="gramEnd"/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 FROM </w:t>
            </w:r>
            <w:r w:rsidR="002345A6">
              <w:rPr>
                <w:rFonts w:ascii="Calibri" w:eastAsia="Times New Roman" w:hAnsi="Calibri" w:cs="Times New Roman"/>
                <w:color w:val="000000"/>
              </w:rPr>
              <w:t>EARLIER</w:t>
            </w:r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 FORM TO OPENSEXTANT FORM . Converts documents </w:t>
            </w:r>
            <w:bookmarkStart w:id="0" w:name="_GoBack"/>
            <w:bookmarkEnd w:id="0"/>
            <w:r w:rsidRPr="008F7FD2">
              <w:rPr>
                <w:rFonts w:ascii="Calibri" w:eastAsia="Times New Roman" w:hAnsi="Calibri" w:cs="Times New Roman"/>
                <w:color w:val="000000"/>
              </w:rPr>
              <w:t xml:space="preserve">written in all upper, all lower or inconsistent case </w:t>
            </w:r>
            <w:r w:rsidRPr="008F7FD2">
              <w:rPr>
                <w:rFonts w:ascii="Calibri" w:eastAsia="Times New Roman" w:hAnsi="Calibri" w:cs="Times New Roman"/>
                <w:color w:val="000000"/>
              </w:rPr>
              <w:lastRenderedPageBreak/>
              <w:t>to "proper" case.</w:t>
            </w:r>
          </w:p>
        </w:tc>
      </w:tr>
    </w:tbl>
    <w:p w:rsidR="00480CD3" w:rsidRDefault="008F7FD2">
      <w:r>
        <w:lastRenderedPageBreak/>
        <w:t>Toolbox components</w:t>
      </w:r>
    </w:p>
    <w:p w:rsidR="00A141B6" w:rsidRDefault="00A141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2029"/>
        <w:gridCol w:w="6756"/>
      </w:tblGrid>
      <w:tr w:rsidR="00A141B6" w:rsidRPr="00B02FA3" w:rsidTr="002D740B">
        <w:trPr>
          <w:trHeight w:val="300"/>
        </w:trPr>
        <w:tc>
          <w:tcPr>
            <w:tcW w:w="791" w:type="dxa"/>
            <w:noWrap/>
            <w:hideMark/>
          </w:tcPr>
          <w:p w:rsidR="00A141B6" w:rsidRPr="00B02FA3" w:rsidRDefault="00A141B6" w:rsidP="002D740B"/>
        </w:tc>
        <w:tc>
          <w:tcPr>
            <w:tcW w:w="2029" w:type="dxa"/>
            <w:noWrap/>
            <w:hideMark/>
          </w:tcPr>
          <w:p w:rsidR="00A141B6" w:rsidRPr="00B02FA3" w:rsidRDefault="00A141B6" w:rsidP="002D740B">
            <w:r w:rsidRPr="00B02FA3">
              <w:t>GATE</w:t>
            </w:r>
          </w:p>
        </w:tc>
        <w:tc>
          <w:tcPr>
            <w:tcW w:w="6756" w:type="dxa"/>
            <w:noWrap/>
            <w:hideMark/>
          </w:tcPr>
          <w:p w:rsidR="00A141B6" w:rsidRPr="00B02FA3" w:rsidRDefault="00A141B6" w:rsidP="002D740B">
            <w:r w:rsidRPr="00B02FA3">
              <w:t xml:space="preserve">External Open source dependency (GATE Project) GATE is an open source NLP framework which provide the basic infrastructure for document processing, text analysis and entity extraction. The OpenSextant Toolbox (item #5 above) extends this framework by providing </w:t>
            </w:r>
            <w:proofErr w:type="spellStart"/>
            <w:r w:rsidRPr="00B02FA3">
              <w:t>ProcessingResources</w:t>
            </w:r>
            <w:proofErr w:type="spellEnd"/>
            <w:r w:rsidRPr="00B02FA3">
              <w:t xml:space="preserve"> needed for </w:t>
            </w:r>
            <w:proofErr w:type="spellStart"/>
            <w:r w:rsidRPr="00B02FA3">
              <w:t>geotagging</w:t>
            </w:r>
            <w:proofErr w:type="spellEnd"/>
            <w:r w:rsidRPr="00B02FA3">
              <w:t xml:space="preserve"> and general purpose extraction</w:t>
            </w:r>
          </w:p>
        </w:tc>
      </w:tr>
      <w:tr w:rsidR="00A141B6" w:rsidRPr="00B02FA3" w:rsidTr="002D740B">
        <w:trPr>
          <w:trHeight w:val="300"/>
        </w:trPr>
        <w:tc>
          <w:tcPr>
            <w:tcW w:w="791" w:type="dxa"/>
            <w:noWrap/>
            <w:hideMark/>
          </w:tcPr>
          <w:p w:rsidR="00A141B6" w:rsidRPr="00B02FA3" w:rsidRDefault="00A141B6" w:rsidP="002D740B"/>
        </w:tc>
        <w:tc>
          <w:tcPr>
            <w:tcW w:w="2029" w:type="dxa"/>
            <w:noWrap/>
            <w:hideMark/>
          </w:tcPr>
          <w:p w:rsidR="00A141B6" w:rsidRPr="00B02FA3" w:rsidRDefault="00A141B6" w:rsidP="002D740B">
            <w:r>
              <w:t>K</w:t>
            </w:r>
            <w:r w:rsidRPr="00B02FA3">
              <w:t>ettle</w:t>
            </w:r>
          </w:p>
        </w:tc>
        <w:tc>
          <w:tcPr>
            <w:tcW w:w="6756" w:type="dxa"/>
            <w:noWrap/>
            <w:hideMark/>
          </w:tcPr>
          <w:p w:rsidR="00A141B6" w:rsidRPr="00B02FA3" w:rsidRDefault="00A141B6" w:rsidP="002D740B">
            <w:r w:rsidRPr="00B02FA3">
              <w:t>External open source dependency (</w:t>
            </w:r>
            <w:proofErr w:type="spellStart"/>
            <w:r w:rsidRPr="00B02FA3">
              <w:t>Pentaho</w:t>
            </w:r>
            <w:proofErr w:type="spellEnd"/>
            <w:r w:rsidRPr="00B02FA3">
              <w:t xml:space="preserve"> </w:t>
            </w:r>
            <w:proofErr w:type="spellStart"/>
            <w:r w:rsidRPr="00B02FA3">
              <w:t>Inc</w:t>
            </w:r>
            <w:proofErr w:type="spellEnd"/>
            <w:r w:rsidRPr="00B02FA3">
              <w:t xml:space="preserve">) Kettle (aka </w:t>
            </w:r>
            <w:proofErr w:type="spellStart"/>
            <w:r w:rsidRPr="00B02FA3">
              <w:t>Pentaho</w:t>
            </w:r>
            <w:proofErr w:type="spellEnd"/>
            <w:r w:rsidRPr="00B02FA3">
              <w:t xml:space="preserve"> Data Integration) is an Open Source Extract-Transform-Load application which the OpenSextant project uses to process, clean and transform the gazetteer data.</w:t>
            </w:r>
          </w:p>
        </w:tc>
      </w:tr>
      <w:tr w:rsidR="00A141B6" w:rsidRPr="00B02FA3" w:rsidTr="002D740B">
        <w:trPr>
          <w:trHeight w:val="300"/>
        </w:trPr>
        <w:tc>
          <w:tcPr>
            <w:tcW w:w="791" w:type="dxa"/>
            <w:noWrap/>
            <w:hideMark/>
          </w:tcPr>
          <w:p w:rsidR="00A141B6" w:rsidRPr="00B02FA3" w:rsidRDefault="00A141B6" w:rsidP="002D740B"/>
        </w:tc>
        <w:tc>
          <w:tcPr>
            <w:tcW w:w="2029" w:type="dxa"/>
            <w:noWrap/>
            <w:hideMark/>
          </w:tcPr>
          <w:p w:rsidR="00A141B6" w:rsidRPr="00B02FA3" w:rsidRDefault="00A141B6" w:rsidP="002D740B">
            <w:proofErr w:type="spellStart"/>
            <w:r w:rsidRPr="00B02FA3">
              <w:t>giscore</w:t>
            </w:r>
            <w:proofErr w:type="spellEnd"/>
          </w:p>
        </w:tc>
        <w:tc>
          <w:tcPr>
            <w:tcW w:w="6756" w:type="dxa"/>
            <w:noWrap/>
            <w:hideMark/>
          </w:tcPr>
          <w:p w:rsidR="00A141B6" w:rsidRPr="00B02FA3" w:rsidRDefault="00A141B6" w:rsidP="002D740B">
            <w:r w:rsidRPr="00B02FA3">
              <w:t xml:space="preserve">External open source dependency (MITRE </w:t>
            </w:r>
            <w:proofErr w:type="spellStart"/>
            <w:r w:rsidRPr="00B02FA3">
              <w:t>giscore</w:t>
            </w:r>
            <w:proofErr w:type="spellEnd"/>
            <w:r w:rsidRPr="00B02FA3">
              <w:t xml:space="preserve"> project) </w:t>
            </w:r>
            <w:proofErr w:type="spellStart"/>
            <w:r w:rsidRPr="00B02FA3">
              <w:t>giscore</w:t>
            </w:r>
            <w:proofErr w:type="spellEnd"/>
            <w:r w:rsidRPr="00B02FA3">
              <w:t xml:space="preserve"> are a set of Java libraries which can read and write geospatial data formats such as SHAPE files, KML and ESRI File </w:t>
            </w:r>
            <w:proofErr w:type="spellStart"/>
            <w:r w:rsidRPr="00B02FA3">
              <w:t>Geodatabases</w:t>
            </w:r>
            <w:proofErr w:type="spellEnd"/>
            <w:r w:rsidRPr="00B02FA3">
              <w:t xml:space="preserve">. These libraries are used by OpenSextant to create the results returned by the </w:t>
            </w:r>
            <w:proofErr w:type="spellStart"/>
            <w:r w:rsidRPr="00B02FA3">
              <w:t>geotagging</w:t>
            </w:r>
            <w:proofErr w:type="spellEnd"/>
            <w:r w:rsidRPr="00B02FA3">
              <w:t xml:space="preserve"> process.</w:t>
            </w:r>
          </w:p>
        </w:tc>
      </w:tr>
    </w:tbl>
    <w:p w:rsidR="00A141B6" w:rsidRDefault="000913FA">
      <w:r>
        <w:t>Major External dependencies</w:t>
      </w:r>
    </w:p>
    <w:sectPr w:rsidR="00A1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A3"/>
    <w:rsid w:val="00063734"/>
    <w:rsid w:val="000913FA"/>
    <w:rsid w:val="002345A6"/>
    <w:rsid w:val="002B0A99"/>
    <w:rsid w:val="00480CD3"/>
    <w:rsid w:val="00526A01"/>
    <w:rsid w:val="008F7FD2"/>
    <w:rsid w:val="00A141B6"/>
    <w:rsid w:val="00B02FA3"/>
    <w:rsid w:val="00E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Lutz, David P.</cp:lastModifiedBy>
  <cp:revision>8</cp:revision>
  <dcterms:created xsi:type="dcterms:W3CDTF">2013-04-18T18:17:00Z</dcterms:created>
  <dcterms:modified xsi:type="dcterms:W3CDTF">2013-04-25T19:31:00Z</dcterms:modified>
</cp:coreProperties>
</file>