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20"/>
      </w:pPr>
      <w:r>
        <w:rPr>
          <w:b/>
          <w:bCs/>
          <w:color w:val="2E75B6"/>
          <w:sz w:val="24"/>
          <w:szCs w:val="24"/>
        </w:rPr>
        <w:t xml:space="preserve">GIT WARDEN</w:t>
      </w:r>
    </w:p>
    <w:p>
      <w:pPr>
        <w:pStyle w:val="Title"/>
        <w:spacing w:after="160" w:before="80" w:line="240"/>
      </w:pPr>
      <w:r>
        <w:t xml:space="preserve">Malicious Repository Intelligence Engine</w:t>
      </w:r>
    </w:p>
    <w:p>
      <w:pPr>
        <w:spacing w:after="400"/>
      </w:pPr>
      <w:r>
        <w:rPr>
          <w:color w:val="595959"/>
          <w:sz w:val="26"/>
          <w:szCs w:val="26"/>
        </w:rPr>
        <w:t xml:space="preserve">Product Requirements Document</w:t>
      </w:r>
    </w:p>
    <w:p>
      <w:pPr>
        <w:pBdr>
          <w:bottom w:val="single" w:color="1F3864" w:sz="12"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Document</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Product Requirements Document (PRD)</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Project</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Git Warden — Cross-Platform Malicious Repository Intelligence Engine</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Repository</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git-warden (private)</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Owner</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Tim Burns</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Status</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Draft v0.1</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Visibility</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Private repository — gated dashboard (later phase)</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Date</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June 13, 2026</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b w:val="false"/>
          <w:bCs w:val="false"/>
          <w:i w:val="false"/>
          <w:iCs w:val="false"/>
        </w:rPr>
        <w:t xml:space="preserve">This document defines the product requirements for Git Warden, a defensive threat-intelligence engine that discovers, analyzes, and catalogs malicious code repositories across multiple hosting platforms — GitHub, GitLab, and Gitea. The system ingests authoritative open-source threat intelligence, correlates it to repositories and accounts on each platform, runs established malware-analysis tooling against high-confidence candidates, and surfaces validated findings to a human reviewer before anything is treated as confirmed.</w:t>
      </w:r>
    </w:p>
    <w:p>
      <w:pPr>
        <w:spacing w:after="120"/>
      </w:pPr>
      <w:r>
        <w:rPr>
          <w:b w:val="false"/>
          <w:bCs w:val="false"/>
          <w:i w:val="false"/>
          <w:iCs w:val="false"/>
        </w:rPr>
        <w:t xml:space="preserve">The guiding principle is accuracy over volume. The program publishes a small number of high-confidence findings rather than a large number of unverified ones, protecting the credibility of the registry and the people who rely on it. The system is built for intelligence and remediation, not enforcement or offense.</w:t>
      </w:r>
    </w:p>
    <w:p>
      <w:pPr>
        <w:pStyle w:val="Heading1"/>
      </w:pPr>
      <w:r>
        <w:t xml:space="preserve">2. Problem Statement</w:t>
      </w:r>
    </w:p>
    <w:p>
      <w:pPr>
        <w:spacing w:after="120"/>
      </w:pPr>
      <w:r>
        <w:rPr>
          <w:b w:val="false"/>
          <w:bCs w:val="false"/>
          <w:i w:val="false"/>
          <w:iCs w:val="false"/>
        </w:rPr>
        <w:t xml:space="preserve">Malicious code repositories are increasingly disguised as legitimate or red-team tooling and distributed across GitHub, GitLab, and Gitea. The broad acceptance of “research” and “red-teaming” framing gives genuinely malicious projects cover to operate in the open. Each hosting platform is monitored in isolation, with little cross-platform visibility, so the same malicious core can be cloned, renamed, and re-hosted across platforms with minimal friction.</w:t>
      </w:r>
    </w:p>
    <w:p>
      <w:pPr>
        <w:spacing w:after="120"/>
      </w:pPr>
      <w:r>
        <w:rPr>
          <w:b w:val="false"/>
          <w:bCs w:val="false"/>
          <w:i w:val="false"/>
          <w:iCs w:val="false"/>
        </w:rPr>
        <w:t xml:space="preserve">Less-monitored platforms compound the problem. GitLab and especially self-hosted Gitea instances receive far less automated scrutiny than GitHub, making them attractive dumping grounds for cloned and weaponized code. Defenders lack a unified, cross-platform view that links a malicious artifact to its lineage, its authors, and the real-world campaigns it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Core problem: </w:t>
            </w:r>
            <w:r>
              <w:t xml:space="preserve">Disguised malicious repositories proliferate across three siloed platforms faster than fragmented, platform-by-platform detection can keep up.</w:t>
            </w:r>
          </w:p>
        </w:tc>
      </w:tr>
    </w:tbl>
    <w:p>
      <w:pPr>
        <w:pStyle w:val="Heading1"/>
      </w:pPr>
      <w:r>
        <w:t xml:space="preserve">3. Goals</w:t>
      </w:r>
    </w:p>
    <w:p>
      <w:pPr>
        <w:pStyle w:val="ListParagraph"/>
        <w:numPr>
          <w:ilvl w:val="0"/>
          <w:numId w:val="2"/>
        </w:numPr>
      </w:pPr>
      <w:r>
        <w:rPr>
          <w:b/>
          <w:bCs/>
          <w:i w:val="false"/>
          <w:iCs w:val="false"/>
        </w:rPr>
        <w:t xml:space="preserve">Unified registry. </w:t>
      </w:r>
      <w:r>
        <w:rPr>
          <w:b w:val="false"/>
          <w:bCs w:val="false"/>
          <w:i w:val="false"/>
          <w:iCs w:val="false"/>
        </w:rPr>
        <w:t xml:space="preserve">Build a single, accurate, cross-platform intelligence registry of malicious repositories.</w:t>
      </w:r>
    </w:p>
    <w:p>
      <w:pPr>
        <w:pStyle w:val="ListParagraph"/>
        <w:numPr>
          <w:ilvl w:val="0"/>
          <w:numId w:val="2"/>
        </w:numPr>
      </w:pPr>
      <w:r>
        <w:rPr>
          <w:b/>
          <w:bCs/>
          <w:i w:val="false"/>
          <w:iCs w:val="false"/>
        </w:rPr>
        <w:t xml:space="preserve">Structured detection. </w:t>
      </w:r>
      <w:r>
        <w:rPr>
          <w:b w:val="false"/>
          <w:bCs w:val="false"/>
          <w:i w:val="false"/>
          <w:iCs w:val="false"/>
        </w:rPr>
        <w:t xml:space="preserve">Organize detection by language, framework, package ecosystem, naming pattern, and behavioral heuristic.</w:t>
      </w:r>
    </w:p>
    <w:p>
      <w:pPr>
        <w:pStyle w:val="ListParagraph"/>
        <w:numPr>
          <w:ilvl w:val="0"/>
          <w:numId w:val="2"/>
        </w:numPr>
      </w:pPr>
      <w:r>
        <w:rPr>
          <w:b/>
          <w:bCs/>
          <w:i w:val="false"/>
          <w:iCs w:val="false"/>
        </w:rPr>
        <w:t xml:space="preserve">Human-in-the-loop. </w:t>
      </w:r>
      <w:r>
        <w:rPr>
          <w:b w:val="false"/>
          <w:bCs w:val="false"/>
          <w:i w:val="false"/>
          <w:iCs w:val="false"/>
        </w:rPr>
        <w:t xml:space="preserve">Require analyst validation before any candidate is promoted to confirmed (“gold”) status.</w:t>
      </w:r>
    </w:p>
    <w:p>
      <w:pPr>
        <w:pStyle w:val="ListParagraph"/>
        <w:numPr>
          <w:ilvl w:val="0"/>
          <w:numId w:val="2"/>
        </w:numPr>
      </w:pPr>
      <w:r>
        <w:rPr>
          <w:b/>
          <w:bCs/>
          <w:i w:val="false"/>
          <w:iCs w:val="false"/>
        </w:rPr>
        <w:t xml:space="preserve">Defensible methodology. </w:t>
      </w:r>
      <w:r>
        <w:rPr>
          <w:b w:val="false"/>
          <w:bCs w:val="false"/>
          <w:i w:val="false"/>
          <w:iCs w:val="false"/>
        </w:rPr>
        <w:t xml:space="preserve">Maintain a compliant, transparent, auditable process aligned to platform terms of service and to NIST / CIS guidance.</w:t>
      </w:r>
    </w:p>
    <w:p>
      <w:pPr>
        <w:pStyle w:val="Heading1"/>
      </w:pPr>
      <w:r>
        <w:t xml:space="preserve">4. Non-Goals</w:t>
      </w:r>
    </w:p>
    <w:p>
      <w:pPr>
        <w:spacing w:after="120"/>
      </w:pPr>
      <w:r>
        <w:rPr>
          <w:b w:val="false"/>
          <w:bCs w:val="false"/>
          <w:i w:val="false"/>
          <w:iCs w:val="false"/>
        </w:rPr>
        <w:t xml:space="preserve">Explicitly out of scope, at least for the initial releases:</w:t>
      </w:r>
    </w:p>
    <w:p>
      <w:pPr>
        <w:pStyle w:val="ListParagraph"/>
        <w:numPr>
          <w:ilvl w:val="0"/>
          <w:numId w:val="2"/>
        </w:numPr>
      </w:pPr>
      <w:r>
        <w:rPr>
          <w:b/>
          <w:bCs/>
          <w:i w:val="false"/>
          <w:iCs w:val="false"/>
        </w:rPr>
        <w:t xml:space="preserve">Replacing commercial scanners. </w:t>
      </w:r>
      <w:r>
        <w:rPr>
          <w:b w:val="false"/>
          <w:bCs w:val="false"/>
          <w:i w:val="false"/>
          <w:iCs w:val="false"/>
        </w:rPr>
        <w:t xml:space="preserve">The system leverages tools such as Socket and Snyk as inputs; it does not attempt to replace them.</w:t>
      </w:r>
    </w:p>
    <w:p>
      <w:pPr>
        <w:pStyle w:val="ListParagraph"/>
        <w:numPr>
          <w:ilvl w:val="0"/>
          <w:numId w:val="2"/>
        </w:numPr>
      </w:pPr>
      <w:r>
        <w:rPr>
          <w:b/>
          <w:bCs/>
          <w:i w:val="false"/>
          <w:iCs w:val="false"/>
        </w:rPr>
        <w:t xml:space="preserve">Real-time detection at launch. </w:t>
      </w:r>
      <w:r>
        <w:rPr>
          <w:b w:val="false"/>
          <w:bCs w:val="false"/>
          <w:i w:val="false"/>
          <w:iCs w:val="false"/>
        </w:rPr>
        <w:t xml:space="preserve">Runs are weekly and manually initiated until stability is proven.</w:t>
      </w:r>
    </w:p>
    <w:p>
      <w:pPr>
        <w:pStyle w:val="ListParagraph"/>
        <w:numPr>
          <w:ilvl w:val="0"/>
          <w:numId w:val="2"/>
        </w:numPr>
      </w:pPr>
      <w:r>
        <w:rPr>
          <w:b/>
          <w:bCs/>
          <w:i w:val="false"/>
          <w:iCs w:val="false"/>
        </w:rPr>
        <w:t xml:space="preserve">Private repositories. </w:t>
      </w:r>
      <w:r>
        <w:rPr>
          <w:b w:val="false"/>
          <w:bCs w:val="false"/>
          <w:i w:val="false"/>
          <w:iCs w:val="false"/>
        </w:rPr>
        <w:t xml:space="preserve">Only public repositories are in scope.</w:t>
      </w:r>
    </w:p>
    <w:p>
      <w:pPr>
        <w:pStyle w:val="ListParagraph"/>
        <w:numPr>
          <w:ilvl w:val="0"/>
          <w:numId w:val="2"/>
        </w:numPr>
      </w:pPr>
      <w:r>
        <w:rPr>
          <w:b/>
          <w:bCs/>
          <w:i w:val="false"/>
          <w:iCs w:val="false"/>
        </w:rPr>
        <w:t xml:space="preserve">Automated enforcement. </w:t>
      </w:r>
      <w:r>
        <w:rPr>
          <w:b w:val="false"/>
          <w:bCs w:val="false"/>
          <w:i w:val="false"/>
          <w:iCs w:val="false"/>
        </w:rPr>
        <w:t xml:space="preserve">No automated takedowns or reporting actions; output is intelligence for human decision-making.</w:t>
      </w:r>
    </w:p>
    <w:p>
      <w:pPr>
        <w:pStyle w:val="Heading1"/>
      </w:pPr>
      <w:r>
        <w:t xml:space="preserve">5. Success Metrics</w:t>
      </w:r>
    </w:p>
    <w:p>
      <w:pPr>
        <w:spacing w:after="120"/>
      </w:pPr>
      <w:r>
        <w:rPr>
          <w:b w:val="false"/>
          <w:bCs w:val="false"/>
          <w:i w:val="false"/>
          <w:iCs w:val="false"/>
        </w:rPr>
        <w:t xml:space="preserve">The program optimizes for precision. It is preferable to drop a correct candidate than to publish a false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Metric</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Target</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Rationale</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True-positive rate (published)</w:t>
            </w:r>
          </w:p>
        </w:tc>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~95%</w:t>
            </w:r>
          </w:p>
        </w:tc>
        <w:tc>
          <w:tcPr>
            <w:tcW w:type="dxa" w:w="4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Sustains registry credibility</w:t>
            </w:r>
          </w:p>
        </w:tc>
      </w:tr>
      <w:tr>
        <w:tc>
          <w:tcPr>
            <w:tcW w:type="dxa" w:w="34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False positives (published / gold)</w:t>
            </w:r>
          </w:p>
        </w:tc>
        <w:tc>
          <w:tcPr>
            <w:tcW w:type="dxa" w:w="1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~0</w:t>
            </w:r>
          </w:p>
        </w:tc>
        <w:tc>
          <w:tcPr>
            <w:tcW w:type="dxa" w:w="4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 single bad call damages reputation disproportionately</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Source corroboration</w:t>
            </w:r>
          </w:p>
        </w:tc>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 2 independent feeds per actor</w:t>
            </w:r>
          </w:p>
        </w:tc>
        <w:tc>
          <w:tcPr>
            <w:tcW w:type="dxa" w:w="4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Prevents single-source error propagation</w:t>
            </w:r>
          </w:p>
        </w:tc>
      </w:tr>
      <w:tr>
        <w:tc>
          <w:tcPr>
            <w:tcW w:type="dxa" w:w="34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Review latency</w:t>
            </w:r>
          </w:p>
        </w:tc>
        <w:tc>
          <w:tcPr>
            <w:tcW w:type="dxa" w:w="1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Weekly batch</w:t>
            </w:r>
          </w:p>
        </w:tc>
        <w:tc>
          <w:tcPr>
            <w:tcW w:type="dxa" w:w="4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Stability and accuracy prioritized over speed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Stance: </w:t>
            </w:r>
            <w:r>
              <w:t xml:space="preserve">Catch fifty repositories with confidence rather than five hundred with noise. Start small, build reputation, then scale.</w:t>
            </w:r>
          </w:p>
        </w:tc>
      </w:tr>
    </w:tbl>
    <w:p>
      <w:pPr>
        <w:pStyle w:val="Heading1"/>
      </w:pPr>
      <w:r>
        <w:t xml:space="preserve">6. Dual-Use and Abuse Mitigation</w:t>
      </w:r>
    </w:p>
    <w:p>
      <w:pPr>
        <w:spacing w:after="120"/>
      </w:pPr>
      <w:r>
        <w:rPr>
          <w:b w:val="false"/>
          <w:bCs w:val="false"/>
          <w:i w:val="false"/>
          <w:iCs w:val="false"/>
        </w:rPr>
        <w:t xml:space="preserve">By design, a registry of malicious repositories is also a directory that an attacker could use in reverse — to discover malicious code to reuse or to find collaborators. The architecture treats this as a first-class risk:</w:t>
      </w:r>
    </w:p>
    <w:p>
      <w:pPr>
        <w:pStyle w:val="ListParagraph"/>
        <w:numPr>
          <w:ilvl w:val="0"/>
          <w:numId w:val="2"/>
        </w:numPr>
      </w:pPr>
      <w:r>
        <w:rPr>
          <w:b/>
          <w:bCs/>
          <w:i w:val="false"/>
          <w:iCs w:val="false"/>
        </w:rPr>
        <w:t xml:space="preserve">Private hosting. </w:t>
      </w:r>
      <w:r>
        <w:rPr>
          <w:b w:val="false"/>
          <w:bCs w:val="false"/>
          <w:i w:val="false"/>
          <w:iCs w:val="false"/>
        </w:rPr>
        <w:t xml:space="preserve">The repository is private; findings are exposed only through a gated web dashboard in a later phase.</w:t>
      </w:r>
    </w:p>
    <w:p>
      <w:pPr>
        <w:pStyle w:val="ListParagraph"/>
        <w:numPr>
          <w:ilvl w:val="0"/>
          <w:numId w:val="2"/>
        </w:numPr>
      </w:pPr>
      <w:r>
        <w:rPr>
          <w:b/>
          <w:bCs/>
          <w:i w:val="false"/>
          <w:iCs w:val="false"/>
        </w:rPr>
        <w:t xml:space="preserve">Publish rules, not the raw registry. </w:t>
      </w:r>
      <w:r>
        <w:rPr>
          <w:b w:val="false"/>
          <w:bCs w:val="false"/>
          <w:i w:val="false"/>
          <w:iCs w:val="false"/>
        </w:rPr>
        <w:t xml:space="preserve">Detection rules and methodology may be shared publicly; the consolidated list of live malicious repositories is not.</w:t>
      </w:r>
    </w:p>
    <w:p>
      <w:pPr>
        <w:pStyle w:val="ListParagraph"/>
        <w:numPr>
          <w:ilvl w:val="0"/>
          <w:numId w:val="2"/>
        </w:numPr>
      </w:pPr>
      <w:r>
        <w:rPr>
          <w:b/>
          <w:bCs/>
          <w:i w:val="false"/>
          <w:iCs w:val="false"/>
        </w:rPr>
        <w:t xml:space="preserve">Human review channel. </w:t>
      </w:r>
      <w:r>
        <w:rPr>
          <w:b w:val="false"/>
          <w:bCs w:val="false"/>
          <w:i w:val="false"/>
          <w:iCs w:val="false"/>
        </w:rPr>
        <w:t xml:space="preserve">A Discord webhook delivers gold findings to a controlled channel for validation before broader distribution.</w:t>
      </w:r>
    </w:p>
    <w:p>
      <w:pPr>
        <w:pStyle w:val="ListParagraph"/>
        <w:numPr>
          <w:ilvl w:val="0"/>
          <w:numId w:val="2"/>
        </w:numPr>
      </w:pPr>
      <w:r>
        <w:rPr>
          <w:b/>
          <w:bCs/>
          <w:i w:val="false"/>
          <w:iCs w:val="false"/>
        </w:rPr>
        <w:t xml:space="preserve">Auditability. </w:t>
      </w:r>
      <w:r>
        <w:rPr>
          <w:b w:val="false"/>
          <w:bCs w:val="false"/>
          <w:i w:val="false"/>
          <w:iCs w:val="false"/>
        </w:rPr>
        <w:t xml:space="preserve">Dashboard access is authenticated and logged so queries can be reviewed (later phase).</w:t>
      </w:r>
    </w:p>
    <w:p>
      <w:pPr>
        <w:pStyle w:val="Heading1"/>
      </w:pPr>
      <w:r>
        <w:t xml:space="preserve">7. Initial Scope</w:t>
      </w:r>
    </w:p>
    <w:p>
      <w:pPr>
        <w:pStyle w:val="Heading2"/>
      </w:pPr>
      <w:r>
        <w:t xml:space="preserve">7.1 Entry Point: Known Threat-Actor Accounts</w:t>
      </w:r>
    </w:p>
    <w:p>
      <w:pPr>
        <w:spacing w:after="120"/>
      </w:pPr>
      <w:r>
        <w:rPr>
          <w:b w:val="false"/>
          <w:bCs w:val="false"/>
          <w:i w:val="false"/>
          <w:iCs w:val="false"/>
        </w:rPr>
        <w:t xml:space="preserve">The first iteration begins from known threat-actor accounts rather than blind crawling. Categories include advanced persistent threat groups, federated and affiliated attack groups (for example, the Shai-Hulud campaign cluster), nation-state operations, hacktivist collectives, and cartel-affiliated cyber groups. From each known account, the system performs recursive discovery of owned repositories, forks, and contributions.</w:t>
      </w:r>
    </w:p>
    <w:p>
      <w:pPr>
        <w:pStyle w:val="Heading2"/>
      </w:pPr>
      <w:r>
        <w:t xml:space="preserve">7.2 Platform Sequencing</w:t>
      </w:r>
    </w:p>
    <w:p>
      <w:pPr>
        <w:spacing w:after="120"/>
      </w:pPr>
      <w:r>
        <w:rPr>
          <w:b w:val="false"/>
          <w:bCs w:val="false"/>
          <w:i w:val="false"/>
          <w:iCs w:val="false"/>
        </w:rPr>
        <w:t xml:space="preserve">GitHub is the launch platform. GitLab and Gitea expansion is deferred to a later phase once the core hunting loop and validation are stable.</w:t>
      </w:r>
    </w:p>
    <w:p>
      <w:pPr>
        <w:pStyle w:val="Heading1"/>
      </w:pPr>
      <w:r>
        <w:t xml:space="preserve">8. Phased Plan and Timeline</w:t>
      </w:r>
    </w:p>
    <w:p>
      <w:pPr>
        <w:spacing w:after="120"/>
      </w:pPr>
      <w:r>
        <w:rPr>
          <w:b w:val="false"/>
          <w:bCs w:val="false"/>
          <w:i w:val="false"/>
          <w:iCs w:val="false"/>
        </w:rPr>
        <w:t xml:space="preserve">The minimum viable product is delivered over two weeks, with later capabilities sequenced into a second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Phase</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Window</w:t>
            </w:r>
          </w:p>
        </w:tc>
        <w:tc>
          <w:tcPr>
            <w:tcW w:type="dxa" w:w="5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Deliverable</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MVP – Week 1</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Week 1</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Ingestion layer: normalize threat-actor intelligence from multiple feeds into a SQLite store with strict validation.</w:t>
            </w:r>
          </w:p>
        </w:tc>
      </w:tr>
      <w:tr>
        <w:tc>
          <w:tcPr>
            <w:tcW w:type="dxa" w:w="21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MVP – Week 2</w:t>
            </w:r>
          </w:p>
        </w:tc>
        <w:tc>
          <w:tcPr>
            <w:tcW w:type="dxa" w:w="15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Week 2</w:t>
            </w:r>
          </w:p>
        </w:tc>
        <w:tc>
          <w:tcPr>
            <w:tcW w:type="dxa" w:w="57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GitHub scanning layer: query using the validated dataset, run tier-1 and tier-2 analysis, deliver gold findings to Discord.</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Phase 2</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Post-MVP</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Custom bash scanner; GitLab and Gitea expansion; central orchestration layer; gated web dashboard.</w:t>
            </w:r>
          </w:p>
        </w:tc>
      </w:tr>
    </w:tbl>
    <w:p>
      <w:pPr>
        <w:pStyle w:val="Heading1"/>
      </w:pPr>
      <w:r>
        <w:t xml:space="preserve">9. Resources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Concern</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Choice</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Runtime</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GitHub Actions</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Everything runs from and is driven by GitHub</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Language</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Python (custom private scripts)</w:t>
            </w:r>
          </w:p>
        </w:tc>
        <w:tc>
          <w:tcPr>
            <w:tcW w:type="dxa" w:w="39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No off-the-shelf framework for the core logic</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Storage</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SQLite</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Version-controlled; no external database in phase 1</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HTTP / parsing</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requests, BeautifulSoup</w:t>
            </w:r>
          </w:p>
        </w:tc>
        <w:tc>
          <w:tcPr>
            <w:tcW w:type="dxa" w:w="39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Feed retrieval and HTML/RSS parsing</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Validation</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Pydantic</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Schema enforcement and normalization across sources</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Transformation</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pandas</w:t>
            </w:r>
          </w:p>
        </w:tc>
        <w:tc>
          <w:tcPr>
            <w:tcW w:type="dxa" w:w="39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Data shaping and deduplication support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Logging</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Python logging + JSON/CSV artifacts</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Per-run summaries for audit and inspection</w:t>
            </w:r>
          </w:p>
        </w:tc>
      </w:tr>
      <w:tr>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Gold output</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Parquet → Discord webhook</w:t>
            </w:r>
          </w:p>
        </w:tc>
        <w:tc>
          <w:tcPr>
            <w:tcW w:type="dxa" w:w="39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Confirmed findings only</w:t>
            </w:r>
          </w:p>
        </w:tc>
      </w:tr>
    </w:tbl>
    <w:p>
      <w:pPr>
        <w:pStyle w:val="Heading1"/>
      </w:pPr>
      <w:r>
        <w:t xml:space="preserve">10. Ingestion Sources</w:t>
      </w:r>
    </w:p>
    <w:p>
      <w:pPr>
        <w:spacing w:after="120"/>
      </w:pPr>
      <w:r>
        <w:rPr>
          <w:b w:val="false"/>
          <w:bCs w:val="false"/>
          <w:i w:val="false"/>
          <w:iCs w:val="false"/>
        </w:rPr>
        <w:t xml:space="preserve">Week-one ingestion pulls from multiple independent threat-intelligence sources and correlates them. These feeds are the first layer of breadcrumbs — they connect threat actors to real-world campaigns (power grid, hospitals, banks, schools, financial institutions, and government targets), which the system then maps back to platform accounts and repositories.</w:t>
      </w:r>
    </w:p>
    <w:p>
      <w:pPr>
        <w:pStyle w:val="ListParagraph"/>
        <w:numPr>
          <w:ilvl w:val="0"/>
          <w:numId w:val="2"/>
        </w:numPr>
      </w:pPr>
      <w:r>
        <w:rPr>
          <w:b w:val="false"/>
          <w:bCs w:val="false"/>
          <w:i w:val="false"/>
          <w:iCs w:val="false"/>
        </w:rPr>
        <w:t xml:space="preserve">OpenSourceMalware — community-verified malicious package and repository intelligence (private API).</w:t>
      </w:r>
    </w:p>
    <w:p>
      <w:pPr>
        <w:pStyle w:val="ListParagraph"/>
        <w:numPr>
          <w:ilvl w:val="0"/>
          <w:numId w:val="2"/>
        </w:numPr>
      </w:pPr>
      <w:r>
        <w:rPr>
          <w:b w:val="false"/>
          <w:bCs w:val="false"/>
          <w:i w:val="false"/>
          <w:iCs w:val="false"/>
        </w:rPr>
        <w:t xml:space="preserve">NVD — National Vulnerability Database feeds (tightest rate budget).</w:t>
      </w:r>
    </w:p>
    <w:p>
      <w:pPr>
        <w:pStyle w:val="ListParagraph"/>
        <w:numPr>
          <w:ilvl w:val="0"/>
          <w:numId w:val="2"/>
        </w:numPr>
      </w:pPr>
      <w:r>
        <w:rPr>
          <w:b w:val="false"/>
          <w:bCs w:val="false"/>
          <w:i w:val="false"/>
          <w:iCs w:val="false"/>
        </w:rPr>
        <w:t xml:space="preserve">FBI / CISA advisories — actor attribution and campaign context.</w:t>
      </w:r>
    </w:p>
    <w:p>
      <w:pPr>
        <w:pStyle w:val="ListParagraph"/>
        <w:numPr>
          <w:ilvl w:val="0"/>
          <w:numId w:val="2"/>
        </w:numPr>
      </w:pPr>
      <w:r>
        <w:rPr>
          <w:b w:val="false"/>
          <w:bCs w:val="false"/>
          <w:i w:val="false"/>
          <w:iCs w:val="false"/>
        </w:rPr>
        <w:t xml:space="preserve">Google RSS and additional OSINT feeds — broad threat-actor and campaign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Per-source endpoint, authentication method, response schema, and parse/normalization strategy for each feed.</w:t>
            </w:r>
          </w:p>
        </w:tc>
      </w:tr>
    </w:tbl>
    <w:p>
      <w:pPr>
        <w:pStyle w:val="Heading1"/>
      </w:pPr>
      <w:r>
        <w:t xml:space="preserve">11. Validation Philosophy</w:t>
      </w:r>
    </w:p>
    <w:p>
      <w:pPr>
        <w:spacing w:after="120"/>
      </w:pPr>
      <w:r>
        <w:rPr>
          <w:b w:val="false"/>
          <w:bCs w:val="false"/>
          <w:i w:val="false"/>
          <w:iCs w:val="false"/>
        </w:rPr>
        <w:t xml:space="preserve">The validator is intentionally the strictest component in the system. Its job is to keep noise out of the database even at the cost of dropping some legitimate candidates.</w:t>
      </w:r>
    </w:p>
    <w:p>
      <w:pPr>
        <w:pStyle w:val="ListParagraph"/>
        <w:numPr>
          <w:ilvl w:val="0"/>
          <w:numId w:val="3"/>
        </w:numPr>
      </w:pPr>
      <w:r>
        <w:rPr>
          <w:b/>
          <w:bCs/>
          <w:i w:val="false"/>
          <w:iCs w:val="false"/>
        </w:rPr>
        <w:t xml:space="preserve">Multi-source corroboration. </w:t>
      </w:r>
      <w:r>
        <w:rPr>
          <w:b w:val="false"/>
          <w:bCs w:val="false"/>
          <w:i w:val="false"/>
          <w:iCs w:val="false"/>
        </w:rPr>
        <w:t xml:space="preserve">An actor or indicator must be supported by at least two independent feeds before it is promoted to the database.</w:t>
      </w:r>
    </w:p>
    <w:p>
      <w:pPr>
        <w:pStyle w:val="ListParagraph"/>
        <w:numPr>
          <w:ilvl w:val="0"/>
          <w:numId w:val="3"/>
        </w:numPr>
      </w:pPr>
      <w:r>
        <w:rPr>
          <w:b/>
          <w:bCs/>
          <w:i w:val="false"/>
          <w:iCs w:val="false"/>
        </w:rPr>
        <w:t xml:space="preserve">Single-source quarantine. </w:t>
      </w:r>
      <w:r>
        <w:rPr>
          <w:b w:val="false"/>
          <w:bCs w:val="false"/>
          <w:i w:val="false"/>
          <w:iCs w:val="false"/>
        </w:rPr>
        <w:t xml:space="preserve">Single-source attributions are flagged for manual review in Discord, not auto-ingested.</w:t>
      </w:r>
    </w:p>
    <w:p>
      <w:pPr>
        <w:pStyle w:val="ListParagraph"/>
        <w:numPr>
          <w:ilvl w:val="0"/>
          <w:numId w:val="3"/>
        </w:numPr>
      </w:pPr>
      <w:r>
        <w:rPr>
          <w:b/>
          <w:bCs/>
          <w:i w:val="false"/>
          <w:iCs w:val="false"/>
        </w:rPr>
        <w:t xml:space="preserve">Retain everything. </w:t>
      </w:r>
      <w:r>
        <w:rPr>
          <w:b w:val="false"/>
          <w:bCs w:val="false"/>
          <w:i w:val="false"/>
          <w:iCs w:val="false"/>
        </w:rPr>
        <w:t xml:space="preserve">Run artifacts retain all candidates, including recognized false positives, so back-end cleanup can confirm the system is not discarding good data.</w:t>
      </w:r>
    </w:p>
    <w:p>
      <w:pPr>
        <w:pStyle w:val="Heading1"/>
      </w:pPr>
      <w:r>
        <w:t xml:space="preserve">12. Rate-Limit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Source</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Approximate limit</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Notes</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GitHub REST API</w:t>
            </w:r>
          </w:p>
        </w:tc>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A few thousand / day</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User-based authentication</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OpenSourceMalware</w:t>
            </w:r>
          </w:p>
        </w:tc>
        <w:tc>
          <w:tcPr>
            <w:tcW w:type="dxa" w:w="28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~1,000–2,000 / day</w:t>
            </w:r>
          </w:p>
        </w:tc>
        <w:tc>
          <w:tcPr>
            <w:tcW w:type="dxa" w:w="35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Private API</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NVD</w:t>
            </w:r>
          </w:p>
        </w:tc>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~60 / window</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Tightest constraint; plan around it</w:t>
            </w:r>
          </w:p>
        </w:tc>
      </w:tr>
    </w:tbl>
    <w:p>
      <w:pPr>
        <w:spacing w:after="120"/>
      </w:pPr>
    </w:p>
    <w:p>
      <w:pPr>
        <w:spacing w:after="120"/>
      </w:pPr>
      <w:r>
        <w:rPr>
          <w:b w:val="false"/>
          <w:bCs w:val="false"/>
          <w:i w:val="false"/>
          <w:iCs w:val="false"/>
        </w:rPr>
        <w:t xml:space="preserve">On a weekly cadence the program operates comfortably under budget across all sources combined. Each source is tested in isolation first to confirm published limits, after which runs stay within the confirmed budget.</w:t>
      </w:r>
    </w:p>
    <w:p>
      <w:pPr>
        <w:pStyle w:val="Heading1"/>
      </w:pPr>
      <w:r>
        <w:t xml:space="preserve">13. Output Contract</w:t>
      </w:r>
    </w:p>
    <w:p>
      <w:pPr>
        <w:pStyle w:val="Heading2"/>
      </w:pPr>
      <w:r>
        <w:t xml:space="preserve">13.1 Run Artifacts (Full Transparency)</w:t>
      </w:r>
    </w:p>
    <w:p>
      <w:pPr>
        <w:spacing w:after="120"/>
      </w:pPr>
      <w:r>
        <w:rPr>
          <w:b w:val="false"/>
          <w:bCs w:val="false"/>
          <w:i w:val="false"/>
          <w:iCs w:val="false"/>
        </w:rPr>
        <w:t xml:space="preserve">Every run emits structured artifacts that capture the complete picture: all candidates, recognized false positives with the reason they were rejected, validation flags, per-step summaries, and CSV exports. These exist for inspection, audit, and rule refinement.</w:t>
      </w:r>
    </w:p>
    <w:p>
      <w:pPr>
        <w:pStyle w:val="Heading2"/>
      </w:pPr>
      <w:r>
        <w:t xml:space="preserve">13.2 Discord (Gold Only)</w:t>
      </w:r>
    </w:p>
    <w:p>
      <w:pPr>
        <w:spacing w:after="120"/>
      </w:pPr>
      <w:r>
        <w:rPr>
          <w:b w:val="false"/>
          <w:bCs w:val="false"/>
          <w:i w:val="false"/>
          <w:iCs w:val="false"/>
        </w:rPr>
        <w:t xml:space="preserve">The Discord channel receives only validated gold findings: confirmed malicious repositories, the reasoning behind each call, and indicators of compromise with file paths, all in a human-readable format. The transport payload is a gold parquet dataset.</w:t>
      </w:r>
    </w:p>
    <w:p>
      <w:pPr>
        <w:pStyle w:val="Heading1"/>
      </w:pPr>
      <w:r>
        <w:t xml:space="preserve">14. Open Questions</w:t>
      </w:r>
    </w:p>
    <w:p>
      <w:pPr>
        <w:pStyle w:val="ListParagraph"/>
        <w:numPr>
          <w:ilvl w:val="0"/>
          <w:numId w:val="2"/>
        </w:numPr>
      </w:pPr>
      <w:r>
        <w:rPr>
          <w:b w:val="false"/>
          <w:bCs w:val="false"/>
          <w:i w:val="false"/>
          <w:iCs w:val="false"/>
        </w:rPr>
        <w:t xml:space="preserve">Schema versioning strategy for the threat-actor and findings data.</w:t>
      </w:r>
    </w:p>
    <w:p>
      <w:pPr>
        <w:pStyle w:val="ListParagraph"/>
        <w:numPr>
          <w:ilvl w:val="0"/>
          <w:numId w:val="2"/>
        </w:numPr>
      </w:pPr>
      <w:r>
        <w:rPr>
          <w:b w:val="false"/>
          <w:bCs w:val="false"/>
          <w:i w:val="false"/>
          <w:iCs w:val="false"/>
        </w:rPr>
        <w:t xml:space="preserve">Dashboard authentication model (Discord OAuth versus alternatives) and access logging.</w:t>
      </w:r>
    </w:p>
    <w:p>
      <w:pPr>
        <w:pStyle w:val="ListParagraph"/>
        <w:numPr>
          <w:ilvl w:val="0"/>
          <w:numId w:val="2"/>
        </w:numPr>
      </w:pPr>
      <w:r>
        <w:rPr>
          <w:b w:val="false"/>
          <w:bCs w:val="false"/>
          <w:i w:val="false"/>
          <w:iCs w:val="false"/>
        </w:rPr>
        <w:t xml:space="preserve">Compliance sign-off and whether/how to proactively notify GitHub of the research program.</w:t>
      </w:r>
    </w:p>
    <w:p>
      <w:pPr>
        <w:pStyle w:val="ListParagraph"/>
        <w:numPr>
          <w:ilvl w:val="0"/>
          <w:numId w:val="2"/>
        </w:numPr>
      </w:pPr>
      <w:r>
        <w:rPr>
          <w:b w:val="false"/>
          <w:bCs w:val="false"/>
          <w:i w:val="false"/>
          <w:iCs w:val="false"/>
        </w:rPr>
        <w:t xml:space="preserve">Data retention policy for artifacts and confirmed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color w:val="595959"/>
        <w:sz w:val="16"/>
        <w:szCs w:val="16"/>
      </w:rPr>
      <w:t xml:space="preserve">Git Warden  ·  Malicious Repository Intelligence Engine</w:t>
    </w:r>
    <w:r>
      <w:rPr>
        <w:color w:val="595959"/>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2026-06-13T23:31:20.298Z</dcterms:created>
  <dcterms:modified xsi:type="dcterms:W3CDTF">2026-06-13T23:31:20.311Z</dcterms:modified>
</cp:coreProperties>
</file>

<file path=docProps/custom.xml><?xml version="1.0" encoding="utf-8"?>
<Properties xmlns="http://schemas.openxmlformats.org/officeDocument/2006/custom-properties" xmlns:vt="http://schemas.openxmlformats.org/officeDocument/2006/docPropsVTypes"/>
</file>