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29B" w:rsidRDefault="00B9329B">
      <w:pPr>
        <w:jc w:val="center"/>
      </w:pPr>
    </w:p>
    <w:p w:rsidR="00B9329B" w:rsidRDefault="00B9329B">
      <w:pPr>
        <w:pStyle w:val="Heading1"/>
        <w:jc w:val="center"/>
      </w:pPr>
    </w:p>
    <w:p w:rsidR="00B9329B" w:rsidRDefault="00B9329B">
      <w:pPr>
        <w:pStyle w:val="Heading1"/>
        <w:jc w:val="center"/>
      </w:pPr>
    </w:p>
    <w:p w:rsidR="00B9329B" w:rsidRDefault="00B9329B">
      <w:pPr>
        <w:pStyle w:val="Heading1"/>
        <w:jc w:val="center"/>
      </w:pPr>
    </w:p>
    <w:p w:rsidR="00634EE6" w:rsidRDefault="00634EE6">
      <w:pPr>
        <w:pStyle w:val="Heading5"/>
        <w:rPr>
          <w:caps/>
        </w:rPr>
      </w:pPr>
      <w:r>
        <w:rPr>
          <w:caps/>
        </w:rPr>
        <w:t>WINMAX</w:t>
      </w:r>
    </w:p>
    <w:p w:rsidR="00634EE6" w:rsidRDefault="001D1128">
      <w:pPr>
        <w:pStyle w:val="Heading5"/>
        <w:rPr>
          <w:caps/>
        </w:rPr>
      </w:pPr>
      <w:r>
        <w:rPr>
          <w:caps/>
        </w:rPr>
        <w:t>EtherCAT configuraton Management</w:t>
      </w:r>
      <w:r w:rsidR="00B9329B">
        <w:rPr>
          <w:caps/>
        </w:rPr>
        <w:t xml:space="preserve"> </w:t>
      </w:r>
    </w:p>
    <w:p w:rsidR="00B9329B" w:rsidRDefault="00B9329B">
      <w:pPr>
        <w:pStyle w:val="Heading5"/>
        <w:rPr>
          <w:caps/>
        </w:rPr>
      </w:pPr>
      <w:r>
        <w:rPr>
          <w:caps/>
        </w:rPr>
        <w:t xml:space="preserve"> Design </w:t>
      </w:r>
      <w:r w:rsidR="00D30B6B">
        <w:rPr>
          <w:caps/>
        </w:rPr>
        <w:t xml:space="preserve">(CQ 18276) </w:t>
      </w:r>
      <w:r>
        <w:rPr>
          <w:caps/>
        </w:rPr>
        <w:t xml:space="preserve">Document </w:t>
      </w:r>
    </w:p>
    <w:p w:rsidR="003E5B98" w:rsidRPr="003E5B98" w:rsidRDefault="00634EE6" w:rsidP="003E5B98">
      <w:pPr>
        <w:jc w:val="center"/>
        <w:rPr>
          <w:b/>
          <w:sz w:val="40"/>
          <w:szCs w:val="40"/>
        </w:rPr>
      </w:pPr>
      <w:r>
        <w:rPr>
          <w:b/>
          <w:sz w:val="40"/>
          <w:szCs w:val="40"/>
        </w:rPr>
        <w:t xml:space="preserve"> </w:t>
      </w:r>
    </w:p>
    <w:p w:rsidR="00B9329B" w:rsidRDefault="00B9329B"/>
    <w:p w:rsidR="00B9329B" w:rsidRDefault="00B9329B"/>
    <w:p w:rsidR="00B9329B" w:rsidRDefault="00D30B6B">
      <w:pPr>
        <w:pStyle w:val="Heading5"/>
      </w:pPr>
      <w:r>
        <w:t>May 2</w:t>
      </w:r>
      <w:r w:rsidR="00B9329B">
        <w:t>, 20</w:t>
      </w:r>
      <w:r w:rsidR="00B6268D">
        <w:t>1</w:t>
      </w:r>
      <w:r w:rsidR="007D590D">
        <w:t>3</w:t>
      </w:r>
    </w:p>
    <w:p w:rsidR="00B9329B" w:rsidRDefault="003E5B98">
      <w:pPr>
        <w:pStyle w:val="Heading5"/>
      </w:pPr>
      <w:r>
        <w:t xml:space="preserve">Rev </w:t>
      </w:r>
      <w:r w:rsidR="00D30B6B">
        <w:t>2</w:t>
      </w:r>
    </w:p>
    <w:p w:rsidR="00B9329B" w:rsidRDefault="00B9329B"/>
    <w:p w:rsidR="00B9329B" w:rsidRDefault="00B9329B">
      <w:pPr>
        <w:pStyle w:val="BlockText"/>
        <w:ind w:left="0"/>
        <w:jc w:val="center"/>
      </w:pPr>
    </w:p>
    <w:p w:rsidR="00B9329B" w:rsidRDefault="00B9329B">
      <w:pPr>
        <w:pStyle w:val="BlockText"/>
        <w:ind w:left="0"/>
        <w:jc w:val="center"/>
      </w:pPr>
    </w:p>
    <w:p w:rsidR="00B9329B" w:rsidRDefault="00B9329B">
      <w:pPr>
        <w:pStyle w:val="BlockText"/>
        <w:ind w:left="0"/>
        <w:jc w:val="center"/>
        <w:sectPr w:rsidR="00B9329B">
          <w:footerReference w:type="default" r:id="rId11"/>
          <w:footerReference w:type="first" r:id="rId12"/>
          <w:pgSz w:w="12240" w:h="15840"/>
          <w:pgMar w:top="1440" w:right="1800" w:bottom="1440" w:left="1800" w:header="720" w:footer="720" w:gutter="0"/>
          <w:pgBorders w:offsetFrom="page">
            <w:top w:val="single" w:sz="6" w:space="24" w:color="auto"/>
            <w:left w:val="single" w:sz="6" w:space="24" w:color="auto"/>
            <w:bottom w:val="single" w:sz="6" w:space="24" w:color="auto"/>
            <w:right w:val="single" w:sz="6" w:space="24" w:color="auto"/>
          </w:pgBorders>
          <w:pgNumType w:fmt="lowerRoman" w:start="1"/>
          <w:cols w:space="720"/>
          <w:titlePg/>
          <w:docGrid w:linePitch="360"/>
        </w:sectPr>
      </w:pPr>
    </w:p>
    <w:p w:rsidR="00B9329B" w:rsidRDefault="00B9329B">
      <w:pPr>
        <w:pStyle w:val="Heading1"/>
      </w:pPr>
      <w:bookmarkStart w:id="0" w:name="_Toc511199050"/>
      <w:bookmarkStart w:id="1" w:name="_Toc511199204"/>
      <w:bookmarkStart w:id="2" w:name="_Toc511199878"/>
      <w:bookmarkStart w:id="3" w:name="_Toc511199981"/>
      <w:bookmarkStart w:id="4" w:name="_Toc511202766"/>
      <w:bookmarkStart w:id="5" w:name="_Toc511202882"/>
      <w:bookmarkStart w:id="6" w:name="_Toc511203073"/>
      <w:bookmarkStart w:id="7" w:name="_Toc511541473"/>
      <w:bookmarkStart w:id="8" w:name="_Toc511541728"/>
      <w:bookmarkStart w:id="9" w:name="_Toc511628063"/>
      <w:bookmarkStart w:id="10" w:name="_Toc142367276"/>
      <w:r>
        <w:lastRenderedPageBreak/>
        <w:t>Introduction</w:t>
      </w:r>
      <w:bookmarkEnd w:id="0"/>
      <w:bookmarkEnd w:id="1"/>
      <w:bookmarkEnd w:id="2"/>
      <w:bookmarkEnd w:id="3"/>
      <w:bookmarkEnd w:id="4"/>
      <w:bookmarkEnd w:id="5"/>
      <w:bookmarkEnd w:id="6"/>
      <w:bookmarkEnd w:id="7"/>
      <w:bookmarkEnd w:id="8"/>
      <w:bookmarkEnd w:id="9"/>
      <w:bookmarkEnd w:id="10"/>
    </w:p>
    <w:p w:rsidR="00B9329B" w:rsidRDefault="00B9329B"/>
    <w:p w:rsidR="00CA01B5" w:rsidRDefault="00D437B3" w:rsidP="00564530">
      <w:r>
        <w:t xml:space="preserve">This document </w:t>
      </w:r>
      <w:r w:rsidR="001D1128">
        <w:t xml:space="preserve">proposes a </w:t>
      </w:r>
      <w:r w:rsidR="008E26C0">
        <w:t xml:space="preserve">design </w:t>
      </w:r>
      <w:r w:rsidR="00CA01B5">
        <w:t>for managing</w:t>
      </w:r>
      <w:r w:rsidR="004B0ED0">
        <w:t xml:space="preserve"> the </w:t>
      </w:r>
      <w:r w:rsidR="008E26C0">
        <w:t xml:space="preserve">configuration files associated with the </w:t>
      </w:r>
      <w:r w:rsidR="004B0ED0">
        <w:t xml:space="preserve">new </w:t>
      </w:r>
      <w:proofErr w:type="spellStart"/>
      <w:r w:rsidR="004B0ED0">
        <w:t>WinMax</w:t>
      </w:r>
      <w:proofErr w:type="spellEnd"/>
      <w:r w:rsidR="004B0ED0">
        <w:t xml:space="preserve"> </w:t>
      </w:r>
      <w:proofErr w:type="spellStart"/>
      <w:r w:rsidR="008E26C0">
        <w:t>EtherCAT</w:t>
      </w:r>
      <w:proofErr w:type="spellEnd"/>
      <w:r w:rsidR="008E26C0">
        <w:t xml:space="preserve"> digital drive system, internally known as BBQ.   </w:t>
      </w:r>
      <w:r w:rsidR="00CA01B5">
        <w:t xml:space="preserve">The configuration parameters are significantly different between </w:t>
      </w:r>
      <w:r w:rsidR="004B0ED0">
        <w:t xml:space="preserve">the </w:t>
      </w:r>
      <w:r w:rsidR="00CA01B5">
        <w:t xml:space="preserve">analog and digital servo drive </w:t>
      </w:r>
      <w:r w:rsidR="004B0ED0">
        <w:t>systems, which provide</w:t>
      </w:r>
      <w:r w:rsidR="00CA01B5">
        <w:t xml:space="preserve"> an opportunity to change how the system stores its configuration data.  Also, the </w:t>
      </w:r>
      <w:r w:rsidR="00B26C64">
        <w:t>digital drive s</w:t>
      </w:r>
      <w:r w:rsidR="00CA01B5">
        <w:t xml:space="preserve">ystem does not need to maintain backwards compatibility with </w:t>
      </w:r>
      <w:r w:rsidR="00B26C64">
        <w:t xml:space="preserve">the analog drive system </w:t>
      </w:r>
      <w:r w:rsidR="00CA01B5">
        <w:t xml:space="preserve">as the </w:t>
      </w:r>
      <w:r w:rsidR="00B26C64">
        <w:t xml:space="preserve">BBQ </w:t>
      </w:r>
      <w:r w:rsidR="00CA01B5">
        <w:t xml:space="preserve">software can’t be used to upgrade an existing machine without extensive hardware changes.  </w:t>
      </w:r>
    </w:p>
    <w:p w:rsidR="00CA01B5" w:rsidRDefault="00CA01B5" w:rsidP="00564530"/>
    <w:p w:rsidR="00A06F77" w:rsidRDefault="008E26C0" w:rsidP="00564530">
      <w:r>
        <w:t xml:space="preserve">The configuration files used with the analog drive system consisted of </w:t>
      </w:r>
      <w:r w:rsidR="00CA01B5">
        <w:t>1</w:t>
      </w:r>
      <w:r w:rsidR="00880351">
        <w:t>8</w:t>
      </w:r>
      <w:r>
        <w:t xml:space="preserve"> separate files (WSysFix.sys, WSysInt.sys, WSpindle.sys, WSoftCfg.sys, WSofttune.sys, WMCode.sys, WRotHead.sys, </w:t>
      </w:r>
      <w:r w:rsidR="00880351">
        <w:t xml:space="preserve">WStandard.sys, </w:t>
      </w:r>
      <w:r>
        <w:t xml:space="preserve">WProbe.sys, WIntCfg.sys, WAtcMap.sys, WWarmUp.sys, </w:t>
      </w:r>
      <w:r w:rsidR="00880351">
        <w:t xml:space="preserve">Canbus.cfg, </w:t>
      </w:r>
      <w:r w:rsidR="00B26C64">
        <w:t>WMach</w:t>
      </w:r>
      <w:r w:rsidR="004B0ED0">
        <w:t>ine</w:t>
      </w:r>
      <w:r w:rsidR="00B26C64">
        <w:t xml:space="preserve">Comp.sys </w:t>
      </w:r>
      <w:r>
        <w:t>WLeadScr.sys</w:t>
      </w:r>
      <w:r w:rsidR="00F0705E">
        <w:t>, ABASCII</w:t>
      </w:r>
      <w:r w:rsidR="00CA01B5">
        <w:t>.txt, Ladders.txt and Ladders_Desktop_RT.txt</w:t>
      </w:r>
      <w:r>
        <w:t>).</w:t>
      </w:r>
      <w:r w:rsidR="00CA01B5">
        <w:t xml:space="preserve">  Instead of using multiple configuration files, the </w:t>
      </w:r>
      <w:r w:rsidR="004B0ED0">
        <w:t xml:space="preserve">digital drive </w:t>
      </w:r>
      <w:r w:rsidR="00CA01B5">
        <w:t xml:space="preserve">system will use a single database file that will contain all configuration data for a specific machine. </w:t>
      </w:r>
    </w:p>
    <w:p w:rsidR="00A06F77" w:rsidRDefault="00A06F77" w:rsidP="00564530"/>
    <w:p w:rsidR="00B9329B" w:rsidRDefault="00B9329B">
      <w:r>
        <w:t xml:space="preserve">The electronic copy of this document is located in the </w:t>
      </w:r>
      <w:proofErr w:type="spellStart"/>
      <w:r w:rsidR="003E5B98">
        <w:t>Sharepoint</w:t>
      </w:r>
      <w:proofErr w:type="spellEnd"/>
      <w:r w:rsidR="00564530">
        <w:t>,</w:t>
      </w:r>
      <w:r w:rsidR="003E5B98">
        <w:t xml:space="preserve"> </w:t>
      </w:r>
      <w:r w:rsidR="00B96431">
        <w:t xml:space="preserve">Developers Corner, </w:t>
      </w:r>
      <w:proofErr w:type="gramStart"/>
      <w:r w:rsidR="004B0ED0">
        <w:t>RT</w:t>
      </w:r>
      <w:proofErr w:type="gramEnd"/>
      <w:r w:rsidR="008136CD">
        <w:t xml:space="preserve"> </w:t>
      </w:r>
      <w:r w:rsidR="00564530">
        <w:t xml:space="preserve">folder </w:t>
      </w:r>
      <w:r w:rsidR="008136CD">
        <w:t xml:space="preserve">and is called </w:t>
      </w:r>
      <w:proofErr w:type="spellStart"/>
      <w:r w:rsidR="004B0ED0">
        <w:t>Ecat</w:t>
      </w:r>
      <w:proofErr w:type="spellEnd"/>
      <w:r w:rsidR="004B0ED0">
        <w:t xml:space="preserve"> Configuration Management Design</w:t>
      </w:r>
      <w:r w:rsidR="00D30B6B">
        <w:t xml:space="preserve"> (CQ 18276)</w:t>
      </w:r>
      <w:r>
        <w:t>.</w:t>
      </w:r>
      <w:proofErr w:type="spellStart"/>
      <w:r>
        <w:t>doc</w:t>
      </w:r>
      <w:r w:rsidR="00B96431">
        <w:t>x</w:t>
      </w:r>
      <w:proofErr w:type="spellEnd"/>
      <w:r>
        <w:t>.</w:t>
      </w:r>
    </w:p>
    <w:p w:rsidR="00B9329B" w:rsidRDefault="00B9329B"/>
    <w:p w:rsidR="00B9329B" w:rsidRDefault="00B9329B">
      <w:pPr>
        <w:pStyle w:val="Heading1"/>
      </w:pPr>
      <w:bookmarkStart w:id="11" w:name="_Toc511198792"/>
      <w:bookmarkStart w:id="12" w:name="_Toc511199051"/>
      <w:bookmarkStart w:id="13" w:name="_Toc511199205"/>
      <w:bookmarkStart w:id="14" w:name="_Toc511199879"/>
      <w:bookmarkStart w:id="15" w:name="_Toc511199982"/>
      <w:r>
        <w:br w:type="page"/>
      </w:r>
      <w:bookmarkEnd w:id="11"/>
      <w:bookmarkEnd w:id="12"/>
      <w:bookmarkEnd w:id="13"/>
      <w:bookmarkEnd w:id="14"/>
      <w:bookmarkEnd w:id="15"/>
      <w:r w:rsidR="004B0ED0">
        <w:lastRenderedPageBreak/>
        <w:t>Analog Drive System Configuration Management</w:t>
      </w:r>
    </w:p>
    <w:p w:rsidR="00B9329B" w:rsidRDefault="00B9329B"/>
    <w:p w:rsidR="00B9329B" w:rsidRDefault="00032D1C">
      <w:r>
        <w:t>The</w:t>
      </w:r>
      <w:r w:rsidR="008B4F36">
        <w:t xml:space="preserve"> configuration files for each machine are stored in TFS in the tree structure shown in Figure 1</w:t>
      </w:r>
      <w:r>
        <w:t xml:space="preserve">.  </w:t>
      </w:r>
      <w:r w:rsidR="008B4F36">
        <w:t xml:space="preserve"> The </w:t>
      </w:r>
      <w:r w:rsidR="00012F25">
        <w:t>m</w:t>
      </w:r>
      <w:r w:rsidR="008B4F36">
        <w:t xml:space="preserve">achines are </w:t>
      </w:r>
      <w:r w:rsidR="00012F25">
        <w:t xml:space="preserve">located under the MCD (Machine Configuration Directory) folder and are </w:t>
      </w:r>
      <w:r w:rsidR="008B4F36">
        <w:t>divided into three main categories, Engineering Machines, Field, and Production.  Those folders are further subdivided</w:t>
      </w:r>
      <w:r w:rsidR="00880351">
        <w:t xml:space="preserve"> into groups (Other, Specialty machines, VM Series, etc) and into machines (VM10 40T SL, VM10HS 30T SL, VM10P 30T SL, etc).  Machines are subdivided into </w:t>
      </w:r>
      <w:proofErr w:type="spellStart"/>
      <w:r w:rsidR="00880351">
        <w:t>Config</w:t>
      </w:r>
      <w:proofErr w:type="spellEnd"/>
      <w:r w:rsidR="00880351">
        <w:t xml:space="preserve">, MCD and Misc folders.  The </w:t>
      </w:r>
      <w:proofErr w:type="spellStart"/>
      <w:r w:rsidR="00880351">
        <w:t>Config</w:t>
      </w:r>
      <w:proofErr w:type="spellEnd"/>
      <w:r w:rsidR="00880351">
        <w:t xml:space="preserve"> folder contains the WSysFix.sys, WSysInt.sys, WSpindle.sys, WSoftCfg.sys, WSofttune.sys, WMCode.sys, WRotHead.sys, WStandard.sys</w:t>
      </w:r>
      <w:r w:rsidR="0099446E">
        <w:t xml:space="preserve"> and </w:t>
      </w:r>
      <w:r w:rsidR="00880351">
        <w:t xml:space="preserve">WProbe.sys configuration files.  The MCD folder contains the WIntCfg.sys and WAtcMap.sys files.  The Misc folder contains the Canbus.cfg file.  The WMachineComp.sys and WLeadScr.sys configuration files are not stored in TFS because they are machine specific and are created </w:t>
      </w:r>
      <w:r w:rsidR="0099446E">
        <w:t>separately</w:t>
      </w:r>
      <w:r w:rsidR="00880351">
        <w:t>.</w:t>
      </w:r>
    </w:p>
    <w:p w:rsidR="00032D1C" w:rsidRDefault="00032D1C"/>
    <w:p w:rsidR="00D00E16" w:rsidRDefault="00C775A8">
      <w:r>
        <w:rPr>
          <w:noProof/>
          <w:lang w:eastAsia="zh-TW"/>
        </w:rPr>
        <w:pict>
          <v:shapetype id="_x0000_t202" coordsize="21600,21600" o:spt="202" path="m,l,21600r21600,l21600,xe">
            <v:stroke joinstyle="miter"/>
            <v:path gradientshapeok="t" o:connecttype="rect"/>
          </v:shapetype>
          <v:shape id="_x0000_s1026" type="#_x0000_t202" style="position:absolute;margin-left:4.1pt;margin-top:.4pt;width:407.65pt;height:345.7pt;z-index:251660288;mso-width-relative:margin;mso-height-relative:margin">
            <v:textbox style="mso-next-textbox:#_x0000_s1026">
              <w:txbxContent>
                <w:p w:rsidR="008D09CE" w:rsidRDefault="008D09CE">
                  <w:r>
                    <w:rPr>
                      <w:noProof/>
                    </w:rPr>
                    <w:drawing>
                      <wp:inline distT="0" distB="0" distL="0" distR="0">
                        <wp:extent cx="4333875" cy="41338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333875" cy="4133850"/>
                                </a:xfrm>
                                <a:prstGeom prst="rect">
                                  <a:avLst/>
                                </a:prstGeom>
                                <a:noFill/>
                                <a:ln w="9525">
                                  <a:noFill/>
                                  <a:miter lim="800000"/>
                                  <a:headEnd/>
                                  <a:tailEnd/>
                                </a:ln>
                              </pic:spPr>
                            </pic:pic>
                          </a:graphicData>
                        </a:graphic>
                      </wp:inline>
                    </w:drawing>
                  </w:r>
                </w:p>
              </w:txbxContent>
            </v:textbox>
          </v:shape>
        </w:pict>
      </w:r>
    </w:p>
    <w:p w:rsidR="00D00E16" w:rsidRDefault="00D00E16"/>
    <w:p w:rsidR="00D00E16" w:rsidRDefault="00D00E16"/>
    <w:p w:rsidR="00D00E16" w:rsidRDefault="00D00E16"/>
    <w:p w:rsidR="00D00E16" w:rsidRDefault="00D00E16"/>
    <w:p w:rsidR="00D00E16" w:rsidRDefault="00D00E16"/>
    <w:p w:rsidR="00D00E16" w:rsidRDefault="00D00E16"/>
    <w:p w:rsidR="00D00E16" w:rsidRDefault="00D00E16"/>
    <w:p w:rsidR="00D00E16" w:rsidRDefault="00D00E16"/>
    <w:p w:rsidR="00D00E16" w:rsidRDefault="00D00E16"/>
    <w:p w:rsidR="00D00E16" w:rsidRDefault="00D00E16"/>
    <w:p w:rsidR="00D00E16" w:rsidRDefault="00D00E16"/>
    <w:p w:rsidR="00032D1C" w:rsidRDefault="00032D1C"/>
    <w:p w:rsidR="008B4F36" w:rsidRDefault="00032D1C">
      <w:r>
        <w:t xml:space="preserve">                               </w:t>
      </w:r>
    </w:p>
    <w:p w:rsidR="008B4F36" w:rsidRDefault="008B4F36"/>
    <w:p w:rsidR="008B4F36" w:rsidRDefault="008B4F36"/>
    <w:p w:rsidR="008B4F36" w:rsidRDefault="008B4F36"/>
    <w:p w:rsidR="008B4F36" w:rsidRDefault="008B4F36"/>
    <w:p w:rsidR="008B4F36" w:rsidRDefault="008B4F36"/>
    <w:p w:rsidR="008B4F36" w:rsidRDefault="008B4F36"/>
    <w:p w:rsidR="008B4F36" w:rsidRDefault="008B4F36"/>
    <w:p w:rsidR="008B4F36" w:rsidRDefault="008B4F36"/>
    <w:p w:rsidR="008B4F36" w:rsidRDefault="00032D1C">
      <w:r>
        <w:t xml:space="preserve"> </w:t>
      </w:r>
    </w:p>
    <w:p w:rsidR="008B4F36" w:rsidRDefault="008B4F36"/>
    <w:p w:rsidR="008B4F36" w:rsidRDefault="008B4F36"/>
    <w:p w:rsidR="008B4F36" w:rsidRDefault="008B4F36"/>
    <w:p w:rsidR="008B4F36" w:rsidRDefault="008B4F36" w:rsidP="0099446E">
      <w:pPr>
        <w:jc w:val="center"/>
      </w:pPr>
      <w:r>
        <w:t>Figure 1 – TFS Integration Main Tree Structure</w:t>
      </w:r>
    </w:p>
    <w:p w:rsidR="008B4F36" w:rsidRDefault="008B4F36"/>
    <w:p w:rsidR="008B4F36" w:rsidRDefault="008B4F36"/>
    <w:p w:rsidR="00880351" w:rsidRDefault="00880351"/>
    <w:p w:rsidR="00880351" w:rsidRDefault="00880351"/>
    <w:p w:rsidR="00880351" w:rsidRDefault="00E046BB">
      <w:r>
        <w:lastRenderedPageBreak/>
        <w:t>Another TFS folder used in the configuration file management is the W</w:t>
      </w:r>
      <w:r w:rsidR="00880351">
        <w:t>inPC32_Config folder</w:t>
      </w:r>
      <w:r>
        <w:t xml:space="preserve"> as shown in Figure 2</w:t>
      </w:r>
      <w:r w:rsidR="00880351">
        <w:t xml:space="preserve">.  The WinPC32_Config folder is </w:t>
      </w:r>
      <w:r>
        <w:t xml:space="preserve">further </w:t>
      </w:r>
      <w:r w:rsidR="00880351">
        <w:t xml:space="preserve">divided into </w:t>
      </w:r>
      <w:r w:rsidR="00F0705E">
        <w:t>machines (VMX30U, Console, DCX, DCX22_SL, etc)</w:t>
      </w:r>
      <w:r>
        <w:t xml:space="preserve"> and t</w:t>
      </w:r>
      <w:r w:rsidR="00F0705E">
        <w:t>he machine folders contain the ABASCII.txt, Ladders.txt, and Ladders_Desktop_RT.txt files.  The</w:t>
      </w:r>
      <w:r>
        <w:t xml:space="preserve"> machine folders </w:t>
      </w:r>
      <w:r w:rsidR="00F0705E">
        <w:t>also contain 2 specific WinPC32 project files name</w:t>
      </w:r>
      <w:r>
        <w:t>d</w:t>
      </w:r>
      <w:r w:rsidR="00F0705E">
        <w:t xml:space="preserve"> for their machine (example: </w:t>
      </w:r>
      <w:r w:rsidR="00530601">
        <w:t xml:space="preserve">BX30U.prj and BX30U.txt).  These 2 files are not used by the </w:t>
      </w:r>
      <w:proofErr w:type="spellStart"/>
      <w:r w:rsidR="00530601">
        <w:t>WinMax</w:t>
      </w:r>
      <w:proofErr w:type="spellEnd"/>
      <w:r w:rsidR="00530601">
        <w:t xml:space="preserve"> app; they are only used with the WinPC32 development tool and are located in the machine folders as </w:t>
      </w:r>
      <w:r w:rsidR="0099446E">
        <w:t>a convenience for</w:t>
      </w:r>
      <w:r w:rsidR="00530601">
        <w:t xml:space="preserve"> the WinPC32 developers.</w:t>
      </w:r>
    </w:p>
    <w:p w:rsidR="00880351" w:rsidRDefault="00880351"/>
    <w:p w:rsidR="00880351" w:rsidRDefault="00C775A8">
      <w:r>
        <w:rPr>
          <w:noProof/>
          <w:lang w:eastAsia="zh-TW"/>
        </w:rPr>
        <w:pict>
          <v:shape id="_x0000_s1027" type="#_x0000_t202" style="position:absolute;margin-left:0;margin-top:0;width:414.15pt;height:325.7pt;z-index:251662336;mso-position-horizontal:center;mso-width-relative:margin;mso-height-relative:margin">
            <v:textbox>
              <w:txbxContent>
                <w:p w:rsidR="008D09CE" w:rsidRDefault="008D09CE">
                  <w:r>
                    <w:rPr>
                      <w:noProof/>
                    </w:rPr>
                    <w:drawing>
                      <wp:inline distT="0" distB="0" distL="0" distR="0">
                        <wp:extent cx="4410075" cy="39338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410075" cy="3933825"/>
                                </a:xfrm>
                                <a:prstGeom prst="rect">
                                  <a:avLst/>
                                </a:prstGeom>
                                <a:noFill/>
                                <a:ln w="9525">
                                  <a:noFill/>
                                  <a:miter lim="800000"/>
                                  <a:headEnd/>
                                  <a:tailEnd/>
                                </a:ln>
                              </pic:spPr>
                            </pic:pic>
                          </a:graphicData>
                        </a:graphic>
                      </wp:inline>
                    </w:drawing>
                  </w:r>
                </w:p>
              </w:txbxContent>
            </v:textbox>
          </v:shape>
        </w:pict>
      </w:r>
    </w:p>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p w:rsidR="00880351" w:rsidRDefault="00880351" w:rsidP="00336215"/>
    <w:p w:rsidR="00880351" w:rsidRDefault="00880351" w:rsidP="00336215"/>
    <w:p w:rsidR="00880351" w:rsidRDefault="00880351" w:rsidP="00336215"/>
    <w:p w:rsidR="00880351" w:rsidRDefault="00880351" w:rsidP="00336215"/>
    <w:p w:rsidR="00880351" w:rsidRDefault="00880351" w:rsidP="00336215"/>
    <w:p w:rsidR="00880351" w:rsidRDefault="00880351" w:rsidP="00336215"/>
    <w:p w:rsidR="00880351" w:rsidRDefault="00880351" w:rsidP="00336215"/>
    <w:p w:rsidR="00880351" w:rsidRDefault="00880351" w:rsidP="00336215"/>
    <w:p w:rsidR="00880351" w:rsidRDefault="00880351" w:rsidP="00336215">
      <w:r>
        <w:t xml:space="preserve">                      Figure 2 – TFS Integration WinPC32 </w:t>
      </w:r>
      <w:proofErr w:type="spellStart"/>
      <w:r>
        <w:t>Config</w:t>
      </w:r>
      <w:proofErr w:type="spellEnd"/>
      <w:r>
        <w:t xml:space="preserve"> Tree Structure</w:t>
      </w:r>
    </w:p>
    <w:p w:rsidR="00880351" w:rsidRDefault="00880351" w:rsidP="00336215"/>
    <w:p w:rsidR="00880351" w:rsidRDefault="00880351" w:rsidP="00336215"/>
    <w:p w:rsidR="003A6E28" w:rsidRDefault="00E046BB" w:rsidP="00336215">
      <w:r>
        <w:t xml:space="preserve">Using the Machine Selector app, the </w:t>
      </w:r>
      <w:r w:rsidR="00397E73">
        <w:t xml:space="preserve">user selects a specific machine and the app copies the </w:t>
      </w:r>
      <w:r>
        <w:t xml:space="preserve">appropriate configuration </w:t>
      </w:r>
      <w:r w:rsidR="00397E73">
        <w:t xml:space="preserve">files </w:t>
      </w:r>
      <w:r>
        <w:t>from their source location</w:t>
      </w:r>
      <w:r w:rsidR="00397E73">
        <w:t>s</w:t>
      </w:r>
      <w:r>
        <w:t xml:space="preserve"> (TFS or Install folder) to the</w:t>
      </w:r>
      <w:r w:rsidR="00397E73">
        <w:t>ir</w:t>
      </w:r>
      <w:r>
        <w:t xml:space="preserve"> destination location</w:t>
      </w:r>
      <w:r w:rsidR="00397E73">
        <w:t>s</w:t>
      </w:r>
      <w:r>
        <w:t xml:space="preserve"> used by the </w:t>
      </w:r>
      <w:proofErr w:type="spellStart"/>
      <w:r>
        <w:t>WinMax</w:t>
      </w:r>
      <w:proofErr w:type="spellEnd"/>
      <w:r>
        <w:t xml:space="preserve"> app</w:t>
      </w:r>
      <w:r w:rsidR="00336215">
        <w:t>.</w:t>
      </w:r>
      <w:r>
        <w:t xml:space="preserve">  The </w:t>
      </w:r>
      <w:r w:rsidR="00397E73">
        <w:t>destination locations include various subfolders under the R:\</w:t>
      </w:r>
      <w:r>
        <w:t>H</w:t>
      </w:r>
      <w:r w:rsidR="00397E73">
        <w:t>urco\Winmax\ConfigFiles folder and the C:\Program Files\</w:t>
      </w:r>
      <w:proofErr w:type="spellStart"/>
      <w:r w:rsidR="00397E73">
        <w:t>Hurco</w:t>
      </w:r>
      <w:proofErr w:type="spellEnd"/>
      <w:r w:rsidR="00397E73">
        <w:t xml:space="preserve">\WinPC32 folder.  </w:t>
      </w:r>
      <w:r w:rsidR="000766D7">
        <w:t xml:space="preserve">The Machine Selector app uses an input XML file, called MachineConfig.xml, to control the display of available machines and to specify the source locations for the selected machine.  </w:t>
      </w:r>
      <w:r w:rsidR="0099446E">
        <w:t xml:space="preserve">The Machine Selector uses registry settings to specify the destination locations for the selected machine.  </w:t>
      </w:r>
      <w:r w:rsidR="00397E73">
        <w:t xml:space="preserve">The Machine Selector main screen is shown in Figure 3.  </w:t>
      </w:r>
    </w:p>
    <w:p w:rsidR="00E046BB" w:rsidRDefault="00E046BB" w:rsidP="00336215"/>
    <w:p w:rsidR="00397E73" w:rsidRDefault="00D41C48" w:rsidP="00D41C48">
      <w:pPr>
        <w:pStyle w:val="Heading1"/>
        <w:jc w:val="center"/>
      </w:pPr>
      <w:r>
        <w:rPr>
          <w:b w:val="0"/>
          <w:bCs w:val="0"/>
          <w:noProof/>
        </w:rPr>
        <w:lastRenderedPageBreak/>
        <w:drawing>
          <wp:inline distT="0" distB="0" distL="0" distR="0">
            <wp:extent cx="4695825" cy="46196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4695825" cy="4619625"/>
                    </a:xfrm>
                    <a:prstGeom prst="rect">
                      <a:avLst/>
                    </a:prstGeom>
                    <a:noFill/>
                    <a:ln w="9525">
                      <a:noFill/>
                      <a:miter lim="800000"/>
                      <a:headEnd/>
                      <a:tailEnd/>
                    </a:ln>
                  </pic:spPr>
                </pic:pic>
              </a:graphicData>
            </a:graphic>
          </wp:inline>
        </w:drawing>
      </w:r>
    </w:p>
    <w:p w:rsidR="00397E73" w:rsidRDefault="00397E73" w:rsidP="00397E73">
      <w:pPr>
        <w:jc w:val="center"/>
      </w:pPr>
      <w:r>
        <w:t>Figure 3 – Machine Selector Main Screen</w:t>
      </w:r>
    </w:p>
    <w:p w:rsidR="00397E73" w:rsidRDefault="00397E73">
      <w:pPr>
        <w:pStyle w:val="Heading1"/>
      </w:pPr>
      <w:r>
        <w:t xml:space="preserve">   </w:t>
      </w:r>
    </w:p>
    <w:p w:rsidR="00012F25" w:rsidRDefault="00012F25">
      <w:pPr>
        <w:rPr>
          <w:rFonts w:ascii="Arial" w:hAnsi="Arial" w:cs="Arial"/>
          <w:b/>
          <w:bCs/>
          <w:kern w:val="32"/>
          <w:sz w:val="32"/>
          <w:szCs w:val="32"/>
        </w:rPr>
      </w:pPr>
      <w:r>
        <w:br w:type="page"/>
      </w:r>
    </w:p>
    <w:p w:rsidR="00012F25" w:rsidRDefault="00012F25" w:rsidP="00012F25">
      <w:pPr>
        <w:pStyle w:val="Heading1"/>
      </w:pPr>
      <w:r>
        <w:lastRenderedPageBreak/>
        <w:t>Digital Drive System Configuration Management</w:t>
      </w:r>
    </w:p>
    <w:p w:rsidR="00012F25" w:rsidRDefault="00012F25" w:rsidP="00012F25"/>
    <w:p w:rsidR="002C42BF" w:rsidRDefault="0018621C">
      <w:r>
        <w:t xml:space="preserve">As mentioned earlier, the digital drive system will be using a single database file to store all of the machine’s configuration data.  </w:t>
      </w:r>
      <w:r w:rsidR="002C42BF">
        <w:t xml:space="preserve">The database file will be called MillMachineConfig.sdf where </w:t>
      </w:r>
      <w:proofErr w:type="spellStart"/>
      <w:r w:rsidR="002C42BF">
        <w:t>sdf</w:t>
      </w:r>
      <w:proofErr w:type="spellEnd"/>
      <w:r w:rsidR="002C42BF">
        <w:t xml:space="preserve"> stands for Standard Database File.  This file will replace all existing configuration files</w:t>
      </w:r>
      <w:r w:rsidR="00715F26">
        <w:t xml:space="preserve">.  In addition to the database file, the </w:t>
      </w:r>
      <w:r w:rsidR="002C42BF">
        <w:t xml:space="preserve">2 specific WinPC32 project files </w:t>
      </w:r>
      <w:r w:rsidR="00EB5762">
        <w:t>are still needed by the WinPC32 developers.</w:t>
      </w:r>
      <w:r w:rsidR="00D30B6B">
        <w:t xml:space="preserve">  Also, a new, but separate configuration file is needed for the </w:t>
      </w:r>
      <w:proofErr w:type="spellStart"/>
      <w:r w:rsidR="00D30B6B">
        <w:t>EtherCAT</w:t>
      </w:r>
      <w:proofErr w:type="spellEnd"/>
      <w:r w:rsidR="00D30B6B">
        <w:t xml:space="preserve"> network interface.  This file will be called Mill</w:t>
      </w:r>
      <w:r w:rsidR="003C6AC1">
        <w:t>EcatEni.xml</w:t>
      </w:r>
      <w:r w:rsidR="00D30B6B">
        <w:t xml:space="preserve">, where </w:t>
      </w:r>
      <w:r w:rsidR="003C6AC1">
        <w:t>E</w:t>
      </w:r>
      <w:r w:rsidR="0078498A">
        <w:t>NI</w:t>
      </w:r>
      <w:r w:rsidR="00D30B6B">
        <w:t xml:space="preserve"> stands for </w:t>
      </w:r>
      <w:proofErr w:type="spellStart"/>
      <w:r w:rsidR="00D30B6B">
        <w:t>EtherCAT</w:t>
      </w:r>
      <w:proofErr w:type="spellEnd"/>
      <w:r w:rsidR="00D30B6B">
        <w:t xml:space="preserve"> Network Interface.</w:t>
      </w:r>
    </w:p>
    <w:p w:rsidR="002C42BF" w:rsidRDefault="002C42BF"/>
    <w:p w:rsidR="00B9329B" w:rsidRDefault="0018621C">
      <w:pPr>
        <w:rPr>
          <w:rFonts w:ascii="Arial" w:hAnsi="Arial" w:cs="Arial"/>
          <w:b/>
          <w:bCs/>
          <w:kern w:val="32"/>
          <w:sz w:val="32"/>
          <w:szCs w:val="32"/>
        </w:rPr>
      </w:pPr>
      <w:r>
        <w:t>With the new schema, the MCD folder concept no longer applies</w:t>
      </w:r>
      <w:r w:rsidR="002C42BF">
        <w:t xml:space="preserve"> and a new TFS tree structure is needed t</w:t>
      </w:r>
      <w:r w:rsidR="00715F26">
        <w:t xml:space="preserve">o store the database file and the WinPC32 project files.  </w:t>
      </w:r>
      <w:r w:rsidR="00D30B6B">
        <w:t xml:space="preserve">A new folder, called Digital Servo </w:t>
      </w:r>
      <w:proofErr w:type="spellStart"/>
      <w:r w:rsidR="00770478">
        <w:t>Config</w:t>
      </w:r>
      <w:proofErr w:type="spellEnd"/>
      <w:r w:rsidR="00770478">
        <w:t>, will be added under the Main folder</w:t>
      </w:r>
      <w:r w:rsidR="00EB5762">
        <w:t xml:space="preserve"> at the same level as the existing WinPC32_Config folder</w:t>
      </w:r>
      <w:r w:rsidR="00D30B6B">
        <w:t xml:space="preserve">.  The Digital Servo </w:t>
      </w:r>
      <w:proofErr w:type="spellStart"/>
      <w:r w:rsidR="00770478">
        <w:t>Config</w:t>
      </w:r>
      <w:proofErr w:type="spellEnd"/>
      <w:r w:rsidR="00770478">
        <w:t xml:space="preserve"> folder will be </w:t>
      </w:r>
      <w:r w:rsidR="00D30B6B">
        <w:t>subdivided into groups (Engineering Machines, Special</w:t>
      </w:r>
      <w:r w:rsidR="00770478">
        <w:t xml:space="preserve">ty Machines, VM Series, and VMX Series) and into machines (VMX24ST_20798ET, VM10 40T, VMX30E 40T, VMC30U 40T, etc). </w:t>
      </w:r>
      <w:r w:rsidR="00EB5762">
        <w:t xml:space="preserve">The new TFS tree structure is shown in Figure 4 and </w:t>
      </w:r>
      <w:r w:rsidR="0078498A">
        <w:t xml:space="preserve">the files that will </w:t>
      </w:r>
      <w:r w:rsidR="00770478">
        <w:t>be lo</w:t>
      </w:r>
      <w:r w:rsidR="0078498A">
        <w:t>cated under each machine folder are shown in Figure 5.</w:t>
      </w:r>
    </w:p>
    <w:p w:rsidR="00770478" w:rsidRDefault="00770478">
      <w:pPr>
        <w:rPr>
          <w:rFonts w:ascii="Arial" w:hAnsi="Arial" w:cs="Arial"/>
          <w:b/>
          <w:bCs/>
          <w:kern w:val="32"/>
          <w:sz w:val="32"/>
          <w:szCs w:val="32"/>
        </w:rPr>
      </w:pPr>
    </w:p>
    <w:p w:rsidR="00770478" w:rsidRDefault="00C775A8">
      <w:pPr>
        <w:rPr>
          <w:rFonts w:ascii="Arial" w:hAnsi="Arial" w:cs="Arial"/>
          <w:b/>
          <w:bCs/>
          <w:kern w:val="32"/>
          <w:sz w:val="32"/>
          <w:szCs w:val="32"/>
        </w:rPr>
      </w:pPr>
      <w:r>
        <w:rPr>
          <w:rFonts w:ascii="Arial" w:hAnsi="Arial" w:cs="Arial"/>
          <w:b/>
          <w:bCs/>
          <w:noProof/>
          <w:kern w:val="32"/>
          <w:sz w:val="32"/>
          <w:szCs w:val="32"/>
          <w:lang w:eastAsia="zh-TW"/>
        </w:rPr>
        <w:pict>
          <v:shape id="_x0000_s1029" type="#_x0000_t202" style="position:absolute;margin-left:0;margin-top:6pt;width:438pt;height:324.95pt;z-index:251666432;mso-position-horizontal:center;mso-width-relative:margin;mso-height-relative:margin">
            <v:textbox>
              <w:txbxContent>
                <w:p w:rsidR="008D09CE" w:rsidRDefault="008D09CE">
                  <w:r>
                    <w:rPr>
                      <w:noProof/>
                    </w:rPr>
                    <w:drawing>
                      <wp:inline distT="0" distB="0" distL="0" distR="0">
                        <wp:extent cx="3267075" cy="3933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267075" cy="3933825"/>
                                </a:xfrm>
                                <a:prstGeom prst="rect">
                                  <a:avLst/>
                                </a:prstGeom>
                                <a:noFill/>
                                <a:ln w="9525">
                                  <a:noFill/>
                                  <a:miter lim="800000"/>
                                  <a:headEnd/>
                                  <a:tailEnd/>
                                </a:ln>
                              </pic:spPr>
                            </pic:pic>
                          </a:graphicData>
                        </a:graphic>
                      </wp:inline>
                    </w:drawing>
                  </w:r>
                </w:p>
              </w:txbxContent>
            </v:textbox>
          </v:shape>
        </w:pict>
      </w: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4F1408" w:rsidP="00770478">
      <w:pPr>
        <w:jc w:val="center"/>
      </w:pPr>
      <w:r>
        <w:t xml:space="preserve">Figure 4 – TFS Integration Digital Servo </w:t>
      </w:r>
      <w:proofErr w:type="spellStart"/>
      <w:r w:rsidR="00770478">
        <w:t>Config</w:t>
      </w:r>
      <w:proofErr w:type="spellEnd"/>
      <w:r w:rsidR="00770478">
        <w:t xml:space="preserve"> Tree Structure</w:t>
      </w: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C775A8">
      <w:pPr>
        <w:rPr>
          <w:rFonts w:ascii="Arial" w:hAnsi="Arial" w:cs="Arial"/>
          <w:b/>
          <w:bCs/>
          <w:kern w:val="32"/>
          <w:sz w:val="32"/>
          <w:szCs w:val="32"/>
        </w:rPr>
      </w:pPr>
      <w:r>
        <w:rPr>
          <w:rFonts w:ascii="Arial" w:hAnsi="Arial" w:cs="Arial"/>
          <w:b/>
          <w:bCs/>
          <w:noProof/>
          <w:kern w:val="32"/>
          <w:sz w:val="32"/>
          <w:szCs w:val="32"/>
          <w:lang w:eastAsia="zh-TW"/>
        </w:rPr>
        <w:pict>
          <v:shape id="_x0000_s1030" type="#_x0000_t202" style="position:absolute;margin-left:0;margin-top:-22.95pt;width:421.8pt;height:102.05pt;z-index:251668480;mso-position-horizontal:center;mso-width-relative:margin;mso-height-relative:margin">
            <v:textbox>
              <w:txbxContent>
                <w:p w:rsidR="008D09CE" w:rsidRDefault="003C6AC1">
                  <w:r>
                    <w:rPr>
                      <w:noProof/>
                    </w:rPr>
                    <w:drawing>
                      <wp:inline distT="0" distB="0" distL="0" distR="0">
                        <wp:extent cx="5164455" cy="116301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164455" cy="1163019"/>
                                </a:xfrm>
                                <a:prstGeom prst="rect">
                                  <a:avLst/>
                                </a:prstGeom>
                                <a:noFill/>
                                <a:ln w="9525">
                                  <a:noFill/>
                                  <a:miter lim="800000"/>
                                  <a:headEnd/>
                                  <a:tailEnd/>
                                </a:ln>
                              </pic:spPr>
                            </pic:pic>
                          </a:graphicData>
                        </a:graphic>
                      </wp:inline>
                    </w:drawing>
                  </w:r>
                </w:p>
              </w:txbxContent>
            </v:textbox>
          </v:shape>
        </w:pict>
      </w: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pPr>
        <w:rPr>
          <w:rFonts w:ascii="Arial" w:hAnsi="Arial" w:cs="Arial"/>
          <w:b/>
          <w:bCs/>
          <w:kern w:val="32"/>
          <w:sz w:val="32"/>
          <w:szCs w:val="32"/>
        </w:rPr>
      </w:pPr>
    </w:p>
    <w:p w:rsidR="00770478" w:rsidRDefault="00770478" w:rsidP="00770478">
      <w:pPr>
        <w:jc w:val="center"/>
      </w:pPr>
      <w:r>
        <w:t>Figure</w:t>
      </w:r>
      <w:r w:rsidR="0078498A">
        <w:t xml:space="preserve"> 5 – TFS Integration Digital Servo</w:t>
      </w:r>
      <w:r>
        <w:t xml:space="preserve"> Machine Files</w:t>
      </w:r>
    </w:p>
    <w:p w:rsidR="006875FF" w:rsidRDefault="006875FF">
      <w:pPr>
        <w:rPr>
          <w:rFonts w:ascii="Arial" w:hAnsi="Arial" w:cs="Arial"/>
          <w:b/>
          <w:bCs/>
          <w:kern w:val="32"/>
          <w:sz w:val="32"/>
          <w:szCs w:val="32"/>
        </w:rPr>
      </w:pPr>
    </w:p>
    <w:p w:rsidR="00770478" w:rsidRDefault="00770478">
      <w:pPr>
        <w:rPr>
          <w:rFonts w:ascii="Arial" w:hAnsi="Arial" w:cs="Arial"/>
          <w:b/>
          <w:bCs/>
          <w:kern w:val="32"/>
          <w:sz w:val="32"/>
          <w:szCs w:val="32"/>
        </w:rPr>
      </w:pPr>
    </w:p>
    <w:p w:rsidR="006875FF" w:rsidRDefault="00EB5762">
      <w:r>
        <w:t xml:space="preserve">Once </w:t>
      </w:r>
      <w:r w:rsidR="006875FF">
        <w:t xml:space="preserve">the new TFS </w:t>
      </w:r>
      <w:r w:rsidR="009B1804">
        <w:t xml:space="preserve">Digital Servo </w:t>
      </w:r>
      <w:proofErr w:type="spellStart"/>
      <w:r w:rsidR="006875FF">
        <w:t>Config</w:t>
      </w:r>
      <w:proofErr w:type="spellEnd"/>
      <w:r w:rsidR="006875FF">
        <w:t xml:space="preserve"> structure </w:t>
      </w:r>
      <w:r>
        <w:t xml:space="preserve">and files are </w:t>
      </w:r>
      <w:r w:rsidR="006875FF">
        <w:t xml:space="preserve">in place, a mechanism is still needed to copy the configuration files from their source locations to their destination locations.  With the digital drive system, the </w:t>
      </w:r>
      <w:r w:rsidR="009B1804">
        <w:t xml:space="preserve">new </w:t>
      </w:r>
      <w:r w:rsidR="006875FF">
        <w:t xml:space="preserve">database </w:t>
      </w:r>
      <w:r w:rsidR="009B1804">
        <w:t xml:space="preserve">and ENI </w:t>
      </w:r>
      <w:r w:rsidR="006875FF">
        <w:t>file</w:t>
      </w:r>
      <w:r w:rsidR="009B1804">
        <w:t>s</w:t>
      </w:r>
      <w:r w:rsidR="006875FF">
        <w:t xml:space="preserve"> will </w:t>
      </w:r>
      <w:r w:rsidR="009B1804">
        <w:t>be located in the root of the e</w:t>
      </w:r>
      <w:r>
        <w:t xml:space="preserve">xisting </w:t>
      </w:r>
      <w:r w:rsidR="006875FF">
        <w:t>R:\Hurco\Winmax\ConfigFiles</w:t>
      </w:r>
      <w:r w:rsidR="009B1804">
        <w:t xml:space="preserve">\RT folder.  </w:t>
      </w:r>
      <w:r w:rsidR="006875FF">
        <w:t xml:space="preserve">The destination location for the WinPC32 projects files </w:t>
      </w:r>
      <w:r>
        <w:t xml:space="preserve">will </w:t>
      </w:r>
      <w:r w:rsidR="006875FF">
        <w:t xml:space="preserve">remain unchanged </w:t>
      </w:r>
      <w:r>
        <w:t xml:space="preserve">in the existing subfolder </w:t>
      </w:r>
      <w:r w:rsidR="006875FF">
        <w:t>under the C:\Program Files\</w:t>
      </w:r>
      <w:proofErr w:type="spellStart"/>
      <w:r w:rsidR="006875FF">
        <w:t>Hurco</w:t>
      </w:r>
      <w:proofErr w:type="spellEnd"/>
      <w:r w:rsidR="006875FF">
        <w:t>\WinPC32 folder.</w:t>
      </w:r>
    </w:p>
    <w:p w:rsidR="006875FF" w:rsidRDefault="006875FF"/>
    <w:p w:rsidR="00D41C48" w:rsidRDefault="006875FF">
      <w:r>
        <w:t xml:space="preserve">There have been numerous discussions about the Machine Selector replacement for the digital drive system.  Several enhancements have been proposed but due to lack of time and resources, no formal design has been developed.  Until this replacement can be designed, an interim approach will be to modify the existing Machine Selector app to support the digital drive machines.  </w:t>
      </w:r>
    </w:p>
    <w:p w:rsidR="00D41C48" w:rsidRDefault="00D41C48"/>
    <w:p w:rsidR="00D41C48" w:rsidRDefault="002341FC">
      <w:r>
        <w:t>A new registry key</w:t>
      </w:r>
      <w:r w:rsidR="00EB5762">
        <w:t xml:space="preserve"> </w:t>
      </w:r>
      <w:r>
        <w:t xml:space="preserve">will be used with the Machine Selector </w:t>
      </w:r>
      <w:r w:rsidR="00EB5762">
        <w:t xml:space="preserve">to </w:t>
      </w:r>
      <w:r>
        <w:t>control the available main menu selections</w:t>
      </w:r>
      <w:r w:rsidR="00D41C48">
        <w:t xml:space="preserve">, based on whether the system is an analog drive or digital drive system.  </w:t>
      </w:r>
      <w:r>
        <w:t xml:space="preserve">For </w:t>
      </w:r>
      <w:r w:rsidR="00D41C48">
        <w:t>backwards compatibility, the default value of the new registry key will indicate an analog drive system.  Analog drive systems will display the Machine Selector main menu as shown in Figure 3</w:t>
      </w:r>
      <w:r w:rsidR="00EB5762">
        <w:t xml:space="preserve"> and d</w:t>
      </w:r>
      <w:r w:rsidR="00D41C48">
        <w:t>igital drive systems will display the Machine Selector main menu as shown in Figure 6.  The MachineConfig.xml file will be extended to support the digital drive machines and the Machine Selector app will have minor changes made to support the differences between the analog drive and digital drive configuration files.</w:t>
      </w:r>
    </w:p>
    <w:p w:rsidR="002341FC" w:rsidRDefault="002341FC"/>
    <w:p w:rsidR="002341FC" w:rsidRDefault="002341FC"/>
    <w:p w:rsidR="002341FC" w:rsidRDefault="002341FC"/>
    <w:p w:rsidR="002341FC" w:rsidRDefault="002341FC"/>
    <w:p w:rsidR="002341FC" w:rsidRDefault="002341FC"/>
    <w:p w:rsidR="002341FC" w:rsidRDefault="002341FC"/>
    <w:p w:rsidR="002341FC" w:rsidRDefault="002341FC"/>
    <w:p w:rsidR="002341FC" w:rsidRDefault="002341FC"/>
    <w:p w:rsidR="002341FC" w:rsidRDefault="002341FC"/>
    <w:p w:rsidR="002341FC" w:rsidRDefault="002341FC"/>
    <w:p w:rsidR="002341FC" w:rsidRDefault="002341FC"/>
    <w:p w:rsidR="002341FC" w:rsidRDefault="002341FC"/>
    <w:p w:rsidR="002341FC" w:rsidRDefault="002341FC"/>
    <w:p w:rsidR="002341FC" w:rsidRDefault="002341FC"/>
    <w:p w:rsidR="002341FC" w:rsidRDefault="002341FC"/>
    <w:p w:rsidR="002341FC" w:rsidRPr="0078498A" w:rsidRDefault="003C6AC1" w:rsidP="00D41C48">
      <w:pPr>
        <w:jc w:val="center"/>
        <w:rPr>
          <w:b/>
        </w:rPr>
      </w:pPr>
      <w:r>
        <w:rPr>
          <w:noProof/>
        </w:rPr>
        <w:drawing>
          <wp:inline distT="0" distB="0" distL="0" distR="0">
            <wp:extent cx="4695825" cy="4610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695825" cy="4610100"/>
                    </a:xfrm>
                    <a:prstGeom prst="rect">
                      <a:avLst/>
                    </a:prstGeom>
                    <a:noFill/>
                    <a:ln w="9525">
                      <a:noFill/>
                      <a:miter lim="800000"/>
                      <a:headEnd/>
                      <a:tailEnd/>
                    </a:ln>
                  </pic:spPr>
                </pic:pic>
              </a:graphicData>
            </a:graphic>
          </wp:inline>
        </w:drawing>
      </w:r>
    </w:p>
    <w:p w:rsidR="00D41C48" w:rsidRDefault="00D41C48">
      <w:pPr>
        <w:rPr>
          <w:rFonts w:ascii="Arial" w:hAnsi="Arial" w:cs="Arial"/>
          <w:b/>
          <w:bCs/>
          <w:kern w:val="32"/>
          <w:sz w:val="32"/>
          <w:szCs w:val="32"/>
        </w:rPr>
      </w:pPr>
    </w:p>
    <w:p w:rsidR="00D41C48" w:rsidRDefault="00D41C48" w:rsidP="00D41C48">
      <w:pPr>
        <w:jc w:val="center"/>
      </w:pPr>
      <w:r>
        <w:t>Figure 6 – Machine Selector Main Screen (Digital Drive System)</w:t>
      </w:r>
    </w:p>
    <w:p w:rsidR="00D41C48" w:rsidRPr="00336215" w:rsidRDefault="00D41C48">
      <w:pPr>
        <w:rPr>
          <w:rFonts w:ascii="Arial" w:hAnsi="Arial" w:cs="Arial"/>
          <w:b/>
          <w:bCs/>
          <w:kern w:val="32"/>
          <w:sz w:val="32"/>
          <w:szCs w:val="32"/>
        </w:rPr>
      </w:pPr>
    </w:p>
    <w:sectPr w:rsidR="00D41C48" w:rsidRPr="00336215" w:rsidSect="00A82567">
      <w:pgSz w:w="12240" w:h="15840" w:code="1"/>
      <w:pgMar w:top="1440" w:right="1800" w:bottom="1440" w:left="180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9CE" w:rsidRDefault="008D09CE">
      <w:r>
        <w:separator/>
      </w:r>
    </w:p>
  </w:endnote>
  <w:endnote w:type="continuationSeparator" w:id="0">
    <w:p w:rsidR="008D09CE" w:rsidRDefault="008D09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CE" w:rsidRDefault="00C775A8">
    <w:pPr>
      <w:pStyle w:val="Footer"/>
      <w:jc w:val="center"/>
    </w:pPr>
    <w:r>
      <w:rPr>
        <w:rStyle w:val="PageNumber"/>
      </w:rPr>
      <w:fldChar w:fldCharType="begin"/>
    </w:r>
    <w:r w:rsidR="008D09CE">
      <w:rPr>
        <w:rStyle w:val="PageNumber"/>
      </w:rPr>
      <w:instrText xml:space="preserve"> PAGE </w:instrText>
    </w:r>
    <w:r>
      <w:rPr>
        <w:rStyle w:val="PageNumber"/>
      </w:rPr>
      <w:fldChar w:fldCharType="separate"/>
    </w:r>
    <w:r w:rsidR="0078498A">
      <w:rPr>
        <w:rStyle w:val="PageNumber"/>
        <w:noProof/>
      </w:rPr>
      <w:t>6</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CE" w:rsidRDefault="008D09C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9CE" w:rsidRDefault="008D09CE">
      <w:r>
        <w:separator/>
      </w:r>
    </w:p>
  </w:footnote>
  <w:footnote w:type="continuationSeparator" w:id="0">
    <w:p w:rsidR="008D09CE" w:rsidRDefault="008D09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C5E5A"/>
    <w:multiLevelType w:val="hybridMultilevel"/>
    <w:tmpl w:val="C46AD1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7A6687"/>
    <w:multiLevelType w:val="hybridMultilevel"/>
    <w:tmpl w:val="D436B728"/>
    <w:lvl w:ilvl="0" w:tplc="A0E4FB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06289D"/>
    <w:multiLevelType w:val="hybridMultilevel"/>
    <w:tmpl w:val="7498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74055"/>
    <w:multiLevelType w:val="hybridMultilevel"/>
    <w:tmpl w:val="D11CBE5E"/>
    <w:lvl w:ilvl="0" w:tplc="2D242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53BED"/>
    <w:multiLevelType w:val="hybridMultilevel"/>
    <w:tmpl w:val="7498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A96053"/>
    <w:multiLevelType w:val="hybridMultilevel"/>
    <w:tmpl w:val="39C2483E"/>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34C22A60"/>
    <w:multiLevelType w:val="hybridMultilevel"/>
    <w:tmpl w:val="DF9AA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B4079"/>
    <w:multiLevelType w:val="hybridMultilevel"/>
    <w:tmpl w:val="7498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435E7"/>
    <w:multiLevelType w:val="hybridMultilevel"/>
    <w:tmpl w:val="7498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D5D53"/>
    <w:multiLevelType w:val="hybridMultilevel"/>
    <w:tmpl w:val="EB26A10A"/>
    <w:lvl w:ilvl="0" w:tplc="E2904C30">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D2E65"/>
    <w:multiLevelType w:val="hybridMultilevel"/>
    <w:tmpl w:val="D65AEE32"/>
    <w:lvl w:ilvl="0" w:tplc="7D1E76B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9F6DC5"/>
    <w:multiLevelType w:val="hybridMultilevel"/>
    <w:tmpl w:val="65944258"/>
    <w:lvl w:ilvl="0" w:tplc="5030BA8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A7678"/>
    <w:multiLevelType w:val="hybridMultilevel"/>
    <w:tmpl w:val="23F00E52"/>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CB3438"/>
    <w:multiLevelType w:val="hybridMultilevel"/>
    <w:tmpl w:val="23F00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3124FB"/>
    <w:multiLevelType w:val="hybridMultilevel"/>
    <w:tmpl w:val="7498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6D7DBE"/>
    <w:multiLevelType w:val="hybridMultilevel"/>
    <w:tmpl w:val="856CE3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A0107D"/>
    <w:multiLevelType w:val="hybridMultilevel"/>
    <w:tmpl w:val="7652996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B46602"/>
    <w:multiLevelType w:val="hybridMultilevel"/>
    <w:tmpl w:val="4B1E199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2FC753F"/>
    <w:multiLevelType w:val="hybridMultilevel"/>
    <w:tmpl w:val="0BAA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EC3391"/>
    <w:multiLevelType w:val="hybridMultilevel"/>
    <w:tmpl w:val="BF1AB8BE"/>
    <w:lvl w:ilvl="0" w:tplc="D4DA5C38">
      <w:start w:val="1"/>
      <w:numFmt w:val="decimal"/>
      <w:pStyle w:val="TOC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F13DE4"/>
    <w:multiLevelType w:val="hybridMultilevel"/>
    <w:tmpl w:val="4B1E199C"/>
    <w:lvl w:ilvl="0" w:tplc="A0E4FBAC">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lvlOverride w:ilvl="0">
      <w:startOverride w:val="1"/>
    </w:lvlOverride>
  </w:num>
  <w:num w:numId="2">
    <w:abstractNumId w:val="1"/>
  </w:num>
  <w:num w:numId="3">
    <w:abstractNumId w:val="20"/>
  </w:num>
  <w:num w:numId="4">
    <w:abstractNumId w:val="17"/>
  </w:num>
  <w:num w:numId="5">
    <w:abstractNumId w:val="13"/>
  </w:num>
  <w:num w:numId="6">
    <w:abstractNumId w:val="12"/>
  </w:num>
  <w:num w:numId="7">
    <w:abstractNumId w:val="8"/>
  </w:num>
  <w:num w:numId="8">
    <w:abstractNumId w:val="6"/>
  </w:num>
  <w:num w:numId="9">
    <w:abstractNumId w:val="15"/>
  </w:num>
  <w:num w:numId="10">
    <w:abstractNumId w:val="5"/>
  </w:num>
  <w:num w:numId="11">
    <w:abstractNumId w:val="9"/>
  </w:num>
  <w:num w:numId="12">
    <w:abstractNumId w:val="0"/>
  </w:num>
  <w:num w:numId="13">
    <w:abstractNumId w:val="18"/>
  </w:num>
  <w:num w:numId="14">
    <w:abstractNumId w:val="3"/>
  </w:num>
  <w:num w:numId="15">
    <w:abstractNumId w:val="16"/>
  </w:num>
  <w:num w:numId="16">
    <w:abstractNumId w:val="10"/>
  </w:num>
  <w:num w:numId="17">
    <w:abstractNumId w:val="11"/>
  </w:num>
  <w:num w:numId="18">
    <w:abstractNumId w:val="2"/>
  </w:num>
  <w:num w:numId="19">
    <w:abstractNumId w:val="4"/>
  </w:num>
  <w:num w:numId="20">
    <w:abstractNumId w:val="7"/>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3E5B98"/>
    <w:rsid w:val="00012F25"/>
    <w:rsid w:val="00026A27"/>
    <w:rsid w:val="00032D1C"/>
    <w:rsid w:val="00061CBC"/>
    <w:rsid w:val="000766D7"/>
    <w:rsid w:val="000B720B"/>
    <w:rsid w:val="000F2CFE"/>
    <w:rsid w:val="00110458"/>
    <w:rsid w:val="00114202"/>
    <w:rsid w:val="00120E6F"/>
    <w:rsid w:val="0016281F"/>
    <w:rsid w:val="0018621C"/>
    <w:rsid w:val="001D1128"/>
    <w:rsid w:val="001F39B9"/>
    <w:rsid w:val="001F69AB"/>
    <w:rsid w:val="0020315E"/>
    <w:rsid w:val="00226685"/>
    <w:rsid w:val="002341FC"/>
    <w:rsid w:val="00265C55"/>
    <w:rsid w:val="002A655E"/>
    <w:rsid w:val="002C42BF"/>
    <w:rsid w:val="00304794"/>
    <w:rsid w:val="00334D5D"/>
    <w:rsid w:val="00336215"/>
    <w:rsid w:val="00380CD0"/>
    <w:rsid w:val="00397E73"/>
    <w:rsid w:val="003A6E28"/>
    <w:rsid w:val="003C6AC1"/>
    <w:rsid w:val="003E5B98"/>
    <w:rsid w:val="00412188"/>
    <w:rsid w:val="00424053"/>
    <w:rsid w:val="0043553A"/>
    <w:rsid w:val="00451E38"/>
    <w:rsid w:val="00480A8C"/>
    <w:rsid w:val="00486CAB"/>
    <w:rsid w:val="00490375"/>
    <w:rsid w:val="00497BE0"/>
    <w:rsid w:val="004B0ED0"/>
    <w:rsid w:val="004D2BD7"/>
    <w:rsid w:val="004F1408"/>
    <w:rsid w:val="004F1CC2"/>
    <w:rsid w:val="0051620B"/>
    <w:rsid w:val="00516830"/>
    <w:rsid w:val="00530601"/>
    <w:rsid w:val="00551B76"/>
    <w:rsid w:val="0055275A"/>
    <w:rsid w:val="00557BF8"/>
    <w:rsid w:val="00564530"/>
    <w:rsid w:val="005739A5"/>
    <w:rsid w:val="0058617D"/>
    <w:rsid w:val="00593F97"/>
    <w:rsid w:val="00634EE6"/>
    <w:rsid w:val="006359DA"/>
    <w:rsid w:val="00662CDF"/>
    <w:rsid w:val="006872BB"/>
    <w:rsid w:val="006875FF"/>
    <w:rsid w:val="00687764"/>
    <w:rsid w:val="006E51E5"/>
    <w:rsid w:val="006F4367"/>
    <w:rsid w:val="00706341"/>
    <w:rsid w:val="00706DC5"/>
    <w:rsid w:val="00715F26"/>
    <w:rsid w:val="00746951"/>
    <w:rsid w:val="00770478"/>
    <w:rsid w:val="0078498A"/>
    <w:rsid w:val="007A62AB"/>
    <w:rsid w:val="007B3B4F"/>
    <w:rsid w:val="007C4388"/>
    <w:rsid w:val="007D590D"/>
    <w:rsid w:val="007E6D52"/>
    <w:rsid w:val="008136CD"/>
    <w:rsid w:val="00861ACA"/>
    <w:rsid w:val="00861CCB"/>
    <w:rsid w:val="00880351"/>
    <w:rsid w:val="008A5494"/>
    <w:rsid w:val="008B4F36"/>
    <w:rsid w:val="008D09CE"/>
    <w:rsid w:val="008E26C0"/>
    <w:rsid w:val="008F788F"/>
    <w:rsid w:val="00934990"/>
    <w:rsid w:val="0099446E"/>
    <w:rsid w:val="00997CD3"/>
    <w:rsid w:val="009B1804"/>
    <w:rsid w:val="009B3B6F"/>
    <w:rsid w:val="009D41B7"/>
    <w:rsid w:val="00A06F77"/>
    <w:rsid w:val="00A20657"/>
    <w:rsid w:val="00A82567"/>
    <w:rsid w:val="00AF0452"/>
    <w:rsid w:val="00B131B0"/>
    <w:rsid w:val="00B26C64"/>
    <w:rsid w:val="00B6268D"/>
    <w:rsid w:val="00B82E50"/>
    <w:rsid w:val="00B9329B"/>
    <w:rsid w:val="00B96431"/>
    <w:rsid w:val="00BB1624"/>
    <w:rsid w:val="00C775A8"/>
    <w:rsid w:val="00CA01B5"/>
    <w:rsid w:val="00CF45E4"/>
    <w:rsid w:val="00D00E16"/>
    <w:rsid w:val="00D30B6B"/>
    <w:rsid w:val="00D41C48"/>
    <w:rsid w:val="00D437B3"/>
    <w:rsid w:val="00D85AA4"/>
    <w:rsid w:val="00D9154F"/>
    <w:rsid w:val="00D94F9D"/>
    <w:rsid w:val="00DB736F"/>
    <w:rsid w:val="00E046BB"/>
    <w:rsid w:val="00E3110D"/>
    <w:rsid w:val="00E42F06"/>
    <w:rsid w:val="00EB5762"/>
    <w:rsid w:val="00EC58B3"/>
    <w:rsid w:val="00EF0C86"/>
    <w:rsid w:val="00F0705E"/>
    <w:rsid w:val="00F30900"/>
    <w:rsid w:val="00F50999"/>
    <w:rsid w:val="00F85829"/>
    <w:rsid w:val="00F963B1"/>
    <w:rsid w:val="00FA6034"/>
    <w:rsid w:val="00FC5967"/>
    <w:rsid w:val="00FC78B8"/>
    <w:rsid w:val="00FE3B8B"/>
    <w:rsid w:val="00FF1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567"/>
    <w:rPr>
      <w:sz w:val="24"/>
      <w:szCs w:val="24"/>
    </w:rPr>
  </w:style>
  <w:style w:type="paragraph" w:styleId="Heading1">
    <w:name w:val="heading 1"/>
    <w:basedOn w:val="Normal"/>
    <w:next w:val="Normal"/>
    <w:qFormat/>
    <w:rsid w:val="00A8256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8256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82567"/>
    <w:pPr>
      <w:keepNext/>
      <w:spacing w:before="240" w:after="60"/>
      <w:outlineLvl w:val="2"/>
    </w:pPr>
    <w:rPr>
      <w:rFonts w:ascii="Arial" w:hAnsi="Arial" w:cs="Arial"/>
      <w:b/>
      <w:bCs/>
      <w:sz w:val="26"/>
      <w:szCs w:val="26"/>
    </w:rPr>
  </w:style>
  <w:style w:type="paragraph" w:styleId="Heading4">
    <w:name w:val="heading 4"/>
    <w:basedOn w:val="Normal"/>
    <w:next w:val="Normal"/>
    <w:qFormat/>
    <w:rsid w:val="00A82567"/>
    <w:pPr>
      <w:keepNext/>
      <w:outlineLvl w:val="3"/>
    </w:pPr>
    <w:rPr>
      <w:b/>
      <w:bCs/>
    </w:rPr>
  </w:style>
  <w:style w:type="paragraph" w:styleId="Heading5">
    <w:name w:val="heading 5"/>
    <w:basedOn w:val="Normal"/>
    <w:next w:val="Normal"/>
    <w:qFormat/>
    <w:rsid w:val="00A82567"/>
    <w:pPr>
      <w:keepNext/>
      <w:jc w:val="center"/>
      <w:outlineLvl w:val="4"/>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82567"/>
    <w:pPr>
      <w:tabs>
        <w:tab w:val="center" w:pos="4320"/>
        <w:tab w:val="right" w:pos="8640"/>
      </w:tabs>
    </w:pPr>
  </w:style>
  <w:style w:type="paragraph" w:styleId="Footer">
    <w:name w:val="footer"/>
    <w:basedOn w:val="Normal"/>
    <w:semiHidden/>
    <w:rsid w:val="00A82567"/>
    <w:pPr>
      <w:tabs>
        <w:tab w:val="center" w:pos="4320"/>
        <w:tab w:val="right" w:pos="8640"/>
      </w:tabs>
    </w:pPr>
  </w:style>
  <w:style w:type="paragraph" w:styleId="BodyTextIndent">
    <w:name w:val="Body Text Indent"/>
    <w:basedOn w:val="Normal"/>
    <w:semiHidden/>
    <w:rsid w:val="00A82567"/>
    <w:pPr>
      <w:ind w:left="3420" w:hanging="2880"/>
    </w:pPr>
  </w:style>
  <w:style w:type="paragraph" w:styleId="BodyTextIndent2">
    <w:name w:val="Body Text Indent 2"/>
    <w:basedOn w:val="Normal"/>
    <w:semiHidden/>
    <w:rsid w:val="00A82567"/>
    <w:pPr>
      <w:ind w:left="1080" w:hanging="540"/>
    </w:pPr>
  </w:style>
  <w:style w:type="paragraph" w:styleId="BodyTextIndent3">
    <w:name w:val="Body Text Indent 3"/>
    <w:basedOn w:val="Normal"/>
    <w:semiHidden/>
    <w:rsid w:val="00A82567"/>
    <w:pPr>
      <w:ind w:left="900" w:hanging="360"/>
    </w:pPr>
  </w:style>
  <w:style w:type="paragraph" w:styleId="TOC1">
    <w:name w:val="toc 1"/>
    <w:basedOn w:val="Index1"/>
    <w:next w:val="Normal"/>
    <w:autoRedefine/>
    <w:semiHidden/>
    <w:rsid w:val="00A82567"/>
    <w:pPr>
      <w:numPr>
        <w:numId w:val="1"/>
      </w:numPr>
    </w:pPr>
  </w:style>
  <w:style w:type="paragraph" w:styleId="TOC2">
    <w:name w:val="toc 2"/>
    <w:basedOn w:val="Normal"/>
    <w:next w:val="Normal"/>
    <w:autoRedefine/>
    <w:semiHidden/>
    <w:rsid w:val="00A82567"/>
    <w:pPr>
      <w:ind w:left="240"/>
    </w:pPr>
  </w:style>
  <w:style w:type="paragraph" w:styleId="TOC3">
    <w:name w:val="toc 3"/>
    <w:basedOn w:val="Normal"/>
    <w:next w:val="Normal"/>
    <w:autoRedefine/>
    <w:semiHidden/>
    <w:rsid w:val="00A82567"/>
    <w:pPr>
      <w:ind w:left="480"/>
    </w:pPr>
  </w:style>
  <w:style w:type="paragraph" w:styleId="TOC4">
    <w:name w:val="toc 4"/>
    <w:basedOn w:val="Normal"/>
    <w:next w:val="Normal"/>
    <w:autoRedefine/>
    <w:semiHidden/>
    <w:rsid w:val="00A82567"/>
    <w:pPr>
      <w:ind w:left="720"/>
    </w:pPr>
  </w:style>
  <w:style w:type="paragraph" w:styleId="TOC5">
    <w:name w:val="toc 5"/>
    <w:basedOn w:val="Normal"/>
    <w:next w:val="Normal"/>
    <w:autoRedefine/>
    <w:semiHidden/>
    <w:rsid w:val="00A82567"/>
    <w:pPr>
      <w:ind w:left="960"/>
    </w:pPr>
  </w:style>
  <w:style w:type="paragraph" w:styleId="TOC6">
    <w:name w:val="toc 6"/>
    <w:basedOn w:val="Normal"/>
    <w:next w:val="Normal"/>
    <w:autoRedefine/>
    <w:semiHidden/>
    <w:rsid w:val="00A82567"/>
    <w:pPr>
      <w:ind w:left="1200"/>
    </w:pPr>
  </w:style>
  <w:style w:type="paragraph" w:styleId="TOC7">
    <w:name w:val="toc 7"/>
    <w:basedOn w:val="Normal"/>
    <w:next w:val="Normal"/>
    <w:autoRedefine/>
    <w:semiHidden/>
    <w:rsid w:val="00A82567"/>
    <w:pPr>
      <w:ind w:left="1440"/>
    </w:pPr>
  </w:style>
  <w:style w:type="paragraph" w:styleId="TOC8">
    <w:name w:val="toc 8"/>
    <w:basedOn w:val="Normal"/>
    <w:next w:val="Normal"/>
    <w:autoRedefine/>
    <w:semiHidden/>
    <w:rsid w:val="00A82567"/>
    <w:pPr>
      <w:ind w:left="1680"/>
    </w:pPr>
  </w:style>
  <w:style w:type="paragraph" w:styleId="TOC9">
    <w:name w:val="toc 9"/>
    <w:basedOn w:val="Normal"/>
    <w:next w:val="Normal"/>
    <w:autoRedefine/>
    <w:semiHidden/>
    <w:rsid w:val="00A82567"/>
    <w:pPr>
      <w:ind w:left="1920"/>
    </w:pPr>
  </w:style>
  <w:style w:type="character" w:styleId="Hyperlink">
    <w:name w:val="Hyperlink"/>
    <w:basedOn w:val="DefaultParagraphFont"/>
    <w:semiHidden/>
    <w:rsid w:val="00A82567"/>
    <w:rPr>
      <w:color w:val="0000FF"/>
      <w:u w:val="single"/>
    </w:rPr>
  </w:style>
  <w:style w:type="paragraph" w:styleId="Index1">
    <w:name w:val="index 1"/>
    <w:basedOn w:val="Normal"/>
    <w:next w:val="Normal"/>
    <w:autoRedefine/>
    <w:semiHidden/>
    <w:rsid w:val="00A82567"/>
  </w:style>
  <w:style w:type="paragraph" w:styleId="Index2">
    <w:name w:val="index 2"/>
    <w:basedOn w:val="Normal"/>
    <w:next w:val="Normal"/>
    <w:autoRedefine/>
    <w:semiHidden/>
    <w:rsid w:val="00A82567"/>
    <w:pPr>
      <w:ind w:left="480" w:hanging="240"/>
    </w:pPr>
  </w:style>
  <w:style w:type="paragraph" w:styleId="Index3">
    <w:name w:val="index 3"/>
    <w:basedOn w:val="Normal"/>
    <w:next w:val="Normal"/>
    <w:autoRedefine/>
    <w:semiHidden/>
    <w:rsid w:val="00A82567"/>
    <w:pPr>
      <w:ind w:left="720" w:hanging="240"/>
    </w:pPr>
  </w:style>
  <w:style w:type="paragraph" w:styleId="Index4">
    <w:name w:val="index 4"/>
    <w:basedOn w:val="Normal"/>
    <w:next w:val="Normal"/>
    <w:autoRedefine/>
    <w:semiHidden/>
    <w:rsid w:val="00A82567"/>
    <w:pPr>
      <w:ind w:left="960" w:hanging="240"/>
    </w:pPr>
  </w:style>
  <w:style w:type="paragraph" w:styleId="Index5">
    <w:name w:val="index 5"/>
    <w:basedOn w:val="Normal"/>
    <w:next w:val="Normal"/>
    <w:autoRedefine/>
    <w:semiHidden/>
    <w:rsid w:val="00A82567"/>
    <w:pPr>
      <w:ind w:left="1200" w:hanging="240"/>
    </w:pPr>
  </w:style>
  <w:style w:type="paragraph" w:styleId="Index6">
    <w:name w:val="index 6"/>
    <w:basedOn w:val="Normal"/>
    <w:next w:val="Normal"/>
    <w:autoRedefine/>
    <w:semiHidden/>
    <w:rsid w:val="00A82567"/>
    <w:pPr>
      <w:ind w:left="1440" w:hanging="240"/>
    </w:pPr>
  </w:style>
  <w:style w:type="paragraph" w:styleId="Index7">
    <w:name w:val="index 7"/>
    <w:basedOn w:val="Normal"/>
    <w:next w:val="Normal"/>
    <w:autoRedefine/>
    <w:semiHidden/>
    <w:rsid w:val="00A82567"/>
    <w:pPr>
      <w:ind w:left="1680" w:hanging="240"/>
    </w:pPr>
  </w:style>
  <w:style w:type="paragraph" w:styleId="Index8">
    <w:name w:val="index 8"/>
    <w:basedOn w:val="Normal"/>
    <w:next w:val="Normal"/>
    <w:autoRedefine/>
    <w:semiHidden/>
    <w:rsid w:val="00A82567"/>
    <w:pPr>
      <w:ind w:left="1920" w:hanging="240"/>
    </w:pPr>
  </w:style>
  <w:style w:type="paragraph" w:styleId="Index9">
    <w:name w:val="index 9"/>
    <w:basedOn w:val="Normal"/>
    <w:next w:val="Normal"/>
    <w:autoRedefine/>
    <w:semiHidden/>
    <w:rsid w:val="00A82567"/>
    <w:pPr>
      <w:ind w:left="2160" w:hanging="240"/>
    </w:pPr>
  </w:style>
  <w:style w:type="paragraph" w:styleId="IndexHeading">
    <w:name w:val="index heading"/>
    <w:basedOn w:val="Normal"/>
    <w:next w:val="Index1"/>
    <w:semiHidden/>
    <w:rsid w:val="00A82567"/>
  </w:style>
  <w:style w:type="character" w:styleId="PageNumber">
    <w:name w:val="page number"/>
    <w:basedOn w:val="DefaultParagraphFont"/>
    <w:semiHidden/>
    <w:rsid w:val="00A82567"/>
  </w:style>
  <w:style w:type="character" w:styleId="FollowedHyperlink">
    <w:name w:val="FollowedHyperlink"/>
    <w:basedOn w:val="DefaultParagraphFont"/>
    <w:semiHidden/>
    <w:rsid w:val="00A82567"/>
    <w:rPr>
      <w:color w:val="800080"/>
      <w:u w:val="single"/>
    </w:rPr>
  </w:style>
  <w:style w:type="paragraph" w:styleId="NormalWeb">
    <w:name w:val="Normal (Web)"/>
    <w:basedOn w:val="Normal"/>
    <w:semiHidden/>
    <w:rsid w:val="00A82567"/>
    <w:pPr>
      <w:spacing w:before="100" w:beforeAutospacing="1" w:after="100" w:afterAutospacing="1"/>
    </w:pPr>
    <w:rPr>
      <w:rFonts w:ascii="Arial Unicode MS" w:eastAsia="Arial Unicode MS" w:hAnsi="Arial Unicode MS"/>
    </w:rPr>
  </w:style>
  <w:style w:type="paragraph" w:styleId="BlockText">
    <w:name w:val="Block Text"/>
    <w:basedOn w:val="Normal"/>
    <w:semiHidden/>
    <w:rsid w:val="00A82567"/>
    <w:pPr>
      <w:spacing w:after="120"/>
      <w:ind w:left="1440" w:right="1440"/>
    </w:pPr>
  </w:style>
  <w:style w:type="paragraph" w:styleId="FootnoteText">
    <w:name w:val="footnote text"/>
    <w:basedOn w:val="Normal"/>
    <w:semiHidden/>
    <w:rsid w:val="00A82567"/>
    <w:rPr>
      <w:sz w:val="20"/>
      <w:szCs w:val="20"/>
    </w:rPr>
  </w:style>
  <w:style w:type="character" w:styleId="FootnoteReference">
    <w:name w:val="footnote reference"/>
    <w:basedOn w:val="DefaultParagraphFont"/>
    <w:semiHidden/>
    <w:rsid w:val="00A82567"/>
    <w:rPr>
      <w:vertAlign w:val="superscript"/>
    </w:rPr>
  </w:style>
  <w:style w:type="paragraph" w:styleId="ListParagraph">
    <w:name w:val="List Paragraph"/>
    <w:basedOn w:val="Normal"/>
    <w:uiPriority w:val="34"/>
    <w:qFormat/>
    <w:rsid w:val="00B82E50"/>
    <w:pPr>
      <w:ind w:left="720"/>
      <w:contextualSpacing/>
    </w:pPr>
  </w:style>
  <w:style w:type="paragraph" w:styleId="BalloonText">
    <w:name w:val="Balloon Text"/>
    <w:basedOn w:val="Normal"/>
    <w:link w:val="BalloonTextChar"/>
    <w:uiPriority w:val="99"/>
    <w:semiHidden/>
    <w:unhideWhenUsed/>
    <w:rsid w:val="007C4388"/>
    <w:rPr>
      <w:rFonts w:ascii="Tahoma" w:hAnsi="Tahoma" w:cs="Tahoma"/>
      <w:sz w:val="16"/>
      <w:szCs w:val="16"/>
    </w:rPr>
  </w:style>
  <w:style w:type="character" w:customStyle="1" w:styleId="BalloonTextChar">
    <w:name w:val="Balloon Text Char"/>
    <w:basedOn w:val="DefaultParagraphFont"/>
    <w:link w:val="BalloonText"/>
    <w:uiPriority w:val="99"/>
    <w:semiHidden/>
    <w:rsid w:val="007C4388"/>
    <w:rPr>
      <w:rFonts w:ascii="Tahoma" w:hAnsi="Tahoma" w:cs="Tahoma"/>
      <w:sz w:val="16"/>
      <w:szCs w:val="16"/>
    </w:rPr>
  </w:style>
  <w:style w:type="table" w:styleId="TableGrid">
    <w:name w:val="Table Grid"/>
    <w:basedOn w:val="TableNormal"/>
    <w:uiPriority w:val="59"/>
    <w:rsid w:val="00032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39E1D5D7086D42BD914C359F8A6E93" ma:contentTypeVersion="5" ma:contentTypeDescription="Create a new document." ma:contentTypeScope="" ma:versionID="222b681621104c1d2f6276f03bbc5572">
  <xsd:schema xmlns:xsd="http://www.w3.org/2001/XMLSchema" xmlns:p="http://schemas.microsoft.com/office/2006/metadata/properties" xmlns:ns1="http://schemas.microsoft.com/sharepoint/v3" targetNamespace="http://schemas.microsoft.com/office/2006/metadata/properties" ma:root="true" ma:fieldsID="68ffb3d977147b32232e97e4d6287dd3"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2D5BC52-C914-42A3-81B1-FAC3379A8264}"/>
</file>

<file path=customXml/itemProps2.xml><?xml version="1.0" encoding="utf-8"?>
<ds:datastoreItem xmlns:ds="http://schemas.openxmlformats.org/officeDocument/2006/customXml" ds:itemID="{CC8E4AC0-7B5E-4F85-906D-3BE0E038E1C8}"/>
</file>

<file path=customXml/itemProps3.xml><?xml version="1.0" encoding="utf-8"?>
<ds:datastoreItem xmlns:ds="http://schemas.openxmlformats.org/officeDocument/2006/customXml" ds:itemID="{F2AB9265-B27B-42E0-9054-9BC3A7946CA0}"/>
</file>

<file path=customXml/itemProps4.xml><?xml version="1.0" encoding="utf-8"?>
<ds:datastoreItem xmlns:ds="http://schemas.openxmlformats.org/officeDocument/2006/customXml" ds:itemID="{A6539EE8-027B-41BA-B670-4FDCA1F0B805}"/>
</file>

<file path=docProps/app.xml><?xml version="1.0" encoding="utf-8"?>
<Properties xmlns="http://schemas.openxmlformats.org/officeDocument/2006/extended-properties" xmlns:vt="http://schemas.openxmlformats.org/officeDocument/2006/docPropsVTypes">
  <Template>Normal.dotm</Template>
  <TotalTime>668</TotalTime>
  <Pages>8</Pages>
  <Words>1007</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Hurco Companies, Inc.</Company>
  <LinksUpToDate>false</LinksUpToDate>
  <CharactersWithSpaces>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Szabo</dc:creator>
  <cp:lastModifiedBy>Judy Miller</cp:lastModifiedBy>
  <cp:revision>48</cp:revision>
  <cp:lastPrinted>2013-05-02T12:54:00Z</cp:lastPrinted>
  <dcterms:created xsi:type="dcterms:W3CDTF">2012-11-28T14:48:00Z</dcterms:created>
  <dcterms:modified xsi:type="dcterms:W3CDTF">2013-05-02T12:55:00Z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0x0101003739E1D5D7086D42BD914C359F8A6E93</vt:lpwstr>
  </property>
</Properties>
</file>