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999999"/>
        </w:rPr>
      </w:pPr>
      <w:r w:rsidDel="00000000" w:rsidR="00000000" w:rsidRPr="00000000">
        <w:rPr>
          <w:rtl w:val="0"/>
        </w:rPr>
      </w:r>
    </w:p>
    <w:p w:rsidR="00000000" w:rsidDel="00000000" w:rsidP="00000000" w:rsidRDefault="00000000" w:rsidRPr="00000000" w14:paraId="00000002">
      <w:pPr>
        <w:jc w:val="center"/>
        <w:rPr>
          <w:color w:val="999999"/>
        </w:rPr>
      </w:pPr>
      <w:r w:rsidDel="00000000" w:rsidR="00000000" w:rsidRPr="00000000">
        <w:rPr>
          <w:rtl w:val="0"/>
        </w:rPr>
      </w:r>
    </w:p>
    <w:p w:rsidR="00000000" w:rsidDel="00000000" w:rsidP="00000000" w:rsidRDefault="00000000" w:rsidRPr="00000000" w14:paraId="00000003">
      <w:pPr>
        <w:jc w:val="center"/>
        <w:rPr>
          <w:color w:val="999999"/>
        </w:rPr>
      </w:pPr>
      <w:r w:rsidDel="00000000" w:rsidR="00000000" w:rsidRPr="00000000">
        <w:rPr>
          <w:rtl w:val="0"/>
        </w:rPr>
      </w:r>
    </w:p>
    <w:p w:rsidR="00000000" w:rsidDel="00000000" w:rsidP="00000000" w:rsidRDefault="00000000" w:rsidRPr="00000000" w14:paraId="00000004">
      <w:pPr>
        <w:jc w:val="center"/>
        <w:rPr>
          <w:color w:val="999999"/>
        </w:rPr>
      </w:pPr>
      <w:r w:rsidDel="00000000" w:rsidR="00000000" w:rsidRPr="00000000">
        <w:rPr>
          <w:rtl w:val="0"/>
        </w:rPr>
      </w:r>
    </w:p>
    <w:p w:rsidR="00000000" w:rsidDel="00000000" w:rsidP="00000000" w:rsidRDefault="00000000" w:rsidRPr="00000000" w14:paraId="00000005">
      <w:pPr>
        <w:jc w:val="center"/>
        <w:rPr>
          <w:color w:val="999999"/>
        </w:rPr>
      </w:pPr>
      <w:r w:rsidDel="00000000" w:rsidR="00000000" w:rsidRPr="00000000">
        <w:rPr>
          <w:color w:val="999999"/>
          <w:rtl w:val="0"/>
        </w:rPr>
        <w:t xml:space="preserve"> This is the first paper on Series 4 of the Open Source Malaria Consortium. For background, files, major discussion etc go to the </w:t>
      </w:r>
      <w:hyperlink r:id="rId7">
        <w:r w:rsidDel="00000000" w:rsidR="00000000" w:rsidRPr="00000000">
          <w:rPr>
            <w:color w:val="999999"/>
            <w:u w:val="single"/>
            <w:rtl w:val="0"/>
          </w:rPr>
          <w:t xml:space="preserve">Github repository</w:t>
        </w:r>
      </w:hyperlink>
      <w:r w:rsidDel="00000000" w:rsidR="00000000" w:rsidRPr="00000000">
        <w:rPr>
          <w:color w:val="999999"/>
          <w:rtl w:val="0"/>
        </w:rPr>
        <w:t xml:space="preser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tl w:val="0"/>
        </w:rPr>
        <w:t xml:space="preserve">A Potent</w:t>
      </w:r>
      <w:r w:rsidDel="00000000" w:rsidR="00000000" w:rsidRPr="00000000">
        <w:rPr>
          <w:b w:val="1"/>
          <w:rtl w:val="0"/>
        </w:rPr>
        <w:t xml:space="preserve">, </w:t>
      </w:r>
      <w:r w:rsidDel="00000000" w:rsidR="00000000" w:rsidRPr="00000000">
        <w:rPr>
          <w:b w:val="1"/>
          <w:i w:val="1"/>
          <w:rtl w:val="0"/>
        </w:rPr>
        <w:t xml:space="preserve">in vivo</w:t>
      </w:r>
      <w:r w:rsidDel="00000000" w:rsidR="00000000" w:rsidRPr="00000000">
        <w:rPr>
          <w:b w:val="1"/>
          <w:rtl w:val="0"/>
        </w:rPr>
        <w:t xml:space="preserve"> Active Antimalarial Series Based on a </w:t>
      </w:r>
      <w:r w:rsidDel="00000000" w:rsidR="00000000" w:rsidRPr="00000000">
        <w:rPr>
          <w:b w:val="1"/>
          <w:rtl w:val="0"/>
        </w:rPr>
        <w:t xml:space="preserve">Triazolopyrazine </w:t>
      </w:r>
      <w:r w:rsidDel="00000000" w:rsidR="00000000" w:rsidRPr="00000000">
        <w:rPr>
          <w:b w:val="1"/>
          <w:rtl w:val="0"/>
        </w:rPr>
        <w:t xml:space="preserve">Core: Open Source Malaria Series 4</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Alice Motion,</w:t>
      </w:r>
      <w:r w:rsidDel="00000000" w:rsidR="00000000" w:rsidRPr="00000000">
        <w:rPr>
          <w:vertAlign w:val="superscript"/>
          <w:rtl w:val="0"/>
        </w:rPr>
        <w:t xml:space="preserve">1</w:t>
      </w:r>
      <w:r w:rsidDel="00000000" w:rsidR="00000000" w:rsidRPr="00000000">
        <w:rPr>
          <w:rtl w:val="0"/>
        </w:rPr>
        <w:t xml:space="preserve"> Edwin G. Tse,</w:t>
      </w:r>
      <w:r w:rsidDel="00000000" w:rsidR="00000000" w:rsidRPr="00000000">
        <w:rPr>
          <w:vertAlign w:val="superscript"/>
          <w:rtl w:val="0"/>
        </w:rPr>
        <w:t xml:space="preserve">1</w:t>
      </w:r>
      <w:r w:rsidDel="00000000" w:rsidR="00000000" w:rsidRPr="00000000">
        <w:rPr>
          <w:rtl w:val="0"/>
        </w:rPr>
        <w:t xml:space="preserve"> Thomas Macdonald,</w:t>
      </w:r>
      <w:r w:rsidDel="00000000" w:rsidR="00000000" w:rsidRPr="00000000">
        <w:rPr>
          <w:vertAlign w:val="superscript"/>
          <w:rtl w:val="0"/>
        </w:rPr>
        <w:t xml:space="preserve">1</w:t>
      </w:r>
      <w:r w:rsidDel="00000000" w:rsidR="00000000" w:rsidRPr="00000000">
        <w:rPr>
          <w:rtl w:val="0"/>
        </w:rPr>
        <w:t xml:space="preserve"> Jake Baum</w:t>
      </w:r>
      <w:r w:rsidDel="00000000" w:rsidR="00000000" w:rsidRPr="00000000">
        <w:rPr>
          <w:vertAlign w:val="superscript"/>
          <w:rtl w:val="0"/>
        </w:rPr>
        <w:t xml:space="preserve">2</w:t>
      </w:r>
      <w:r w:rsidDel="00000000" w:rsidR="00000000" w:rsidRPr="00000000">
        <w:rPr>
          <w:rtl w:val="0"/>
        </w:rPr>
        <w:t xml:space="preserve">, Michael J. Delves</w:t>
      </w:r>
      <w:r w:rsidDel="00000000" w:rsidR="00000000" w:rsidRPr="00000000">
        <w:rPr>
          <w:vertAlign w:val="superscript"/>
          <w:rtl w:val="0"/>
        </w:rPr>
        <w:t xml:space="preserve">2</w:t>
      </w:r>
      <w:r w:rsidDel="00000000" w:rsidR="00000000" w:rsidRPr="00000000">
        <w:rPr>
          <w:rtl w:val="0"/>
        </w:rPr>
        <w:t xml:space="preserve">, Stephan Meister, Ho Leung Ng</w:t>
      </w:r>
      <w:r w:rsidDel="00000000" w:rsidR="00000000" w:rsidRPr="00000000">
        <w:rPr>
          <w:vertAlign w:val="superscript"/>
          <w:rtl w:val="0"/>
        </w:rPr>
        <w:t xml:space="preserve">3</w:t>
      </w:r>
      <w:r w:rsidDel="00000000" w:rsidR="00000000" w:rsidRPr="00000000">
        <w:rPr>
          <w:rtl w:val="0"/>
        </w:rPr>
        <w:t xml:space="preserve">, Peter J. Rutledge,</w:t>
      </w:r>
      <w:r w:rsidDel="00000000" w:rsidR="00000000" w:rsidRPr="00000000">
        <w:rPr>
          <w:vertAlign w:val="superscript"/>
          <w:rtl w:val="0"/>
        </w:rPr>
        <w:t xml:space="preserve">1</w:t>
      </w:r>
      <w:r w:rsidDel="00000000" w:rsidR="00000000" w:rsidRPr="00000000">
        <w:rPr>
          <w:rtl w:val="0"/>
        </w:rPr>
        <w:t xml:space="preserve"> Christopher Southan, Chris Swain, Chase C. Smith</w:t>
      </w:r>
      <w:r w:rsidDel="00000000" w:rsidR="00000000" w:rsidRPr="00000000">
        <w:rPr>
          <w:vertAlign w:val="superscript"/>
          <w:rtl w:val="0"/>
        </w:rPr>
        <w:t xml:space="preserve">Z</w:t>
      </w:r>
      <w:r w:rsidDel="00000000" w:rsidR="00000000" w:rsidRPr="00000000">
        <w:rPr>
          <w:rtl w:val="0"/>
        </w:rPr>
        <w:t xml:space="preserve">, Daisy J. Kim</w:t>
      </w:r>
      <w:r w:rsidDel="00000000" w:rsidR="00000000" w:rsidRPr="00000000">
        <w:rPr>
          <w:vertAlign w:val="superscript"/>
          <w:rtl w:val="0"/>
        </w:rPr>
        <w:t xml:space="preserve">Z</w:t>
      </w:r>
      <w:r w:rsidDel="00000000" w:rsidR="00000000" w:rsidRPr="00000000">
        <w:rPr>
          <w:rtl w:val="0"/>
        </w:rPr>
        <w:t xml:space="preserve">, Kenneth Lowe</w:t>
      </w:r>
      <w:r w:rsidDel="00000000" w:rsidR="00000000" w:rsidRPr="00000000">
        <w:rPr>
          <w:vertAlign w:val="superscript"/>
          <w:rtl w:val="0"/>
        </w:rPr>
        <w:t xml:space="preserve">Z</w:t>
      </w:r>
      <w:r w:rsidDel="00000000" w:rsidR="00000000" w:rsidRPr="00000000">
        <w:rPr>
          <w:rtl w:val="0"/>
        </w:rPr>
        <w:t xml:space="preserve">, Kimberly Lowe</w:t>
      </w:r>
      <w:r w:rsidDel="00000000" w:rsidR="00000000" w:rsidRPr="00000000">
        <w:rPr>
          <w:vertAlign w:val="superscript"/>
          <w:rtl w:val="0"/>
        </w:rPr>
        <w:t xml:space="preserve">Z</w:t>
      </w:r>
      <w:r w:rsidDel="00000000" w:rsidR="00000000" w:rsidRPr="00000000">
        <w:rPr>
          <w:rtl w:val="0"/>
        </w:rPr>
        <w:t xml:space="preserve">, Jessica Hauger</w:t>
      </w:r>
      <w:r w:rsidDel="00000000" w:rsidR="00000000" w:rsidRPr="00000000">
        <w:rPr>
          <w:vertAlign w:val="superscript"/>
          <w:rtl w:val="0"/>
        </w:rPr>
        <w:t xml:space="preserve">Z</w:t>
      </w:r>
      <w:r w:rsidDel="00000000" w:rsidR="00000000" w:rsidRPr="00000000">
        <w:rPr>
          <w:rtl w:val="0"/>
        </w:rPr>
        <w:t xml:space="preserve">, Benjamin Sedzro</w:t>
      </w:r>
      <w:r w:rsidDel="00000000" w:rsidR="00000000" w:rsidRPr="00000000">
        <w:rPr>
          <w:vertAlign w:val="superscript"/>
          <w:rtl w:val="0"/>
        </w:rPr>
        <w:t xml:space="preserve">Z</w:t>
      </w:r>
      <w:r w:rsidDel="00000000" w:rsidR="00000000" w:rsidRPr="00000000">
        <w:rPr>
          <w:rtl w:val="0"/>
        </w:rPr>
        <w:t xml:space="preserve">, </w:t>
      </w:r>
      <w:r w:rsidDel="00000000" w:rsidR="00000000" w:rsidRPr="00000000">
        <w:rPr>
          <w:rtl w:val="0"/>
        </w:rPr>
        <w:t xml:space="preserve">Nkengafeh</w:t>
      </w:r>
      <w:r w:rsidDel="00000000" w:rsidR="00000000" w:rsidRPr="00000000">
        <w:rPr>
          <w:rtl w:val="0"/>
        </w:rPr>
        <w:t xml:space="preserve"> Asong</w:t>
      </w:r>
      <w:r w:rsidDel="00000000" w:rsidR="00000000" w:rsidRPr="00000000">
        <w:rPr>
          <w:vertAlign w:val="superscript"/>
          <w:rtl w:val="0"/>
        </w:rPr>
        <w:t xml:space="preserve">Z</w:t>
      </w:r>
      <w:r w:rsidDel="00000000" w:rsidR="00000000" w:rsidRPr="00000000">
        <w:rPr>
          <w:rtl w:val="0"/>
        </w:rPr>
        <w:t xml:space="preserve">, Fernando Galvan</w:t>
      </w:r>
      <w:r w:rsidDel="00000000" w:rsidR="00000000" w:rsidRPr="00000000">
        <w:rPr>
          <w:vertAlign w:val="superscript"/>
          <w:rtl w:val="0"/>
        </w:rPr>
        <w:t xml:space="preserve">Z</w:t>
      </w:r>
      <w:r w:rsidDel="00000000" w:rsidR="00000000" w:rsidRPr="00000000">
        <w:rPr>
          <w:rtl w:val="0"/>
        </w:rPr>
        <w:t xml:space="preserve">, Fernando Sánchez-Román Terán, </w:t>
      </w:r>
      <w:r w:rsidDel="00000000" w:rsidR="00000000" w:rsidRPr="00000000">
        <w:rPr>
          <w:rtl w:val="0"/>
        </w:rPr>
        <w:t xml:space="preserve">Anthony Sama</w:t>
      </w:r>
      <w:r w:rsidDel="00000000" w:rsidR="00000000" w:rsidRPr="00000000">
        <w:rPr>
          <w:vertAlign w:val="superscript"/>
          <w:rtl w:val="0"/>
        </w:rPr>
        <w:t xml:space="preserve">&amp;</w:t>
      </w:r>
      <w:r w:rsidDel="00000000" w:rsidR="00000000" w:rsidRPr="00000000">
        <w:rPr>
          <w:color w:val="1f497d"/>
          <w:rtl w:val="0"/>
        </w:rPr>
        <w:t xml:space="preserve">, </w:t>
      </w:r>
      <w:r w:rsidDel="00000000" w:rsidR="00000000" w:rsidRPr="00000000">
        <w:rPr>
          <w:rtl w:val="0"/>
        </w:rPr>
        <w:t xml:space="preserve">Patrick Thompson, Joanna Ubels,</w:t>
      </w:r>
      <w:r w:rsidDel="00000000" w:rsidR="00000000" w:rsidRPr="00000000">
        <w:rPr>
          <w:vertAlign w:val="superscript"/>
          <w:rtl w:val="0"/>
        </w:rPr>
        <w:t xml:space="preserve">1</w:t>
      </w:r>
      <w:r w:rsidDel="00000000" w:rsidR="00000000" w:rsidRPr="00000000">
        <w:rPr>
          <w:rtl w:val="0"/>
        </w:rPr>
        <w:t xml:space="preserve"> Paul Willis, Anubhav Srivastava</w:t>
      </w:r>
      <w:r w:rsidDel="00000000" w:rsidR="00000000" w:rsidRPr="00000000">
        <w:rPr>
          <w:vertAlign w:val="superscript"/>
          <w:rtl w:val="0"/>
        </w:rPr>
        <w:t xml:space="preserve">#</w:t>
      </w:r>
      <w:r w:rsidDel="00000000" w:rsidR="00000000" w:rsidRPr="00000000">
        <w:rPr>
          <w:rtl w:val="0"/>
        </w:rPr>
        <w:t xml:space="preserve">, Darren Creek</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rtl w:val="0"/>
        </w:rPr>
        <w:t xml:space="preserve">Elizabeth Winzeler, Matthew H. Todd</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0A">
      <w:pPr>
        <w:jc w:val="both"/>
        <w:rPr/>
      </w:pPr>
      <w:r w:rsidDel="00000000" w:rsidR="00000000" w:rsidRPr="00000000">
        <w:rPr>
          <w:rtl w:val="0"/>
        </w:rPr>
        <w:br w:type="textWrapping"/>
        <w:t xml:space="preserve">1. School of Chemistry, The University of Sydney, NSW 2006, Australia</w:t>
      </w:r>
    </w:p>
    <w:p w:rsidR="00000000" w:rsidDel="00000000" w:rsidP="00000000" w:rsidRDefault="00000000" w:rsidRPr="00000000" w14:paraId="0000000B">
      <w:pPr>
        <w:jc w:val="both"/>
        <w:rPr/>
      </w:pPr>
      <w:r w:rsidDel="00000000" w:rsidR="00000000" w:rsidRPr="00000000">
        <w:rPr>
          <w:rtl w:val="0"/>
        </w:rPr>
        <w:t xml:space="preserve">2. Department of Life Sciences, Imperial College London, Exhibition Road, South Kensington, London, SW72AZ, UK.</w:t>
      </w:r>
    </w:p>
    <w:p w:rsidR="00000000" w:rsidDel="00000000" w:rsidP="00000000" w:rsidRDefault="00000000" w:rsidRPr="00000000" w14:paraId="0000000C">
      <w:pPr>
        <w:jc w:val="both"/>
        <w:rPr/>
      </w:pPr>
      <w:r w:rsidDel="00000000" w:rsidR="00000000" w:rsidRPr="00000000">
        <w:rPr>
          <w:rtl w:val="0"/>
        </w:rPr>
        <w:t xml:space="preserve">X. Department of Pediatrics, Pharmacology &amp; Drug Development, University of California San Diego, 9500 Gilman Drive, La Jolla, California 92093, United </w:t>
      </w:r>
      <w:r w:rsidDel="00000000" w:rsidR="00000000" w:rsidRPr="00000000">
        <w:rPr>
          <w:rtl w:val="0"/>
        </w:rPr>
        <w:t xml:space="preserve">States</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X. Medicines for Malaria Venture, PO Box 1826, 20 rte de Pre-Bois, 1215 Geneva 15, Switzerland</w:t>
      </w:r>
    </w:p>
    <w:p w:rsidR="00000000" w:rsidDel="00000000" w:rsidP="00000000" w:rsidRDefault="00000000" w:rsidRPr="00000000" w14:paraId="0000000E">
      <w:pPr>
        <w:jc w:val="both"/>
        <w:rPr/>
      </w:pPr>
      <w:r w:rsidDel="00000000" w:rsidR="00000000" w:rsidRPr="00000000">
        <w:rPr>
          <w:rtl w:val="0"/>
        </w:rPr>
        <w:t xml:space="preserve">X. IUPHAR/BPS Guide to PHARMACOLOGY, Centre for Integrative Physiology, School of Biomedical Sciences, University of Edinburgh, Edinburgh, EH8 9XD, U.K.</w:t>
      </w:r>
    </w:p>
    <w:p w:rsidR="00000000" w:rsidDel="00000000" w:rsidP="00000000" w:rsidRDefault="00000000" w:rsidRPr="00000000" w14:paraId="0000000F">
      <w:pPr>
        <w:jc w:val="both"/>
        <w:rPr/>
      </w:pPr>
      <w:r w:rsidDel="00000000" w:rsidR="00000000" w:rsidRPr="00000000">
        <w:rPr>
          <w:rtl w:val="0"/>
        </w:rPr>
        <w:t xml:space="preserve">X. Cambridge MedChem Consulting, 8 Mangers Lane, Duxford, Cambridge CB22 4RN, U.K.</w:t>
      </w:r>
    </w:p>
    <w:p w:rsidR="00000000" w:rsidDel="00000000" w:rsidP="00000000" w:rsidRDefault="00000000" w:rsidRPr="00000000" w14:paraId="00000010">
      <w:pPr>
        <w:jc w:val="both"/>
        <w:rPr/>
      </w:pPr>
      <w:r w:rsidDel="00000000" w:rsidR="00000000" w:rsidRPr="00000000">
        <w:rPr>
          <w:rtl w:val="0"/>
        </w:rPr>
        <w:t xml:space="preserve">Z. School of Pharmacy (Worcester/Manchester), MCPHS University, 19 Foster Street, Worcester, MA 01608, USA.</w:t>
      </w:r>
    </w:p>
    <w:p w:rsidR="00000000" w:rsidDel="00000000" w:rsidP="00000000" w:rsidRDefault="00000000" w:rsidRPr="00000000" w14:paraId="00000011">
      <w:pPr>
        <w:jc w:val="both"/>
        <w:rPr/>
      </w:pPr>
      <w:r w:rsidDel="00000000" w:rsidR="00000000" w:rsidRPr="00000000">
        <w:rPr>
          <w:rtl w:val="0"/>
        </w:rPr>
        <w:t xml:space="preserve">X. School of Chemistry, The University of Edinburgh, Joseph Black Building, West Mains Road, Edinburgh EH9 3JJ, U.K.</w:t>
      </w:r>
    </w:p>
    <w:p w:rsidR="00000000" w:rsidDel="00000000" w:rsidP="00000000" w:rsidRDefault="00000000" w:rsidRPr="00000000" w14:paraId="00000012">
      <w:pPr>
        <w:jc w:val="both"/>
        <w:rPr/>
      </w:pPr>
      <w:r w:rsidDel="00000000" w:rsidR="00000000" w:rsidRPr="00000000">
        <w:rPr>
          <w:rtl w:val="0"/>
        </w:rPr>
        <w:t xml:space="preserve">3. Department of Biochemistry &amp; Molecular Biophysics, Kansas State University, 1711 Claflin Rd., 141 Chalmers Hall. Manhattan, KS 66506, United States.</w:t>
      </w:r>
    </w:p>
    <w:p w:rsidR="00000000" w:rsidDel="00000000" w:rsidP="00000000" w:rsidRDefault="00000000" w:rsidRPr="00000000" w14:paraId="00000013">
      <w:pPr>
        <w:jc w:val="both"/>
        <w:rPr/>
      </w:pPr>
      <w:r w:rsidDel="00000000" w:rsidR="00000000" w:rsidRPr="00000000">
        <w:rPr>
          <w:rtl w:val="0"/>
        </w:rPr>
        <w:t xml:space="preserve"># Monash Institute of Pharmaceutical Sciences, </w:t>
      </w:r>
      <w:r w:rsidDel="00000000" w:rsidR="00000000" w:rsidRPr="00000000">
        <w:rPr>
          <w:rtl w:val="0"/>
        </w:rPr>
        <w:t xml:space="preserve">Monash University, Parkville, Melbourne, Victoria 3055, Australia</w:t>
      </w:r>
    </w:p>
    <w:p w:rsidR="00000000" w:rsidDel="00000000" w:rsidP="00000000" w:rsidRDefault="00000000" w:rsidRPr="00000000" w14:paraId="00000014">
      <w:pPr>
        <w:jc w:val="both"/>
        <w:rPr/>
      </w:pPr>
      <w:r w:rsidDel="00000000" w:rsidR="00000000" w:rsidRPr="00000000">
        <w:rPr>
          <w:rtl w:val="0"/>
        </w:rPr>
        <w:t xml:space="preserve">X. School of Pharmacy, University College London, London WC1N 1AX, UK</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w:t>
      </w:r>
      <w:hyperlink r:id="rId8">
        <w:r w:rsidDel="00000000" w:rsidR="00000000" w:rsidRPr="00000000">
          <w:rPr>
            <w:color w:val="1155cc"/>
            <w:u w:val="single"/>
            <w:rtl w:val="0"/>
          </w:rPr>
          <w:t xml:space="preserve">matthew.todd@</w:t>
        </w:r>
      </w:hyperlink>
      <w:r w:rsidDel="00000000" w:rsidR="00000000" w:rsidRPr="00000000">
        <w:rPr>
          <w:rtl w:val="0"/>
        </w:rPr>
        <w:t xml:space="preserve">ucl.ac.uk</w:t>
      </w:r>
      <w:r w:rsidDel="00000000" w:rsidR="00000000" w:rsidRPr="00000000">
        <w:rPr>
          <w:rtl w:val="0"/>
        </w:rPr>
      </w:r>
    </w:p>
    <w:p w:rsidR="00000000" w:rsidDel="00000000" w:rsidP="00000000" w:rsidRDefault="00000000" w:rsidRPr="00000000" w14:paraId="00000017">
      <w:pPr>
        <w:pStyle w:val="Heading1"/>
        <w:jc w:val="both"/>
        <w:rPr>
          <w:b w:val="0"/>
        </w:rPr>
      </w:pPr>
      <w:bookmarkStart w:colFirst="0" w:colLast="0" w:name="_ezz8qjn0l3u5" w:id="0"/>
      <w:bookmarkEnd w:id="0"/>
      <w:r w:rsidDel="00000000" w:rsidR="00000000" w:rsidRPr="00000000">
        <w:rPr>
          <w:b w:val="0"/>
          <w:vertAlign w:val="superscript"/>
          <w:rtl w:val="0"/>
        </w:rPr>
        <w:t xml:space="preserve">&amp;</w:t>
      </w:r>
      <w:hyperlink r:id="rId9">
        <w:r w:rsidDel="00000000" w:rsidR="00000000" w:rsidRPr="00000000">
          <w:rPr>
            <w:b w:val="0"/>
            <w:color w:val="1155cc"/>
            <w:u w:val="single"/>
            <w:rtl w:val="0"/>
          </w:rPr>
          <w:t xml:space="preserve">asamawsfl@protonmail.com</w:t>
        </w:r>
      </w:hyperlink>
      <w:r w:rsidDel="00000000" w:rsidR="00000000" w:rsidRPr="00000000">
        <w:rPr>
          <w:rtl w:val="0"/>
        </w:rPr>
      </w:r>
    </w:p>
    <w:p w:rsidR="00000000" w:rsidDel="00000000" w:rsidP="00000000" w:rsidRDefault="00000000" w:rsidRPr="00000000" w14:paraId="00000018">
      <w:pPr>
        <w:pStyle w:val="Heading1"/>
        <w:jc w:val="both"/>
        <w:rPr>
          <w:b w:val="1"/>
        </w:rPr>
      </w:pPr>
      <w:bookmarkStart w:colFirst="0" w:colLast="0" w:name="_5azz4ic8ef1g" w:id="1"/>
      <w:bookmarkEnd w:id="1"/>
      <w:r w:rsidDel="00000000" w:rsidR="00000000" w:rsidRPr="00000000">
        <w:rPr>
          <w:rtl w:val="0"/>
        </w:rPr>
        <w:br w:type="textWrapping"/>
      </w:r>
      <w:r w:rsidDel="00000000" w:rsidR="00000000" w:rsidRPr="00000000">
        <w:rPr>
          <w:b w:val="1"/>
          <w:rtl w:val="0"/>
        </w:rPr>
        <w:t xml:space="preserve">Abstract</w:t>
      </w:r>
    </w:p>
    <w:p w:rsidR="00000000" w:rsidDel="00000000" w:rsidP="00000000" w:rsidRDefault="00000000" w:rsidRPr="00000000" w14:paraId="00000019">
      <w:pPr>
        <w:jc w:val="both"/>
        <w:rPr/>
      </w:pPr>
      <w:r w:rsidDel="00000000" w:rsidR="00000000" w:rsidRPr="00000000">
        <w:rPr>
          <w:rtl w:val="0"/>
        </w:rPr>
        <w:t xml:space="preserve">We report an antimalarial series possessing several highly desirable attributes, including high potency and low </w:t>
      </w:r>
      <w:r w:rsidDel="00000000" w:rsidR="00000000" w:rsidRPr="00000000">
        <w:rPr>
          <w:rtl w:val="0"/>
        </w:rPr>
        <w:t xml:space="preserve">toxicity</w:t>
      </w:r>
      <w:r w:rsidDel="00000000" w:rsidR="00000000" w:rsidRPr="00000000">
        <w:rPr>
          <w:rtl w:val="0"/>
        </w:rPr>
        <w:t xml:space="preserve"> </w:t>
      </w:r>
      <w:r w:rsidDel="00000000" w:rsidR="00000000" w:rsidRPr="00000000">
        <w:rPr>
          <w:rtl w:val="0"/>
        </w:rPr>
        <w:t xml:space="preserve">in an </w:t>
      </w:r>
      <w:r w:rsidDel="00000000" w:rsidR="00000000" w:rsidRPr="00000000">
        <w:rPr>
          <w:i w:val="1"/>
          <w:rtl w:val="0"/>
        </w:rPr>
        <w:t xml:space="preserve">in vivo</w:t>
      </w:r>
      <w:r w:rsidDel="00000000" w:rsidR="00000000" w:rsidRPr="00000000">
        <w:rPr>
          <w:rtl w:val="0"/>
        </w:rPr>
        <w:t xml:space="preserve"> mouse model of malaria</w:t>
      </w:r>
      <w:r w:rsidDel="00000000" w:rsidR="00000000" w:rsidRPr="00000000">
        <w:rPr>
          <w:rtl w:val="0"/>
        </w:rPr>
        <w:t xml:space="preserve">. </w:t>
      </w:r>
      <w:r w:rsidDel="00000000" w:rsidR="00000000" w:rsidRPr="00000000">
        <w:rPr>
          <w:highlight w:val="yellow"/>
          <w:rtl w:val="0"/>
        </w:rPr>
        <w:t xml:space="preserve">[Describe chemical novelty </w:t>
      </w:r>
      <w:r w:rsidDel="00000000" w:rsidR="00000000" w:rsidRPr="00000000">
        <w:rPr>
          <w:rtl w:val="0"/>
        </w:rPr>
        <w:t xml:space="preserve">The most potent compound in this series has potency</w:t>
      </w:r>
      <w:r w:rsidDel="00000000" w:rsidR="00000000" w:rsidRPr="00000000">
        <w:rPr>
          <w:highlight w:val="yellow"/>
          <w:rtl w:val="0"/>
        </w:rPr>
        <w:t xml:space="preserve"> X nM in assay Y</w:t>
      </w:r>
      <w:r w:rsidDel="00000000" w:rsidR="00000000" w:rsidRPr="00000000">
        <w:rPr>
          <w:rtl w:val="0"/>
        </w:rPr>
        <w:t xml:space="preserve">.</w:t>
      </w:r>
      <w:r w:rsidDel="00000000" w:rsidR="00000000" w:rsidRPr="00000000">
        <w:rPr>
          <w:rtl w:val="0"/>
        </w:rPr>
        <w:t xml:space="preserve"> The mechanism of action involves inhibition of a sodium ion pump known as PfATP4. </w:t>
      </w:r>
      <w:r w:rsidDel="00000000" w:rsidR="00000000" w:rsidRPr="00000000">
        <w:rPr>
          <w:highlight w:val="yellow"/>
          <w:rtl w:val="0"/>
        </w:rPr>
        <w:t xml:space="preserve">And relative superiority to other antimalarial drug leads in the literature] </w:t>
      </w:r>
      <w:r w:rsidDel="00000000" w:rsidR="00000000" w:rsidRPr="00000000">
        <w:rPr>
          <w:rtl w:val="0"/>
        </w:rPr>
        <w:t xml:space="preserve">Originating from a pharmaceutical company, and developed further by a contract research organisation, the series was optimised by the Open Source Malaria consortium that has involved inputs from </w:t>
      </w:r>
      <w:r w:rsidDel="00000000" w:rsidR="00000000" w:rsidRPr="00000000">
        <w:rPr>
          <w:highlight w:val="yellow"/>
          <w:rtl w:val="0"/>
        </w:rPr>
        <w:t xml:space="preserve">ca. X participants</w:t>
      </w:r>
      <w:r w:rsidDel="00000000" w:rsidR="00000000" w:rsidRPr="00000000">
        <w:rPr>
          <w:rtl w:val="0"/>
        </w:rPr>
        <w:t xml:space="preserve">, and therefore remains open for further investigation or</w:t>
      </w:r>
      <w:r w:rsidDel="00000000" w:rsidR="00000000" w:rsidRPr="00000000">
        <w:rPr>
          <w:rtl w:val="0"/>
        </w:rPr>
        <w:t xml:space="preserve"> </w:t>
      </w:r>
      <w:r w:rsidDel="00000000" w:rsidR="00000000" w:rsidRPr="00000000">
        <w:rPr>
          <w:rtl w:val="0"/>
        </w:rPr>
        <w:t xml:space="preserve">commercial development by anyone. </w:t>
      </w:r>
    </w:p>
    <w:p w:rsidR="00000000" w:rsidDel="00000000" w:rsidP="00000000" w:rsidRDefault="00000000" w:rsidRPr="00000000" w14:paraId="0000001A">
      <w:pPr>
        <w:pStyle w:val="Heading1"/>
        <w:jc w:val="both"/>
        <w:rPr/>
      </w:pPr>
      <w:bookmarkStart w:colFirst="0" w:colLast="0" w:name="_hxopo9cg4ql4" w:id="2"/>
      <w:bookmarkEnd w:id="2"/>
      <w:r w:rsidDel="00000000" w:rsidR="00000000" w:rsidRPr="00000000">
        <w:rPr>
          <w:rtl w:val="0"/>
        </w:rPr>
      </w:r>
    </w:p>
    <w:p w:rsidR="00000000" w:rsidDel="00000000" w:rsidP="00000000" w:rsidRDefault="00000000" w:rsidRPr="00000000" w14:paraId="0000001B">
      <w:pPr>
        <w:pStyle w:val="Heading1"/>
        <w:jc w:val="both"/>
        <w:rPr>
          <w:b w:val="1"/>
        </w:rPr>
      </w:pPr>
      <w:bookmarkStart w:colFirst="0" w:colLast="0" w:name="_p4govz8v18e0" w:id="3"/>
      <w:bookmarkEnd w:id="3"/>
      <w:r w:rsidDel="00000000" w:rsidR="00000000" w:rsidRPr="00000000">
        <w:rPr>
          <w:b w:val="1"/>
          <w:rtl w:val="0"/>
        </w:rPr>
        <w:t xml:space="preserve">Graphical </w:t>
      </w: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5072063" cy="2932023"/>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72063" cy="2932023"/>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E">
      <w:pPr>
        <w:pStyle w:val="Heading1"/>
        <w:rPr/>
      </w:pPr>
      <w:bookmarkStart w:colFirst="0" w:colLast="0" w:name="_rqn05uc2gw3g"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Malaria remains one of the top causes of human death annually, and some of the hardest hit areas are well below the poverty line</w:t>
      </w:r>
      <w:r w:rsidDel="00000000" w:rsidR="00000000" w:rsidRPr="00000000">
        <w:rPr>
          <w:rtl w:val="0"/>
        </w:rPr>
        <w:t xml:space="preserve"> (World Malaria Report </w:t>
      </w:r>
      <w:r w:rsidDel="00000000" w:rsidR="00000000" w:rsidRPr="00000000">
        <w:rPr>
          <w:rtl w:val="0"/>
        </w:rPr>
        <w:t xml:space="preserve">201</w:t>
      </w:r>
      <w:r w:rsidDel="00000000" w:rsidR="00000000" w:rsidRPr="00000000">
        <w:rPr>
          <w:rtl w:val="0"/>
        </w:rPr>
        <w:t xml:space="preserve">9). Alongside poverty, growing resistance to antimalarial drugs pushes the global burden of malaria even further. Resistance to</w:t>
      </w:r>
      <w:r w:rsidDel="00000000" w:rsidR="00000000" w:rsidRPr="00000000">
        <w:rPr>
          <w:rtl w:val="0"/>
        </w:rPr>
        <w:t xml:space="preserve"> all clinically deployed antimalarial drugs</w:t>
      </w:r>
      <w:r w:rsidDel="00000000" w:rsidR="00000000" w:rsidRPr="00000000">
        <w:rPr>
          <w:rtl w:val="0"/>
        </w:rPr>
        <w:t xml:space="preserve"> has been reported, including the most recently developed artemisinin derivatives (Ashley 2014, DOI: 10.1056/NEJMoa1314981; Dondorp 2017, DOI: 10.1016/j.pt.2017.01.004). Further growth in artemisinin and multi-drug resistance threatens the global efforts to control malaria. To counter drug resistant malaria, new drugs are needed that have novel mechanisms of </w:t>
      </w:r>
      <w:r w:rsidDel="00000000" w:rsidR="00000000" w:rsidRPr="00000000">
        <w:rPr>
          <w:rtl w:val="0"/>
        </w:rPr>
        <w:t xml:space="preserve">action</w:t>
      </w:r>
      <w:r w:rsidDel="00000000" w:rsidR="00000000" w:rsidRPr="00000000">
        <w:rPr>
          <w:rtl w:val="0"/>
        </w:rPr>
        <w:t xml:space="preserve">. (Tse 2019, DOI: 10.1186/s12936-019-2724-z)</w:t>
      </w:r>
    </w:p>
    <w:p w:rsidR="00000000" w:rsidDel="00000000" w:rsidP="00000000" w:rsidRDefault="00000000" w:rsidRPr="00000000" w14:paraId="00000020">
      <w:pPr>
        <w:jc w:val="both"/>
        <w:rPr/>
      </w:pPr>
      <w:r w:rsidDel="00000000" w:rsidR="00000000" w:rsidRPr="00000000">
        <w:rPr>
          <w:rtl w:val="0"/>
        </w:rPr>
        <w:br w:type="textWrapping"/>
      </w:r>
      <w:r w:rsidDel="00000000" w:rsidR="00000000" w:rsidRPr="00000000">
        <w:rPr>
          <w:rtl w:val="0"/>
        </w:rPr>
        <w:t xml:space="preserve">In order to address the need for new malaria therapeutics, Medicines for Malaria Venture (MMV) partnered with Pfizer to undertake a high-throughput screen (HTS) of 160,000 compounds in Pfizer’s chemical library. Of these (</w:t>
      </w:r>
      <w:r w:rsidDel="00000000" w:rsidR="00000000" w:rsidRPr="00000000">
        <w:rPr>
          <w:rtl w:val="0"/>
        </w:rPr>
        <w:t xml:space="preserve">which remain unpublished</w:t>
      </w:r>
      <w:r w:rsidDel="00000000" w:rsidR="00000000" w:rsidRPr="00000000">
        <w:rPr>
          <w:rtl w:val="0"/>
        </w:rPr>
        <w:t xml:space="preserve">) a class of triazolopyrazines emerged as a promising antimalarial series.</w:t>
      </w:r>
      <w:r w:rsidDel="00000000" w:rsidR="00000000" w:rsidRPr="00000000">
        <w:rPr>
          <w:rtl w:val="0"/>
        </w:rPr>
        <w:t xml:space="preserve"> Further development by MMV, first in collaboration with Pfizer, and subsequently with a contract research organization (TGC Lifesciences) resulted in two compounds, </w:t>
      </w:r>
      <w:r w:rsidDel="00000000" w:rsidR="00000000" w:rsidRPr="00000000">
        <w:rPr>
          <w:b w:val="1"/>
          <w:rtl w:val="0"/>
        </w:rPr>
        <w:t xml:space="preserve">MMV639565 </w:t>
      </w:r>
      <w:r w:rsidDel="00000000" w:rsidR="00000000" w:rsidRPr="00000000">
        <w:rPr>
          <w:rtl w:val="0"/>
        </w:rPr>
        <w:t xml:space="preserve">and </w:t>
      </w:r>
      <w:r w:rsidDel="00000000" w:rsidR="00000000" w:rsidRPr="00000000">
        <w:rPr>
          <w:b w:val="1"/>
          <w:rtl w:val="0"/>
        </w:rPr>
        <w:t xml:space="preserve">MMV669844</w:t>
      </w:r>
      <w:r w:rsidDel="00000000" w:rsidR="00000000" w:rsidRPr="00000000">
        <w:rPr>
          <w:rtl w:val="0"/>
        </w:rPr>
        <w:t xml:space="preserve">, which rapidly cleared parasitemia in a mouse efficacy model of </w:t>
      </w:r>
      <w:r w:rsidDel="00000000" w:rsidR="00000000" w:rsidRPr="00000000">
        <w:rPr>
          <w:i w:val="1"/>
          <w:rtl w:val="0"/>
        </w:rPr>
        <w:t xml:space="preserve">P. falciparum infection</w:t>
      </w:r>
      <w:r w:rsidDel="00000000" w:rsidR="00000000" w:rsidRPr="00000000">
        <w:rPr>
          <w:rtl w:val="0"/>
        </w:rPr>
        <w:t xml:space="preserve"> with an EC</w:t>
      </w:r>
      <w:r w:rsidDel="00000000" w:rsidR="00000000" w:rsidRPr="00000000">
        <w:rPr>
          <w:vertAlign w:val="subscript"/>
          <w:rtl w:val="0"/>
        </w:rPr>
        <w:t xml:space="preserve">90</w:t>
      </w:r>
      <w:r w:rsidDel="00000000" w:rsidR="00000000" w:rsidRPr="00000000">
        <w:rPr>
          <w:rtl w:val="0"/>
        </w:rPr>
        <w:t xml:space="preserve"> of 6.3 mg/kg (</w:t>
      </w:r>
      <w:r w:rsidDel="00000000" w:rsidR="00000000" w:rsidRPr="00000000">
        <w:rPr>
          <w:b w:val="1"/>
          <w:rtl w:val="0"/>
        </w:rPr>
        <w:t xml:space="preserve">Fig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Pr>
        <w:drawing>
          <wp:inline distB="114300" distT="114300" distL="114300" distR="114300">
            <wp:extent cx="5734050" cy="2200275"/>
            <wp:effectExtent b="0" l="0" r="0" t="0"/>
            <wp:docPr id="1" name="image7.png"/>
            <a:graphic>
              <a:graphicData uri="http://schemas.openxmlformats.org/drawingml/2006/picture">
                <pic:pic>
                  <pic:nvPicPr>
                    <pic:cNvPr id="0" name="image7.png"/>
                    <pic:cNvPicPr preferRelativeResize="0"/>
                  </pic:nvPicPr>
                  <pic:blipFill>
                    <a:blip r:embed="rId11"/>
                    <a:srcRect b="32522" l="0" r="0" t="16371"/>
                    <a:stretch>
                      <a:fillRect/>
                    </a:stretch>
                  </pic:blipFill>
                  <pic:spPr>
                    <a:xfrm>
                      <a:off x="0" y="0"/>
                      <a:ext cx="5734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0"/>
          <w:szCs w:val="20"/>
        </w:rPr>
      </w:pPr>
      <w:r w:rsidDel="00000000" w:rsidR="00000000" w:rsidRPr="00000000">
        <w:rPr>
          <w:b w:val="1"/>
          <w:sz w:val="20"/>
          <w:szCs w:val="20"/>
          <w:rtl w:val="0"/>
        </w:rPr>
        <w:t xml:space="preserve">Figure</w:t>
      </w:r>
      <w:r w:rsidDel="00000000" w:rsidR="00000000" w:rsidRPr="00000000">
        <w:rPr>
          <w:b w:val="1"/>
          <w:sz w:val="20"/>
          <w:szCs w:val="20"/>
          <w:rtl w:val="0"/>
        </w:rPr>
        <w:t xml:space="preserve"> X.</w:t>
      </w:r>
      <w:r w:rsidDel="00000000" w:rsidR="00000000" w:rsidRPr="00000000">
        <w:rPr>
          <w:b w:val="1"/>
          <w:sz w:val="20"/>
          <w:szCs w:val="20"/>
          <w:rtl w:val="0"/>
        </w:rPr>
        <w:t xml:space="preserve"> </w:t>
      </w:r>
      <w:r w:rsidDel="00000000" w:rsidR="00000000" w:rsidRPr="00000000">
        <w:rPr>
          <w:sz w:val="20"/>
          <w:szCs w:val="20"/>
          <w:rtl w:val="0"/>
        </w:rPr>
        <w:t xml:space="preserve">A) </w:t>
      </w:r>
      <w:r w:rsidDel="00000000" w:rsidR="00000000" w:rsidRPr="00000000">
        <w:rPr>
          <w:sz w:val="20"/>
          <w:szCs w:val="20"/>
          <w:rtl w:val="0"/>
        </w:rPr>
        <w:t xml:space="preserve">Blood concentration over time and</w:t>
      </w:r>
      <w:r w:rsidDel="00000000" w:rsidR="00000000" w:rsidRPr="00000000">
        <w:rPr>
          <w:sz w:val="20"/>
          <w:szCs w:val="20"/>
          <w:rtl w:val="0"/>
        </w:rPr>
        <w:t xml:space="preserve"> B) </w:t>
      </w:r>
      <w:r w:rsidDel="00000000" w:rsidR="00000000" w:rsidRPr="00000000">
        <w:rPr>
          <w:i w:val="1"/>
          <w:sz w:val="20"/>
          <w:szCs w:val="20"/>
          <w:rtl w:val="0"/>
        </w:rPr>
        <w:t xml:space="preserve">in vivo</w:t>
      </w:r>
      <w:r w:rsidDel="00000000" w:rsidR="00000000" w:rsidRPr="00000000">
        <w:rPr>
          <w:sz w:val="20"/>
          <w:szCs w:val="20"/>
          <w:rtl w:val="0"/>
        </w:rPr>
        <w:t xml:space="preserve"> efficacy of </w:t>
      </w:r>
      <w:r w:rsidDel="00000000" w:rsidR="00000000" w:rsidRPr="00000000">
        <w:rPr>
          <w:b w:val="1"/>
          <w:sz w:val="20"/>
          <w:szCs w:val="20"/>
          <w:rtl w:val="0"/>
        </w:rPr>
        <w:t xml:space="preserve">MMV639565</w:t>
      </w:r>
      <w:r w:rsidDel="00000000" w:rsidR="00000000" w:rsidRPr="00000000">
        <w:rPr>
          <w:sz w:val="20"/>
          <w:szCs w:val="20"/>
          <w:rtl w:val="0"/>
        </w:rPr>
        <w:t xml:space="preserve">. Compound was administered orally, qd for four days at the doses indicated in the legend. Numbers in brackets represent dose (mg/kg) corrected according to quality control of formulation.</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These results and other m</w:t>
      </w:r>
      <w:r w:rsidDel="00000000" w:rsidR="00000000" w:rsidRPr="00000000">
        <w:rPr>
          <w:rFonts w:ascii="Arial Unicode MS" w:cs="Arial Unicode MS" w:eastAsia="Arial Unicode MS" w:hAnsi="Arial Unicode MS"/>
          <w:rtl w:val="0"/>
        </w:rPr>
        <w:t xml:space="preserve">aterials, including potency data on just over 100 compounds and a summary report of the series development to date, were then passed to the Open Source Malaria consortium which placed the materials in the public domain, to act as the starting point of a lead optimisation project with the aim of improving compounds’ solubility (≥100 μM) while maintaining potency (&lt;10 nM) and low rates of metabolic </w:t>
      </w:r>
      <w:r w:rsidDel="00000000" w:rsidR="00000000" w:rsidRPr="00000000">
        <w:rPr>
          <w:rtl w:val="0"/>
        </w:rPr>
        <w:t xml:space="preserve">clearance</w:t>
      </w:r>
      <w:r w:rsidDel="00000000" w:rsidR="00000000" w:rsidRPr="00000000">
        <w:rPr>
          <w:rtl w:val="0"/>
        </w:rPr>
        <w:t xml:space="preserve"> (</w:t>
      </w:r>
      <w:hyperlink r:id="rId12">
        <w:r w:rsidDel="00000000" w:rsidR="00000000" w:rsidRPr="00000000">
          <w:rPr>
            <w:color w:val="1155cc"/>
            <w:u w:val="single"/>
            <w:rtl w:val="0"/>
          </w:rPr>
          <w:t xml:space="preserve">https://www.mmv.org/research-development/information-scientists</w:t>
        </w:r>
      </w:hyperlink>
      <w:r w:rsidDel="00000000" w:rsidR="00000000" w:rsidRPr="00000000">
        <w:rPr>
          <w:rtl w:val="0"/>
        </w:rPr>
        <w:t xml:space="preserve">). The aim in making the project public was to investigate whether an open, unrestricted collaboration could progress a medicinal chemistry series during the lead optimisation phase, which can be a more resource intensive phase of drug discovery and development than projects in early stage </w:t>
      </w:r>
      <w:r w:rsidDel="00000000" w:rsidR="00000000" w:rsidRPr="00000000">
        <w:rPr>
          <w:rtl w:val="0"/>
        </w:rPr>
        <w:t xml:space="preserve">medicinal chemistry</w:t>
      </w:r>
      <w:r w:rsidDel="00000000" w:rsidR="00000000" w:rsidRPr="00000000">
        <w:rPr>
          <w:rtl w:val="0"/>
        </w:rPr>
        <w:t xml:space="preserve"> (Williamson 2016, DOI: 10.1021/acscentsci.6b00086), </w:t>
      </w:r>
      <w:r w:rsidDel="00000000" w:rsidR="00000000" w:rsidRPr="00000000">
        <w:rPr>
          <w:rtl w:val="0"/>
        </w:rPr>
        <w:t xml:space="preserve">screening</w:t>
      </w:r>
      <w:r w:rsidDel="00000000" w:rsidR="00000000" w:rsidRPr="00000000">
        <w:rPr>
          <w:rtl w:val="0"/>
        </w:rPr>
        <w:t xml:space="preserve"> (Antonova-Koch 2018, DOI: 10.1126/science.aat9446) or </w:t>
      </w:r>
      <w:r w:rsidDel="00000000" w:rsidR="00000000" w:rsidRPr="00000000">
        <w:rPr>
          <w:rtl w:val="0"/>
        </w:rPr>
        <w:t xml:space="preserve">compound sharing</w:t>
      </w:r>
      <w:r w:rsidDel="00000000" w:rsidR="00000000" w:rsidRPr="00000000">
        <w:rPr>
          <w:rtl w:val="0"/>
        </w:rPr>
        <w:t xml:space="preserve"> (Dennis 2018, DOI: 10.1038/s41598-018-26819-1; Spangenberg 2013, DOI: 10.1371/journal.pone.0062906). We present here the combined knowledge to date on this series, which demonstrate the significant potential of these public domain compounds for the treatment of blood stage malaria infections and evidence of their mechanism of action.</w:t>
      </w:r>
    </w:p>
    <w:p w:rsidR="00000000" w:rsidDel="00000000" w:rsidP="00000000" w:rsidRDefault="00000000" w:rsidRPr="00000000" w14:paraId="00000026">
      <w:pPr>
        <w:pStyle w:val="Heading1"/>
        <w:jc w:val="both"/>
        <w:rPr/>
      </w:pPr>
      <w:bookmarkStart w:colFirst="0" w:colLast="0" w:name="_8yxefh4zy2ux" w:id="5"/>
      <w:bookmarkEnd w:id="5"/>
      <w:r w:rsidDel="00000000" w:rsidR="00000000" w:rsidRPr="00000000">
        <w:rPr>
          <w:rtl w:val="0"/>
        </w:rPr>
      </w:r>
    </w:p>
    <w:p w:rsidR="00000000" w:rsidDel="00000000" w:rsidP="00000000" w:rsidRDefault="00000000" w:rsidRPr="00000000" w14:paraId="00000027">
      <w:pPr>
        <w:pStyle w:val="Heading1"/>
        <w:jc w:val="both"/>
        <w:rPr>
          <w:b w:val="1"/>
        </w:rPr>
      </w:pPr>
      <w:bookmarkStart w:colFirst="0" w:colLast="0" w:name="_e653ad6wi8ok" w:id="6"/>
      <w:bookmarkEnd w:id="6"/>
      <w:r w:rsidDel="00000000" w:rsidR="00000000" w:rsidRPr="00000000">
        <w:rPr>
          <w:b w:val="1"/>
          <w:rtl w:val="0"/>
        </w:rPr>
        <w:t xml:space="preserve">Results and Discussion</w:t>
      </w:r>
    </w:p>
    <w:p w:rsidR="00000000" w:rsidDel="00000000" w:rsidP="00000000" w:rsidRDefault="00000000" w:rsidRPr="00000000" w14:paraId="00000028">
      <w:pPr>
        <w:pStyle w:val="Heading2"/>
        <w:rPr/>
      </w:pPr>
      <w:bookmarkStart w:colFirst="0" w:colLast="0" w:name="_48hudpdc319f" w:id="7"/>
      <w:bookmarkEnd w:id="7"/>
      <w:r w:rsidDel="00000000" w:rsidR="00000000" w:rsidRPr="00000000">
        <w:rPr>
          <w:rtl w:val="0"/>
        </w:rPr>
        <w:br w:type="textWrapping"/>
        <w:t xml:space="preserve">Synthesis</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The synthetic protocols for any compound in this paper may be found in full in the SI; in addition the complete synthetic details of </w:t>
      </w:r>
      <w:r w:rsidDel="00000000" w:rsidR="00000000" w:rsidRPr="00000000">
        <w:rPr>
          <w:i w:val="1"/>
          <w:rtl w:val="0"/>
        </w:rPr>
        <w:t xml:space="preserve">every experiment</w:t>
      </w:r>
      <w:r w:rsidDel="00000000" w:rsidR="00000000" w:rsidRPr="00000000">
        <w:rPr>
          <w:rtl w:val="0"/>
        </w:rPr>
        <w:t xml:space="preserve"> may be found in the relevant electronic laboratory notebooks (</w:t>
      </w:r>
      <w:r w:rsidDel="00000000" w:rsidR="00000000" w:rsidRPr="00000000">
        <w:rPr>
          <w:rtl w:val="0"/>
        </w:rPr>
        <w:t xml:space="preserve">ELNs</w:t>
      </w:r>
      <w:r w:rsidDel="00000000" w:rsidR="00000000" w:rsidRPr="00000000">
        <w:rPr>
          <w:rtl w:val="0"/>
        </w:rPr>
        <w:t xml:space="preserve">). The most commonly used synthetic approaches are shown below; synthetic routes to analogs outside the scope of these routes, such as alternative cores or reverse amides, are presented in </w:t>
      </w:r>
      <w:r w:rsidDel="00000000" w:rsidR="00000000" w:rsidRPr="00000000">
        <w:rPr>
          <w:b w:val="1"/>
          <w:rtl w:val="0"/>
        </w:rPr>
        <w:t xml:space="preserve">Schemes SX-SX</w:t>
      </w:r>
      <w:r w:rsidDel="00000000" w:rsidR="00000000" w:rsidRPr="00000000">
        <w:rPr>
          <w:rtl w:val="0"/>
        </w:rPr>
        <w:t xml:space="preserve">.</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The Series 4 triazolopyrazines can, most broadly, be classified into two sub-classes of compounds: those with an ether linker (or other heteroatom) in the 5-position, and those with an amide linker. The synthesis of the former may be achieved by initial displacement of a chlorine atom from 2,6-dichloropyrazine with hydrazine hydrate to give the hydrazine intermediate (</w:t>
      </w:r>
      <w:r w:rsidDel="00000000" w:rsidR="00000000" w:rsidRPr="00000000">
        <w:rPr>
          <w:b w:val="1"/>
          <w:rtl w:val="0"/>
        </w:rPr>
        <w:t xml:space="preserve">A, Scheme X</w:t>
      </w:r>
      <w:r w:rsidDel="00000000" w:rsidR="00000000" w:rsidRPr="00000000">
        <w:rPr>
          <w:rtl w:val="0"/>
        </w:rPr>
        <w:t xml:space="preserve">). Condensation with the appropriate aldehyde and subsequent oxidative cyclisation using (diacetoxyiodo)benzene affords the cyclised triazolopyrazine core. The final products were obtained upon displacement of the 5-position chlorine atom with the appropriate nucleophile (either synthesised or commercially available). In the case of the amide-linked compounds, the linker was first installed </w:t>
      </w:r>
      <w:r w:rsidDel="00000000" w:rsidR="00000000" w:rsidRPr="00000000">
        <w:rPr>
          <w:i w:val="1"/>
          <w:rtl w:val="0"/>
        </w:rPr>
        <w:t xml:space="preserve">via</w:t>
      </w:r>
      <w:r w:rsidDel="00000000" w:rsidR="00000000" w:rsidRPr="00000000">
        <w:rPr>
          <w:rtl w:val="0"/>
        </w:rPr>
        <w:t xml:space="preserve"> T3P mediated amide coupling with 6-chloropyrazine-2-carboxylic acid and the appropriate amine (</w:t>
      </w:r>
      <w:r w:rsidDel="00000000" w:rsidR="00000000" w:rsidRPr="00000000">
        <w:rPr>
          <w:b w:val="1"/>
          <w:rtl w:val="0"/>
        </w:rPr>
        <w:t xml:space="preserve">B, Scheme X</w:t>
      </w:r>
      <w:r w:rsidDel="00000000" w:rsidR="00000000" w:rsidRPr="00000000">
        <w:rPr>
          <w:rtl w:val="0"/>
        </w:rPr>
        <w:t xml:space="preserve">). The subsequent steps to form the triazolopyrazine core were performed in the same manner as for the ether-linked </w:t>
      </w:r>
      <w:r w:rsidDel="00000000" w:rsidR="00000000" w:rsidRPr="00000000">
        <w:rPr>
          <w:rtl w:val="0"/>
        </w:rPr>
        <w:t xml:space="preserve">compounds</w:t>
      </w:r>
      <w:r w:rsidDel="00000000" w:rsidR="00000000" w:rsidRPr="00000000">
        <w:rPr>
          <w:rtl w:val="0"/>
        </w:rPr>
        <w:t xml:space="preserve">. In both cases, the synthetic procedures used were robust and applicable to multi-gram scale. Focussed subsets of Series 4 compounds have been previously reported elsewhere (</w:t>
      </w:r>
      <w:r w:rsidDel="00000000" w:rsidR="00000000" w:rsidRPr="00000000">
        <w:rPr>
          <w:highlight w:val="yellow"/>
          <w:rtl w:val="0"/>
        </w:rPr>
        <w:t xml:space="preserve">Ref to JOC and JMC papers</w:t>
      </w:r>
      <w:r w:rsidDel="00000000" w:rsidR="00000000" w:rsidRPr="00000000">
        <w:rPr>
          <w:rtl w:val="0"/>
        </w:rPr>
        <w:t xml:space="preserve">).</w:t>
      </w:r>
    </w:p>
    <w:p w:rsidR="00000000" w:rsidDel="00000000" w:rsidP="00000000" w:rsidRDefault="00000000" w:rsidRPr="00000000" w14:paraId="0000002B">
      <w:pPr>
        <w:spacing w:after="240" w:before="240" w:lineRule="auto"/>
        <w:jc w:val="both"/>
        <w:rPr/>
      </w:pP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drawing>
          <wp:inline distB="114300" distT="114300" distL="114300" distR="114300">
            <wp:extent cx="5734050" cy="27813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jc w:val="both"/>
        <w:rPr/>
      </w:pPr>
      <w:r w:rsidDel="00000000" w:rsidR="00000000" w:rsidRPr="00000000">
        <w:rPr>
          <w:b w:val="1"/>
          <w:sz w:val="20"/>
          <w:szCs w:val="20"/>
          <w:rtl w:val="0"/>
        </w:rPr>
        <w:t xml:space="preserve">Scheme X</w:t>
      </w:r>
      <w:r w:rsidDel="00000000" w:rsidR="00000000" w:rsidRPr="00000000">
        <w:rPr>
          <w:b w:val="1"/>
          <w:sz w:val="20"/>
          <w:szCs w:val="20"/>
          <w:rtl w:val="0"/>
        </w:rPr>
        <w:t xml:space="preserve">. </w:t>
      </w:r>
      <w:r w:rsidDel="00000000" w:rsidR="00000000" w:rsidRPr="00000000">
        <w:rPr>
          <w:sz w:val="20"/>
          <w:szCs w:val="20"/>
          <w:rtl w:val="0"/>
        </w:rPr>
        <w:t xml:space="preserve">General synthetic route to the 5-substituted ether- and amide-linked triazolopyrazines.</w:t>
      </w:r>
      <w:r w:rsidDel="00000000" w:rsidR="00000000" w:rsidRPr="00000000">
        <w:rPr>
          <w:i w:val="1"/>
          <w:sz w:val="20"/>
          <w:szCs w:val="20"/>
          <w:rtl w:val="0"/>
        </w:rPr>
        <w:t xml:space="preserve"> Reagents and reaction conditions</w:t>
      </w:r>
      <w:r w:rsidDel="00000000" w:rsidR="00000000" w:rsidRPr="00000000">
        <w:rPr>
          <w:sz w:val="20"/>
          <w:szCs w:val="20"/>
          <w:rtl w:val="0"/>
        </w:rPr>
        <w:t xml:space="preserve">: </w:t>
      </w:r>
      <w:r w:rsidDel="00000000" w:rsidR="00000000" w:rsidRPr="00000000">
        <w:rPr>
          <w:i w:val="1"/>
          <w:sz w:val="20"/>
          <w:szCs w:val="20"/>
          <w:rtl w:val="0"/>
        </w:rPr>
        <w:t xml:space="preserve">a</w:t>
      </w:r>
      <w:r w:rsidDel="00000000" w:rsidR="00000000" w:rsidRPr="00000000">
        <w:rPr>
          <w:sz w:val="20"/>
          <w:szCs w:val="20"/>
          <w:rtl w:val="0"/>
        </w:rPr>
        <w:t xml:space="preserve">) Hydrazine hydrate, </w:t>
      </w:r>
      <w:r w:rsidDel="00000000" w:rsidR="00000000" w:rsidRPr="00000000">
        <w:rPr>
          <w:i w:val="1"/>
          <w:sz w:val="20"/>
          <w:szCs w:val="20"/>
          <w:rtl w:val="0"/>
        </w:rPr>
        <w:t xml:space="preserve">ca</w:t>
      </w:r>
      <w:r w:rsidDel="00000000" w:rsidR="00000000" w:rsidRPr="00000000">
        <w:rPr>
          <w:sz w:val="20"/>
          <w:szCs w:val="20"/>
          <w:rtl w:val="0"/>
        </w:rPr>
        <w:t xml:space="preserve">. 85% crude. </w:t>
      </w:r>
      <w:r w:rsidDel="00000000" w:rsidR="00000000" w:rsidRPr="00000000">
        <w:rPr>
          <w:i w:val="1"/>
          <w:sz w:val="20"/>
          <w:szCs w:val="20"/>
          <w:rtl w:val="0"/>
        </w:rPr>
        <w:t xml:space="preserve">b</w:t>
      </w:r>
      <w:r w:rsidDel="00000000" w:rsidR="00000000" w:rsidRPr="00000000">
        <w:rPr>
          <w:sz w:val="20"/>
          <w:szCs w:val="20"/>
          <w:rtl w:val="0"/>
        </w:rPr>
        <w:t xml:space="preserve">) RCHO, AcOH, </w:t>
      </w:r>
      <w:r w:rsidDel="00000000" w:rsidR="00000000" w:rsidRPr="00000000">
        <w:rPr>
          <w:i w:val="1"/>
          <w:sz w:val="20"/>
          <w:szCs w:val="20"/>
          <w:rtl w:val="0"/>
        </w:rPr>
        <w:t xml:space="preserve">ca</w:t>
      </w:r>
      <w:r w:rsidDel="00000000" w:rsidR="00000000" w:rsidRPr="00000000">
        <w:rPr>
          <w:sz w:val="20"/>
          <w:szCs w:val="20"/>
          <w:rtl w:val="0"/>
        </w:rPr>
        <w:t xml:space="preserve">. 100% crude. </w:t>
      </w:r>
      <w:r w:rsidDel="00000000" w:rsidR="00000000" w:rsidRPr="00000000">
        <w:rPr>
          <w:i w:val="1"/>
          <w:sz w:val="20"/>
          <w:szCs w:val="20"/>
          <w:rtl w:val="0"/>
        </w:rPr>
        <w:t xml:space="preserve">c</w:t>
      </w:r>
      <w:r w:rsidDel="00000000" w:rsidR="00000000" w:rsidRPr="00000000">
        <w:rPr>
          <w:sz w:val="20"/>
          <w:szCs w:val="20"/>
          <w:rtl w:val="0"/>
        </w:rPr>
        <w:t xml:space="preserve">) PIDA, CH</w:t>
      </w:r>
      <w:r w:rsidDel="00000000" w:rsidR="00000000" w:rsidRPr="00000000">
        <w:rPr>
          <w:sz w:val="20"/>
          <w:szCs w:val="20"/>
          <w:vertAlign w:val="subscript"/>
          <w:rtl w:val="0"/>
        </w:rPr>
        <w:t xml:space="preserve">2</w:t>
      </w:r>
      <w:r w:rsidDel="00000000" w:rsidR="00000000" w:rsidRPr="00000000">
        <w:rPr>
          <w:sz w:val="20"/>
          <w:szCs w:val="20"/>
          <w:rtl w:val="0"/>
        </w:rPr>
        <w:t xml:space="preserve">Cl</w:t>
      </w:r>
      <w:r w:rsidDel="00000000" w:rsidR="00000000" w:rsidRPr="00000000">
        <w:rPr>
          <w:sz w:val="20"/>
          <w:szCs w:val="20"/>
          <w:vertAlign w:val="subscript"/>
          <w:rtl w:val="0"/>
        </w:rPr>
        <w:t xml:space="preserve">2</w:t>
      </w:r>
      <w:r w:rsidDel="00000000" w:rsidR="00000000" w:rsidRPr="00000000">
        <w:rPr>
          <w:sz w:val="20"/>
          <w:szCs w:val="20"/>
          <w:rtl w:val="0"/>
        </w:rPr>
        <w:t xml:space="preserve">, 40-83%. </w:t>
      </w:r>
      <w:r w:rsidDel="00000000" w:rsidR="00000000" w:rsidRPr="00000000">
        <w:rPr>
          <w:i w:val="1"/>
          <w:sz w:val="20"/>
          <w:szCs w:val="20"/>
          <w:rtl w:val="0"/>
        </w:rPr>
        <w:t xml:space="preserve">d</w:t>
      </w:r>
      <w:r w:rsidDel="00000000" w:rsidR="00000000" w:rsidRPr="00000000">
        <w:rPr>
          <w:sz w:val="20"/>
          <w:szCs w:val="20"/>
          <w:rtl w:val="0"/>
        </w:rPr>
        <w:t xml:space="preserve">) Nucleophile (Nu) and </w:t>
      </w:r>
      <w:r w:rsidDel="00000000" w:rsidR="00000000" w:rsidRPr="00000000">
        <w:rPr>
          <w:i w:val="1"/>
          <w:sz w:val="20"/>
          <w:szCs w:val="20"/>
          <w:rtl w:val="0"/>
        </w:rPr>
        <w:t xml:space="preserve">either</w:t>
      </w:r>
      <w:r w:rsidDel="00000000" w:rsidR="00000000" w:rsidRPr="00000000">
        <w:rPr>
          <w:sz w:val="20"/>
          <w:szCs w:val="20"/>
          <w:rtl w:val="0"/>
        </w:rPr>
        <w:t xml:space="preserve">: i)</w:t>
      </w:r>
      <w:r w:rsidDel="00000000" w:rsidR="00000000" w:rsidRPr="00000000">
        <w:rPr>
          <w:i w:val="1"/>
          <w:sz w:val="20"/>
          <w:szCs w:val="20"/>
          <w:rtl w:val="0"/>
        </w:rPr>
        <w:t xml:space="preserve"> </w:t>
      </w:r>
      <w:r w:rsidDel="00000000" w:rsidR="00000000" w:rsidRPr="00000000">
        <w:rPr>
          <w:sz w:val="20"/>
          <w:szCs w:val="20"/>
          <w:rtl w:val="0"/>
        </w:rPr>
        <w:t xml:space="preserve">KOH, 18-crown-6, toluene; ii) KO</w:t>
      </w:r>
      <w:r w:rsidDel="00000000" w:rsidR="00000000" w:rsidRPr="00000000">
        <w:rPr>
          <w:i w:val="1"/>
          <w:sz w:val="20"/>
          <w:szCs w:val="20"/>
          <w:rtl w:val="0"/>
        </w:rPr>
        <w:t xml:space="preserve">t</w:t>
      </w:r>
      <w:r w:rsidDel="00000000" w:rsidR="00000000" w:rsidRPr="00000000">
        <w:rPr>
          <w:sz w:val="20"/>
          <w:szCs w:val="20"/>
          <w:rtl w:val="0"/>
        </w:rPr>
        <w:t xml:space="preserve">-Bu, dioxane; or ii) NaH, DMF. </w:t>
      </w:r>
      <w:r w:rsidDel="00000000" w:rsidR="00000000" w:rsidRPr="00000000">
        <w:rPr>
          <w:i w:val="1"/>
          <w:sz w:val="20"/>
          <w:szCs w:val="20"/>
          <w:rtl w:val="0"/>
        </w:rPr>
        <w:t xml:space="preserve">ca.</w:t>
      </w:r>
      <w:r w:rsidDel="00000000" w:rsidR="00000000" w:rsidRPr="00000000">
        <w:rPr>
          <w:sz w:val="20"/>
          <w:szCs w:val="20"/>
          <w:rtl w:val="0"/>
        </w:rPr>
        <w:t xml:space="preserve"> 50%.</w:t>
      </w:r>
      <w:r w:rsidDel="00000000" w:rsidR="00000000" w:rsidRPr="00000000">
        <w:rPr>
          <w:rtl w:val="0"/>
        </w:rPr>
      </w:r>
    </w:p>
    <w:p w:rsidR="00000000" w:rsidDel="00000000" w:rsidP="00000000" w:rsidRDefault="00000000" w:rsidRPr="00000000" w14:paraId="0000002E">
      <w:pPr>
        <w:pStyle w:val="Heading2"/>
        <w:rPr/>
      </w:pPr>
      <w:bookmarkStart w:colFirst="0" w:colLast="0" w:name="_l5a4a7t89yqv" w:id="8"/>
      <w:bookmarkEnd w:id="8"/>
      <w:r w:rsidDel="00000000" w:rsidR="00000000" w:rsidRPr="00000000">
        <w:rPr>
          <w:rtl w:val="0"/>
        </w:rPr>
        <w:t xml:space="preserve">Structure-activity relationships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To investigate further the established structure-activity relationships (SAR) from the inherited data, the OSM consortium sought to explore modifications designed to help improve the aqueous solubility and metabolic stability of the series. Key SAR are presented in </w:t>
      </w:r>
      <w:r w:rsidDel="00000000" w:rsidR="00000000" w:rsidRPr="00000000">
        <w:rPr>
          <w:b w:val="1"/>
          <w:rtl w:val="0"/>
        </w:rPr>
        <w:t xml:space="preserve">Figure X</w:t>
      </w:r>
      <w:r w:rsidDel="00000000" w:rsidR="00000000" w:rsidRPr="00000000">
        <w:rPr>
          <w:rtl w:val="0"/>
        </w:rPr>
        <w:t xml:space="preserve"> (see SI for full SAR). </w:t>
      </w:r>
      <w:r w:rsidDel="00000000" w:rsidR="00000000" w:rsidRPr="00000000">
        <w:rPr>
          <w:rtl w:val="0"/>
        </w:rPr>
        <w:t xml:space="preserve">As</w:t>
      </w:r>
      <w:r w:rsidDel="00000000" w:rsidR="00000000" w:rsidRPr="00000000">
        <w:rPr>
          <w:rtl w:val="0"/>
        </w:rPr>
        <w:t xml:space="preserve"> a result of this open source project having many contributors worldwide, varying sources of </w:t>
      </w:r>
      <w:r w:rsidDel="00000000" w:rsidR="00000000" w:rsidRPr="00000000">
        <w:rPr>
          <w:i w:val="1"/>
          <w:rtl w:val="0"/>
        </w:rPr>
        <w:t xml:space="preserve">in vitro</w:t>
      </w:r>
      <w:r w:rsidDel="00000000" w:rsidR="00000000" w:rsidRPr="00000000">
        <w:rPr>
          <w:rtl w:val="0"/>
        </w:rPr>
        <w:t xml:space="preserve"> assays were used which evaluated the compounds against either the NF54 or 3D7 strain of </w:t>
      </w:r>
      <w:r w:rsidDel="00000000" w:rsidR="00000000" w:rsidRPr="00000000">
        <w:rPr>
          <w:i w:val="1"/>
          <w:rtl w:val="0"/>
        </w:rPr>
        <w:t xml:space="preserve">P. falciparum</w:t>
      </w:r>
      <w:r w:rsidDel="00000000" w:rsidR="00000000" w:rsidRPr="00000000">
        <w:rPr>
          <w:rtl w:val="0"/>
        </w:rPr>
        <w:t xml:space="preserve">; suitable controls were used throughout to ensure data between assays (</w:t>
      </w:r>
      <w:r w:rsidDel="00000000" w:rsidR="00000000" w:rsidRPr="00000000">
        <w:rPr>
          <w:i w:val="1"/>
          <w:rtl w:val="0"/>
        </w:rPr>
        <w:t xml:space="preserve">e.g.</w:t>
      </w:r>
      <w:r w:rsidDel="00000000" w:rsidR="00000000" w:rsidRPr="00000000">
        <w:rPr>
          <w:rtl w:val="0"/>
        </w:rPr>
        <w:t xml:space="preserve">, inherited </w:t>
      </w:r>
      <w:r w:rsidDel="00000000" w:rsidR="00000000" w:rsidRPr="00000000">
        <w:rPr>
          <w:i w:val="1"/>
          <w:rtl w:val="0"/>
        </w:rPr>
        <w:t xml:space="preserve">vs.</w:t>
      </w:r>
      <w:r w:rsidDel="00000000" w:rsidR="00000000" w:rsidRPr="00000000">
        <w:rPr>
          <w:rtl w:val="0"/>
        </w:rPr>
        <w:t xml:space="preserve"> generated data) could be compared</w:t>
      </w:r>
      <w:r w:rsidDel="00000000" w:rsidR="00000000" w:rsidRPr="00000000">
        <w:rPr>
          <w:rtl w:val="0"/>
        </w:rPr>
        <w:t xml:space="preserve">. Both strains are comparable, with the difference begin that NF54 is sensitive to all known drugs, while 3D7 is a clone of the NF54 strain and is known to produce fewer gametocytes in </w:t>
      </w:r>
      <w:r w:rsidDel="00000000" w:rsidR="00000000" w:rsidRPr="00000000">
        <w:rPr>
          <w:i w:val="1"/>
          <w:rtl w:val="0"/>
        </w:rPr>
        <w:t xml:space="preserve">in vitro</w:t>
      </w:r>
      <w:r w:rsidDel="00000000" w:rsidR="00000000" w:rsidRPr="00000000">
        <w:rPr>
          <w:rtl w:val="0"/>
        </w:rPr>
        <w:t xml:space="preserve"> cultures.[10.1038/nprot.2016.096] Any cLogP values were calculated using DataWarrior.</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295775" cy="46482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95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20"/>
          <w:szCs w:val="20"/>
        </w:rPr>
      </w:pPr>
      <w:r w:rsidDel="00000000" w:rsidR="00000000" w:rsidRPr="00000000">
        <w:rPr>
          <w:b w:val="1"/>
          <w:sz w:val="20"/>
          <w:szCs w:val="20"/>
          <w:rtl w:val="0"/>
        </w:rPr>
        <w:t xml:space="preserve">Figure X.</w:t>
      </w:r>
      <w:r w:rsidDel="00000000" w:rsidR="00000000" w:rsidRPr="00000000">
        <w:rPr>
          <w:sz w:val="20"/>
          <w:szCs w:val="20"/>
          <w:rtl w:val="0"/>
        </w:rPr>
        <w:t xml:space="preserve"> Key compounds designed to investigate </w:t>
      </w:r>
      <w:r w:rsidDel="00000000" w:rsidR="00000000" w:rsidRPr="00000000">
        <w:rPr>
          <w:i w:val="1"/>
          <w:sz w:val="20"/>
          <w:szCs w:val="20"/>
          <w:rtl w:val="0"/>
        </w:rPr>
        <w:t xml:space="preserve">in vitro </w:t>
      </w:r>
      <w:r w:rsidDel="00000000" w:rsidR="00000000" w:rsidRPr="00000000">
        <w:rPr>
          <w:sz w:val="20"/>
          <w:szCs w:val="20"/>
          <w:rtl w:val="0"/>
        </w:rPr>
        <w:t xml:space="preserve">potency, aqueous solubility and metabolic stability. *Compounds presented as enantiopure.</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spacing w:before="240" w:lineRule="auto"/>
        <w:jc w:val="both"/>
        <w:rPr/>
      </w:pPr>
      <w:r w:rsidDel="00000000" w:rsidR="00000000" w:rsidRPr="00000000">
        <w:rPr>
          <w:rtl w:val="0"/>
        </w:rPr>
        <w:t xml:space="preserve">The inherited data had mostly explored variations in the heterocyclic core and chain transposition, with the results suggesting further exploration in the variation of the pendant groups would provide the most fruitful compounds. </w:t>
      </w:r>
      <w:r w:rsidDel="00000000" w:rsidR="00000000" w:rsidRPr="00000000">
        <w:rPr>
          <w:rtl w:val="0"/>
        </w:rPr>
        <w:t xml:space="preserve">The</w:t>
      </w:r>
      <w:r w:rsidDel="00000000" w:rsidR="00000000" w:rsidRPr="00000000">
        <w:rPr>
          <w:rtl w:val="0"/>
        </w:rPr>
        <w:t xml:space="preserve"> importance of the triazolopyrazine core was established </w:t>
      </w:r>
      <w:r w:rsidDel="00000000" w:rsidR="00000000" w:rsidRPr="00000000">
        <w:rPr>
          <w:i w:val="1"/>
          <w:rtl w:val="0"/>
        </w:rPr>
        <w:t xml:space="preserve">via</w:t>
      </w:r>
      <w:r w:rsidDel="00000000" w:rsidR="00000000" w:rsidRPr="00000000">
        <w:rPr>
          <w:rtl w:val="0"/>
        </w:rPr>
        <w:t xml:space="preserve"> a number of analogues. A loss in potency was observed upon systematic replacement of the core triazole nitrogens with –CH groups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Additional substitution at the 8-position with a methyl group (</w:t>
      </w:r>
      <w:r w:rsidDel="00000000" w:rsidR="00000000" w:rsidRPr="00000000">
        <w:rPr>
          <w:b w:val="1"/>
          <w:rtl w:val="0"/>
        </w:rPr>
        <w:t xml:space="preserve">X</w:t>
      </w:r>
      <w:r w:rsidDel="00000000" w:rsidR="00000000" w:rsidRPr="00000000">
        <w:rPr>
          <w:rtl w:val="0"/>
        </w:rPr>
        <w:t xml:space="preserve">) also led to a significant loss in activity. Transposition of the ether side chain from the 5-position to the 6-position (</w:t>
      </w:r>
      <w:r w:rsidDel="00000000" w:rsidR="00000000" w:rsidRPr="00000000">
        <w:rPr>
          <w:b w:val="1"/>
          <w:rtl w:val="0"/>
        </w:rPr>
        <w:t xml:space="preserve">X</w:t>
      </w:r>
      <w:r w:rsidDel="00000000" w:rsidR="00000000" w:rsidRPr="00000000">
        <w:rPr>
          <w:rtl w:val="0"/>
        </w:rPr>
        <w:t xml:space="preserve">) was well tolerated, however subsequent transposition of the pyrazine nitrogen (</w:t>
      </w:r>
      <w:r w:rsidDel="00000000" w:rsidR="00000000" w:rsidRPr="00000000">
        <w:rPr>
          <w:b w:val="1"/>
          <w:rtl w:val="0"/>
        </w:rPr>
        <w:t xml:space="preserve">X</w:t>
      </w:r>
      <w:r w:rsidDel="00000000" w:rsidR="00000000" w:rsidRPr="00000000">
        <w:rPr>
          <w:rtl w:val="0"/>
        </w:rPr>
        <w:t xml:space="preserve">) led to a large reduction in potency. Transposition of the ether side chain to the 8-position has also been shown to result in inactive compounds </w:t>
      </w:r>
      <w:r w:rsidDel="00000000" w:rsidR="00000000" w:rsidRPr="00000000">
        <w:rPr>
          <w:highlight w:val="yellow"/>
          <w:rtl w:val="0"/>
        </w:rPr>
        <w:t xml:space="preserve">[insert ref to </w:t>
      </w:r>
      <w:r w:rsidDel="00000000" w:rsidR="00000000" w:rsidRPr="00000000">
        <w:rPr>
          <w:highlight w:val="yellow"/>
          <w:rtl w:val="0"/>
        </w:rPr>
        <w:t xml:space="preserve">tele-sub paper</w:t>
      </w:r>
      <w:r w:rsidDel="00000000" w:rsidR="00000000" w:rsidRPr="00000000">
        <w:rPr>
          <w:highlight w:val="yellow"/>
          <w:rtl w:val="0"/>
        </w:rPr>
        <w:t xml:space="preserve"> when available]</w:t>
      </w:r>
      <w:r w:rsidDel="00000000" w:rsidR="00000000" w:rsidRPr="00000000">
        <w:rPr>
          <w:rtl w:val="0"/>
        </w:rPr>
        <w:t xml:space="preserve">.</w:t>
      </w:r>
    </w:p>
    <w:p w:rsidR="00000000" w:rsidDel="00000000" w:rsidP="00000000" w:rsidRDefault="00000000" w:rsidRPr="00000000" w14:paraId="00000036">
      <w:pPr>
        <w:spacing w:before="240" w:lineRule="auto"/>
        <w:jc w:val="both"/>
        <w:rPr/>
      </w:pPr>
      <w:r w:rsidDel="00000000" w:rsidR="00000000" w:rsidRPr="00000000">
        <w:rPr>
          <w:rtl w:val="0"/>
        </w:rPr>
        <w:t xml:space="preserve">The identity and length of the linker unit between the 5-position aryl group and the triazolopyrazine core proved influential on antimalarial activity. An ether linker with two methylene units between it and the pendant phenyl ring (</w:t>
      </w:r>
      <w:r w:rsidDel="00000000" w:rsidR="00000000" w:rsidRPr="00000000">
        <w:rPr>
          <w:b w:val="1"/>
          <w:rtl w:val="0"/>
        </w:rPr>
        <w:t xml:space="preserve">X</w:t>
      </w:r>
      <w:r w:rsidDel="00000000" w:rsidR="00000000" w:rsidRPr="00000000">
        <w:rPr>
          <w:rtl w:val="0"/>
        </w:rPr>
        <w:t xml:space="preserve">) was ideal, with longer or shorter chain lengths resulting in reduced </w:t>
      </w:r>
      <w:r w:rsidDel="00000000" w:rsidR="00000000" w:rsidRPr="00000000">
        <w:rPr>
          <w:rtl w:val="0"/>
        </w:rPr>
        <w:t xml:space="preserve">activity</w:t>
      </w:r>
      <w:r w:rsidDel="00000000" w:rsidR="00000000" w:rsidRPr="00000000">
        <w:rPr>
          <w:rtl w:val="0"/>
        </w:rPr>
        <w:t xml:space="preserve"> (Tse 2020, DOI: 10.1021/acs.jmedchem.0c00746). A significant loss in potency was seen upon replacement of the ether linker with a thioether (</w:t>
      </w:r>
      <w:r w:rsidDel="00000000" w:rsidR="00000000" w:rsidRPr="00000000">
        <w:rPr>
          <w:b w:val="1"/>
          <w:rtl w:val="0"/>
        </w:rPr>
        <w:t xml:space="preserve">X</w:t>
      </w:r>
      <w:r w:rsidDel="00000000" w:rsidR="00000000" w:rsidRPr="00000000">
        <w:rPr>
          <w:rtl w:val="0"/>
        </w:rPr>
        <w:t xml:space="preserve">), sulfoxide (</w:t>
      </w:r>
      <w:r w:rsidDel="00000000" w:rsidR="00000000" w:rsidRPr="00000000">
        <w:rPr>
          <w:b w:val="1"/>
          <w:rtl w:val="0"/>
        </w:rPr>
        <w:t xml:space="preserve">X</w:t>
      </w:r>
      <w:r w:rsidDel="00000000" w:rsidR="00000000" w:rsidRPr="00000000">
        <w:rPr>
          <w:rtl w:val="0"/>
        </w:rPr>
        <w:t xml:space="preserve">), sulfone (</w:t>
      </w:r>
      <w:r w:rsidDel="00000000" w:rsidR="00000000" w:rsidRPr="00000000">
        <w:rPr>
          <w:b w:val="1"/>
          <w:rtl w:val="0"/>
        </w:rPr>
        <w:t xml:space="preserve">X</w:t>
      </w:r>
      <w:r w:rsidDel="00000000" w:rsidR="00000000" w:rsidRPr="00000000">
        <w:rPr>
          <w:rtl w:val="0"/>
        </w:rPr>
        <w:t xml:space="preserve">) or amine (</w:t>
      </w:r>
      <w:r w:rsidDel="00000000" w:rsidR="00000000" w:rsidRPr="00000000">
        <w:rPr>
          <w:b w:val="1"/>
          <w:rtl w:val="0"/>
        </w:rPr>
        <w:t xml:space="preserve">X</w:t>
      </w:r>
      <w:r w:rsidDel="00000000" w:rsidR="00000000" w:rsidRPr="00000000">
        <w:rPr>
          <w:rtl w:val="0"/>
        </w:rPr>
        <w:t xml:space="preserve">) linker; other heterocyclic or </w:t>
      </w:r>
      <w:r w:rsidDel="00000000" w:rsidR="00000000" w:rsidRPr="00000000">
        <w:rPr>
          <w:rtl w:val="0"/>
        </w:rPr>
        <w:t xml:space="preserve">reverse amide linkers</w:t>
      </w:r>
      <w:r w:rsidDel="00000000" w:rsidR="00000000" w:rsidRPr="00000000">
        <w:rPr>
          <w:rtl w:val="0"/>
        </w:rPr>
        <w:t xml:space="preserve"> were also inactive (</w:t>
      </w:r>
      <w:r w:rsidDel="00000000" w:rsidR="00000000" w:rsidRPr="00000000">
        <w:rPr>
          <w:b w:val="1"/>
          <w:highlight w:val="yellow"/>
          <w:rtl w:val="0"/>
        </w:rPr>
        <w:t xml:space="preserve">Table SX</w:t>
      </w:r>
      <w:r w:rsidDel="00000000" w:rsidR="00000000" w:rsidRPr="00000000">
        <w:rPr>
          <w:rtl w:val="0"/>
        </w:rPr>
        <w:t xml:space="preserve">). Interestingly, exchanging the heteroatom with an additional methylene group (</w:t>
      </w:r>
      <w:r w:rsidDel="00000000" w:rsidR="00000000" w:rsidRPr="00000000">
        <w:rPr>
          <w:b w:val="1"/>
          <w:rtl w:val="0"/>
        </w:rPr>
        <w:t xml:space="preserve">X</w:t>
      </w:r>
      <w:r w:rsidDel="00000000" w:rsidR="00000000" w:rsidRPr="00000000">
        <w:rPr>
          <w:rtl w:val="0"/>
        </w:rPr>
        <w:t xml:space="preserve">) was well tolerated; however, this change was accompanied by an increase in cLogP (from 3.15 to 3.73). In certain cases, an amide linker was shown to be beneficial to </w:t>
      </w:r>
      <w:r w:rsidDel="00000000" w:rsidR="00000000" w:rsidRPr="00000000">
        <w:rPr>
          <w:i w:val="1"/>
          <w:rtl w:val="0"/>
        </w:rPr>
        <w:t xml:space="preserve">in vitro</w:t>
      </w:r>
      <w:r w:rsidDel="00000000" w:rsidR="00000000" w:rsidRPr="00000000">
        <w:rPr>
          <w:rtl w:val="0"/>
        </w:rPr>
        <w:t xml:space="preserve"> activity. The analogues containing </w:t>
      </w:r>
      <w:r w:rsidDel="00000000" w:rsidR="00000000" w:rsidRPr="00000000">
        <w:rPr>
          <w:i w:val="1"/>
          <w:rtl w:val="0"/>
        </w:rPr>
        <w:t xml:space="preserve">meta</w:t>
      </w:r>
      <w:r w:rsidDel="00000000" w:rsidR="00000000" w:rsidRPr="00000000">
        <w:rPr>
          <w:rtl w:val="0"/>
        </w:rPr>
        <w:t xml:space="preserve">-substituted phenyl rings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showed good activities that were comparable to the ether-linked compound </w:t>
      </w:r>
      <w:r w:rsidDel="00000000" w:rsidR="00000000" w:rsidRPr="00000000">
        <w:rPr>
          <w:b w:val="1"/>
          <w:rtl w:val="0"/>
        </w:rPr>
        <w:t xml:space="preserve">X</w:t>
      </w:r>
      <w:r w:rsidDel="00000000" w:rsidR="00000000" w:rsidRPr="00000000">
        <w:rPr>
          <w:rtl w:val="0"/>
        </w:rPr>
        <w:t xml:space="preserve">. Compounds with </w:t>
      </w:r>
      <w:r w:rsidDel="00000000" w:rsidR="00000000" w:rsidRPr="00000000">
        <w:rPr>
          <w:i w:val="1"/>
          <w:rtl w:val="0"/>
        </w:rPr>
        <w:t xml:space="preserve">ortho</w:t>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t xml:space="preserve">), </w:t>
      </w:r>
      <w:r w:rsidDel="00000000" w:rsidR="00000000" w:rsidRPr="00000000">
        <w:rPr>
          <w:i w:val="1"/>
          <w:rtl w:val="0"/>
        </w:rPr>
        <w:t xml:space="preserve">para</w:t>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t xml:space="preserve">) or no (</w:t>
      </w:r>
      <w:r w:rsidDel="00000000" w:rsidR="00000000" w:rsidRPr="00000000">
        <w:rPr>
          <w:b w:val="1"/>
          <w:rtl w:val="0"/>
        </w:rPr>
        <w:t xml:space="preserve">X</w:t>
      </w:r>
      <w:r w:rsidDel="00000000" w:rsidR="00000000" w:rsidRPr="00000000">
        <w:rPr>
          <w:rtl w:val="0"/>
        </w:rPr>
        <w:t xml:space="preserve">) substitution were significantly less active. Amide compounds derived from secondary amines (</w:t>
      </w:r>
      <w:r w:rsidDel="00000000" w:rsidR="00000000" w:rsidRPr="00000000">
        <w:rPr>
          <w:b w:val="1"/>
          <w:highlight w:val="yellow"/>
          <w:rtl w:val="0"/>
        </w:rPr>
        <w:t xml:space="preserve">Table SX</w:t>
      </w:r>
      <w:r w:rsidDel="00000000" w:rsidR="00000000" w:rsidRPr="00000000">
        <w:rPr>
          <w:rtl w:val="0"/>
        </w:rPr>
        <w:t xml:space="preserve">) were also inactive. While certain amide compounds showed good activity, early exploration of hERG binding (</w:t>
      </w:r>
      <w:r w:rsidDel="00000000" w:rsidR="00000000" w:rsidRPr="00000000">
        <w:rPr>
          <w:i w:val="1"/>
          <w:rtl w:val="0"/>
        </w:rPr>
        <w:t xml:space="preserve">vide infra</w:t>
      </w:r>
      <w:r w:rsidDel="00000000" w:rsidR="00000000" w:rsidRPr="00000000">
        <w:rPr>
          <w:rtl w:val="0"/>
        </w:rPr>
        <w:t xml:space="preserve">) suggested the amide linker introduced a liability. As a result, the amide sub-series was de-prioritised.</w:t>
      </w:r>
    </w:p>
    <w:p w:rsidR="00000000" w:rsidDel="00000000" w:rsidP="00000000" w:rsidRDefault="00000000" w:rsidRPr="00000000" w14:paraId="00000037">
      <w:pPr>
        <w:spacing w:before="240" w:lineRule="auto"/>
        <w:jc w:val="both"/>
        <w:rPr/>
      </w:pPr>
      <w:r w:rsidDel="00000000" w:rsidR="00000000" w:rsidRPr="00000000">
        <w:rPr>
          <w:rtl w:val="0"/>
        </w:rPr>
        <w:t xml:space="preserve">As a general trend throughout the series as a whole, replacement of the northwest pendant phenyl ring in </w:t>
      </w:r>
      <w:r w:rsidDel="00000000" w:rsidR="00000000" w:rsidRPr="00000000">
        <w:rPr>
          <w:b w:val="1"/>
          <w:rtl w:val="0"/>
        </w:rPr>
        <w:t xml:space="preserve">X </w:t>
      </w:r>
      <w:r w:rsidDel="00000000" w:rsidR="00000000" w:rsidRPr="00000000">
        <w:rPr>
          <w:rtl w:val="0"/>
        </w:rPr>
        <w:t xml:space="preserve">with a 3,4-difluorophenyl substitution pattern (</w:t>
      </w:r>
      <w:r w:rsidDel="00000000" w:rsidR="00000000" w:rsidRPr="00000000">
        <w:rPr>
          <w:b w:val="1"/>
          <w:rtl w:val="0"/>
        </w:rPr>
        <w:t xml:space="preserve">X</w:t>
      </w:r>
      <w:r w:rsidDel="00000000" w:rsidR="00000000" w:rsidRPr="00000000">
        <w:rPr>
          <w:rtl w:val="0"/>
        </w:rPr>
        <w:t xml:space="preserve">) resulted in increased activity. </w:t>
      </w:r>
      <w:r w:rsidDel="00000000" w:rsidR="00000000" w:rsidRPr="00000000">
        <w:rPr>
          <w:i w:val="1"/>
          <w:rtl w:val="0"/>
        </w:rPr>
        <w:t xml:space="preserve">Meta</w:t>
      </w:r>
      <w:r w:rsidDel="00000000" w:rsidR="00000000" w:rsidRPr="00000000">
        <w:rPr>
          <w:rtl w:val="0"/>
        </w:rPr>
        <w:t xml:space="preserve">-substitution alone was well tolerated as seen with the methyl (</w:t>
      </w:r>
      <w:r w:rsidDel="00000000" w:rsidR="00000000" w:rsidRPr="00000000">
        <w:rPr>
          <w:b w:val="1"/>
          <w:rtl w:val="0"/>
        </w:rPr>
        <w:t xml:space="preserve">X</w:t>
      </w:r>
      <w:r w:rsidDel="00000000" w:rsidR="00000000" w:rsidRPr="00000000">
        <w:rPr>
          <w:rtl w:val="0"/>
        </w:rPr>
        <w:t xml:space="preserve">) and benzyl (</w:t>
      </w:r>
      <w:r w:rsidDel="00000000" w:rsidR="00000000" w:rsidRPr="00000000">
        <w:rPr>
          <w:b w:val="1"/>
          <w:rtl w:val="0"/>
        </w:rPr>
        <w:t xml:space="preserve">X</w:t>
      </w:r>
      <w:r w:rsidDel="00000000" w:rsidR="00000000" w:rsidRPr="00000000">
        <w:rPr>
          <w:rtl w:val="0"/>
        </w:rPr>
        <w:t xml:space="preserve">) ethers, while </w:t>
      </w:r>
      <w:r w:rsidDel="00000000" w:rsidR="00000000" w:rsidRPr="00000000">
        <w:rPr>
          <w:i w:val="1"/>
          <w:rtl w:val="0"/>
        </w:rPr>
        <w:t xml:space="preserve">para</w:t>
      </w:r>
      <w:r w:rsidDel="00000000" w:rsidR="00000000" w:rsidRPr="00000000">
        <w:rPr>
          <w:rtl w:val="0"/>
        </w:rPr>
        <w:t xml:space="preserve">-substitution was much less favourable (as for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As part of a separate investigation, a series of compounds in which the pendant phenyl ring was replaced with saturated heterocycles and hydrocarbon cages were made in an attempt to improve solubility and metabolic stability </w:t>
      </w:r>
      <w:r w:rsidDel="00000000" w:rsidR="00000000" w:rsidRPr="00000000">
        <w:rPr>
          <w:i w:val="1"/>
          <w:rtl w:val="0"/>
        </w:rPr>
        <w:t xml:space="preserve">via</w:t>
      </w:r>
      <w:r w:rsidDel="00000000" w:rsidR="00000000" w:rsidRPr="00000000">
        <w:rPr>
          <w:rtl w:val="0"/>
        </w:rPr>
        <w:t xml:space="preserve"> deplanarisation and dearomatisation. Such changes generally resulted in reduced efficacy, with a small number of notable exceptions (Tse 2020, DOI: 10.1021/acs.jmedchem.0c00746).</w:t>
      </w:r>
    </w:p>
    <w:p w:rsidR="00000000" w:rsidDel="00000000" w:rsidP="00000000" w:rsidRDefault="00000000" w:rsidRPr="00000000" w14:paraId="00000038">
      <w:pPr>
        <w:spacing w:before="240" w:lineRule="auto"/>
        <w:jc w:val="both"/>
        <w:rPr/>
      </w:pPr>
      <w:r w:rsidDel="00000000" w:rsidR="00000000" w:rsidRPr="00000000">
        <w:rPr>
          <w:rtl w:val="0"/>
        </w:rPr>
        <w:t xml:space="preserve">The triazole 3-position substituent (northeast pendant phenyl) was seen to be highly sensitive to substitution. Generally, </w:t>
      </w:r>
      <w:r w:rsidDel="00000000" w:rsidR="00000000" w:rsidRPr="00000000">
        <w:rPr>
          <w:i w:val="1"/>
          <w:rtl w:val="0"/>
        </w:rPr>
        <w:t xml:space="preserve">meta</w:t>
      </w:r>
      <w:r w:rsidDel="00000000" w:rsidR="00000000" w:rsidRPr="00000000">
        <w:rPr>
          <w:rtl w:val="0"/>
        </w:rPr>
        <w:t xml:space="preserve">-substituted phenyl rings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were tolerated worse than </w:t>
      </w:r>
      <w:r w:rsidDel="00000000" w:rsidR="00000000" w:rsidRPr="00000000">
        <w:rPr>
          <w:i w:val="1"/>
          <w:rtl w:val="0"/>
        </w:rPr>
        <w:t xml:space="preserve">para</w:t>
      </w:r>
      <w:r w:rsidDel="00000000" w:rsidR="00000000" w:rsidRPr="00000000">
        <w:rPr>
          <w:rtl w:val="0"/>
        </w:rPr>
        <w:t xml:space="preserve">-substituted phenyl rings. Substitution with amines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was poorly tolerated, as was carboxylic acid (</w:t>
      </w:r>
      <w:r w:rsidDel="00000000" w:rsidR="00000000" w:rsidRPr="00000000">
        <w:rPr>
          <w:b w:val="1"/>
          <w:rtl w:val="0"/>
        </w:rPr>
        <w:t xml:space="preserve">X</w:t>
      </w:r>
      <w:r w:rsidDel="00000000" w:rsidR="00000000" w:rsidRPr="00000000">
        <w:rPr>
          <w:rtl w:val="0"/>
        </w:rPr>
        <w:t xml:space="preserve">), amide (</w:t>
      </w:r>
      <w:r w:rsidDel="00000000" w:rsidR="00000000" w:rsidRPr="00000000">
        <w:rPr>
          <w:b w:val="1"/>
          <w:rtl w:val="0"/>
        </w:rPr>
        <w:t xml:space="preserve">X</w:t>
      </w:r>
      <w:r w:rsidDel="00000000" w:rsidR="00000000" w:rsidRPr="00000000">
        <w:rPr>
          <w:rtl w:val="0"/>
        </w:rPr>
        <w:t xml:space="preserve">) and sulfonamide (</w:t>
      </w:r>
      <w:r w:rsidDel="00000000" w:rsidR="00000000" w:rsidRPr="00000000">
        <w:rPr>
          <w:b w:val="1"/>
          <w:rtl w:val="0"/>
        </w:rPr>
        <w:t xml:space="preserve">X</w:t>
      </w:r>
      <w:r w:rsidDel="00000000" w:rsidR="00000000" w:rsidRPr="00000000">
        <w:rPr>
          <w:rtl w:val="0"/>
        </w:rPr>
        <w:t xml:space="preserve">) substitution. Despite evidence that on related scaffolds, a </w:t>
      </w:r>
      <w:r w:rsidDel="00000000" w:rsidR="00000000" w:rsidRPr="00000000">
        <w:rPr>
          <w:i w:val="1"/>
          <w:rtl w:val="0"/>
        </w:rPr>
        <w:t xml:space="preserve">para</w:t>
      </w:r>
      <w:r w:rsidDel="00000000" w:rsidR="00000000" w:rsidRPr="00000000">
        <w:rPr>
          <w:rtl w:val="0"/>
        </w:rPr>
        <w:t xml:space="preserve">-methylsulfone substituent on the phenyl ring would result in highly potent compounds (Manach et al 2014, DOI: 10.1021/jm500098s and Manach et al 2015, DOI: 10.1021/acs.jmedchem.5b01605), these analogs were inactive in this series (</w:t>
      </w:r>
      <w:r w:rsidDel="00000000" w:rsidR="00000000" w:rsidRPr="00000000">
        <w:rPr>
          <w:b w:val="1"/>
          <w:highlight w:val="yellow"/>
          <w:rtl w:val="0"/>
        </w:rPr>
        <w:t xml:space="preserve">Table SX</w:t>
      </w:r>
      <w:r w:rsidDel="00000000" w:rsidR="00000000" w:rsidRPr="00000000">
        <w:rPr>
          <w:rtl w:val="0"/>
        </w:rPr>
        <w:t xml:space="preserve">). </w:t>
      </w:r>
      <w:r w:rsidDel="00000000" w:rsidR="00000000" w:rsidRPr="00000000">
        <w:rPr>
          <w:rtl w:val="0"/>
        </w:rPr>
        <w:t xml:space="preserve">In keeping with the goal of improving metabolic clearance and solubility, saturated and unsaturated heterocycles were assayed in this position</w:t>
      </w:r>
      <w:r w:rsidDel="00000000" w:rsidR="00000000" w:rsidRPr="00000000">
        <w:rPr>
          <w:rtl w:val="0"/>
        </w:rPr>
        <w:t xml:space="preserve">. Although these compounds usually resulted in lower clogP, they were generally inactive (</w:t>
      </w:r>
      <w:r w:rsidDel="00000000" w:rsidR="00000000" w:rsidRPr="00000000">
        <w:rPr>
          <w:b w:val="1"/>
          <w:highlight w:val="yellow"/>
          <w:rtl w:val="0"/>
        </w:rPr>
        <w:t xml:space="preserve">Table SX</w:t>
      </w:r>
      <w:r w:rsidDel="00000000" w:rsidR="00000000" w:rsidRPr="00000000">
        <w:rPr>
          <w:rtl w:val="0"/>
        </w:rPr>
        <w:t xml:space="preserve">).</w:t>
      </w:r>
    </w:p>
    <w:p w:rsidR="00000000" w:rsidDel="00000000" w:rsidP="00000000" w:rsidRDefault="00000000" w:rsidRPr="00000000" w14:paraId="00000039">
      <w:pPr>
        <w:spacing w:before="240" w:lineRule="auto"/>
        <w:jc w:val="both"/>
        <w:rPr/>
      </w:pPr>
      <w:r w:rsidDel="00000000" w:rsidR="00000000" w:rsidRPr="00000000">
        <w:rPr>
          <w:rtl w:val="0"/>
        </w:rPr>
        <w:t xml:space="preserve">Finally, benzylic substituted analogues were designed to mitigate a potential metabolic liability at this position and improve solubility. These modifications were overall beneficial, with many compounds showing sub-micromolar activity. The most notable benzylic substitutions are with alcohols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fluorine (</w:t>
      </w:r>
      <w:r w:rsidDel="00000000" w:rsidR="00000000" w:rsidRPr="00000000">
        <w:rPr>
          <w:b w:val="1"/>
          <w:rtl w:val="0"/>
        </w:rPr>
        <w:t xml:space="preserve">X</w:t>
      </w:r>
      <w:r w:rsidDel="00000000" w:rsidR="00000000" w:rsidRPr="00000000">
        <w:rPr>
          <w:rtl w:val="0"/>
        </w:rPr>
        <w:t xml:space="preserve">) and dimethylamine (</w:t>
      </w:r>
      <w:r w:rsidDel="00000000" w:rsidR="00000000" w:rsidRPr="00000000">
        <w:rPr>
          <w:b w:val="1"/>
          <w:rtl w:val="0"/>
        </w:rPr>
        <w:t xml:space="preserve">X</w:t>
      </w:r>
      <w:r w:rsidDel="00000000" w:rsidR="00000000" w:rsidRPr="00000000">
        <w:rPr>
          <w:rtl w:val="0"/>
        </w:rPr>
        <w:t xml:space="preserve">), which all showed improved activity over the compound with the unsubstituted ethylene linker (</w:t>
      </w:r>
      <w:r w:rsidDel="00000000" w:rsidR="00000000" w:rsidRPr="00000000">
        <w:rPr>
          <w:b w:val="1"/>
          <w:rtl w:val="0"/>
        </w:rPr>
        <w:t xml:space="preserve">X</w:t>
      </w:r>
      <w:r w:rsidDel="00000000" w:rsidR="00000000" w:rsidRPr="00000000">
        <w:rPr>
          <w:rtl w:val="0"/>
        </w:rPr>
        <w:t xml:space="preserve">). In addition, the installation of alcohols translated to improved clogP and LLE &gt;4 (</w:t>
      </w:r>
      <w:r w:rsidDel="00000000" w:rsidR="00000000" w:rsidRPr="00000000">
        <w:rPr>
          <w:b w:val="1"/>
          <w:highlight w:val="yellow"/>
          <w:rtl w:val="0"/>
        </w:rPr>
        <w:t xml:space="preserve">Table SX</w:t>
      </w:r>
      <w:r w:rsidDel="00000000" w:rsidR="00000000" w:rsidRPr="00000000">
        <w:rPr>
          <w:rtl w:val="0"/>
        </w:rPr>
        <w:t xml:space="preserve">). On the other hand, other modifications were clearly detrimental to potency, such as the installation of a carboxylic acid at this position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3A">
      <w:pPr>
        <w:spacing w:before="240" w:lineRule="auto"/>
        <w:jc w:val="both"/>
        <w:rPr/>
      </w:pPr>
      <w:r w:rsidDel="00000000" w:rsidR="00000000" w:rsidRPr="00000000">
        <w:rPr>
          <w:rtl w:val="0"/>
        </w:rPr>
        <w:t xml:space="preserve">In summary, a number of key motifs are required to maintain activity. The triazolopyrazine core is essential for activity with any modification resulting in a loss of </w:t>
      </w:r>
      <w:r w:rsidDel="00000000" w:rsidR="00000000" w:rsidRPr="00000000">
        <w:rPr>
          <w:i w:val="1"/>
          <w:rtl w:val="0"/>
        </w:rPr>
        <w:t xml:space="preserve">P. falciparum</w:t>
      </w:r>
      <w:r w:rsidDel="00000000" w:rsidR="00000000" w:rsidRPr="00000000">
        <w:rPr>
          <w:rtl w:val="0"/>
        </w:rPr>
        <w:t xml:space="preserve"> activity. A pendant aromatic ring at the 5-position of the core is required for activity, with the 3,4-difluoro being the preferred substitution pattern. </w:t>
      </w:r>
      <w:r w:rsidDel="00000000" w:rsidR="00000000" w:rsidRPr="00000000">
        <w:rPr>
          <w:i w:val="1"/>
          <w:rtl w:val="0"/>
        </w:rPr>
        <w:t xml:space="preserve">Para</w:t>
      </w:r>
      <w:r w:rsidDel="00000000" w:rsidR="00000000" w:rsidRPr="00000000">
        <w:rPr>
          <w:rtl w:val="0"/>
        </w:rPr>
        <w:t xml:space="preserve">-substituted aromatic rings were most beneficial for activity at the 3-position. The linker tolerated a number of modifications, with primary alcohols at the benzylic position providing an improvement in both potency and clogP.</w:t>
      </w:r>
    </w:p>
    <w:p w:rsidR="00000000" w:rsidDel="00000000" w:rsidP="00000000" w:rsidRDefault="00000000" w:rsidRPr="00000000" w14:paraId="0000003B">
      <w:pPr>
        <w:spacing w:before="240" w:lineRule="auto"/>
        <w:jc w:val="both"/>
        <w:rPr>
          <w:i w:val="1"/>
        </w:rPr>
      </w:pPr>
      <w:r w:rsidDel="00000000" w:rsidR="00000000" w:rsidRPr="00000000">
        <w:rPr>
          <w:i w:val="1"/>
          <w:rtl w:val="0"/>
        </w:rPr>
        <w:t xml:space="preserve">hERG Liability</w:t>
      </w:r>
    </w:p>
    <w:p w:rsidR="00000000" w:rsidDel="00000000" w:rsidP="00000000" w:rsidRDefault="00000000" w:rsidRPr="00000000" w14:paraId="0000003C">
      <w:pPr>
        <w:spacing w:before="240" w:lineRule="auto"/>
        <w:jc w:val="both"/>
        <w:rPr>
          <w:i w:val="1"/>
        </w:rPr>
      </w:pPr>
      <w:r w:rsidDel="00000000" w:rsidR="00000000" w:rsidRPr="00000000">
        <w:rPr>
          <w:rtl w:val="0"/>
        </w:rPr>
        <w:t xml:space="preserve">Two inherited compounds (</w:t>
      </w:r>
      <w:r w:rsidDel="00000000" w:rsidR="00000000" w:rsidRPr="00000000">
        <w:rPr>
          <w:b w:val="1"/>
          <w:rtl w:val="0"/>
        </w:rPr>
        <w:t xml:space="preserve">MMV669844</w:t>
      </w:r>
      <w:r w:rsidDel="00000000" w:rsidR="00000000" w:rsidRPr="00000000">
        <w:rPr>
          <w:rtl w:val="0"/>
        </w:rPr>
        <w:t xml:space="preserve"> and </w:t>
      </w:r>
      <w:r w:rsidDel="00000000" w:rsidR="00000000" w:rsidRPr="00000000">
        <w:rPr>
          <w:b w:val="1"/>
          <w:rtl w:val="0"/>
        </w:rPr>
        <w:t xml:space="preserve">MMV670944</w:t>
      </w:r>
      <w:r w:rsidDel="00000000" w:rsidR="00000000" w:rsidRPr="00000000">
        <w:rPr>
          <w:rtl w:val="0"/>
        </w:rPr>
        <w:t xml:space="preserve">) had been evaluated for hERG activity, with both shown relatively high levels of hERG affinity. Upon further investigation with a number of additional compounds, the amide-linked compounds were found to provide higher levels of hERG binding than the ether-linked </w:t>
      </w:r>
      <w:r w:rsidDel="00000000" w:rsidR="00000000" w:rsidRPr="00000000">
        <w:rPr>
          <w:rtl w:val="0"/>
        </w:rPr>
        <w:t xml:space="preserve">compounds</w:t>
      </w:r>
      <w:r w:rsidDel="00000000" w:rsidR="00000000" w:rsidRPr="00000000">
        <w:rPr>
          <w:rtl w:val="0"/>
        </w:rPr>
        <w:t xml:space="preserve">.</w:t>
        <w:br w:type="textWrapping"/>
      </w:r>
      <w:r w:rsidDel="00000000" w:rsidR="00000000" w:rsidRPr="00000000">
        <w:rPr>
          <w:rtl w:val="0"/>
        </w:rPr>
        <w:br w:type="textWrapping"/>
      </w:r>
      <w:r w:rsidDel="00000000" w:rsidR="00000000" w:rsidRPr="00000000">
        <w:rPr>
          <w:i w:val="1"/>
          <w:rtl w:val="0"/>
        </w:rPr>
        <w:t xml:space="preserve">Metabolism and solubility.</w:t>
      </w:r>
      <w:r w:rsidDel="00000000" w:rsidR="00000000" w:rsidRPr="00000000">
        <w:rPr>
          <w:rtl w:val="0"/>
        </w:rPr>
      </w:r>
    </w:p>
    <w:p w:rsidR="00000000" w:rsidDel="00000000" w:rsidP="00000000" w:rsidRDefault="00000000" w:rsidRPr="00000000" w14:paraId="0000003D">
      <w:pPr>
        <w:ind w:left="0" w:firstLine="0"/>
        <w:rPr>
          <w:i w:val="1"/>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A number of key compounds from the SAR investigations were evaluated for their metabolic and physicochemical properties (Table X). </w:t>
      </w:r>
      <w:r w:rsidDel="00000000" w:rsidR="00000000" w:rsidRPr="00000000">
        <w:rPr>
          <w:rtl w:val="0"/>
        </w:rPr>
        <w:t xml:space="preserve">Many of these compounds showed improved clearance and solubility over </w:t>
      </w:r>
      <w:r w:rsidDel="00000000" w:rsidR="00000000" w:rsidRPr="00000000">
        <w:rPr>
          <w:b w:val="1"/>
          <w:rtl w:val="0"/>
        </w:rPr>
        <w:t xml:space="preserve">MMV897698</w:t>
      </w:r>
      <w:r w:rsidDel="00000000" w:rsidR="00000000" w:rsidRPr="00000000">
        <w:rPr>
          <w:rtl w:val="0"/>
        </w:rPr>
        <w:t xml:space="preserve">, showing that it is possible to </w:t>
      </w:r>
      <w:r w:rsidDel="00000000" w:rsidR="00000000" w:rsidRPr="00000000">
        <w:rPr>
          <w:rtl w:val="0"/>
        </w:rPr>
        <w:t xml:space="preserve">meet the PK/PD MMV progression criteria</w:t>
      </w:r>
      <w:r w:rsidDel="00000000" w:rsidR="00000000" w:rsidRPr="00000000">
        <w:rPr>
          <w:rtl w:val="0"/>
        </w:rPr>
        <w:t xml:space="preserve"> in this series. Amide </w:t>
      </w:r>
      <w:r w:rsidDel="00000000" w:rsidR="00000000" w:rsidRPr="00000000">
        <w:rPr>
          <w:b w:val="1"/>
          <w:rtl w:val="0"/>
        </w:rPr>
        <w:t xml:space="preserve">MMV670944 </w:t>
      </w:r>
      <w:r w:rsidDel="00000000" w:rsidR="00000000" w:rsidRPr="00000000">
        <w:rPr>
          <w:rtl w:val="0"/>
        </w:rPr>
        <w:t xml:space="preserve">stands out with particularly high half-life and solubility; in addition, </w:t>
      </w:r>
      <w:r w:rsidDel="00000000" w:rsidR="00000000" w:rsidRPr="00000000">
        <w:rPr>
          <w:rtl w:val="0"/>
        </w:rPr>
        <w:t xml:space="preserve">compounds containing benzylic </w:t>
      </w:r>
      <w:r w:rsidDel="00000000" w:rsidR="00000000" w:rsidRPr="00000000">
        <w:rPr>
          <w:rtl w:val="0"/>
        </w:rPr>
        <w:t xml:space="preserve">alcohols (</w:t>
      </w:r>
      <w:r w:rsidDel="00000000" w:rsidR="00000000" w:rsidRPr="00000000">
        <w:rPr>
          <w:b w:val="1"/>
          <w:rtl w:val="0"/>
        </w:rPr>
        <w:t xml:space="preserve">MMV688896</w:t>
      </w:r>
      <w:r w:rsidDel="00000000" w:rsidR="00000000" w:rsidRPr="00000000">
        <w:rPr>
          <w:rtl w:val="0"/>
        </w:rPr>
        <w:t xml:space="preserve">, </w:t>
      </w:r>
      <w:r w:rsidDel="00000000" w:rsidR="00000000" w:rsidRPr="00000000">
        <w:rPr>
          <w:b w:val="1"/>
          <w:rtl w:val="0"/>
        </w:rPr>
        <w:t xml:space="preserve">MMV672687</w:t>
      </w:r>
      <w:r w:rsidDel="00000000" w:rsidR="00000000" w:rsidRPr="00000000">
        <w:rPr>
          <w:rtl w:val="0"/>
        </w:rPr>
        <w:t xml:space="preserve">, and </w:t>
      </w:r>
      <w:r w:rsidDel="00000000" w:rsidR="00000000" w:rsidRPr="00000000">
        <w:rPr>
          <w:b w:val="1"/>
          <w:rtl w:val="0"/>
        </w:rPr>
        <w:t xml:space="preserve">MMV693155</w:t>
      </w:r>
      <w:r w:rsidDel="00000000" w:rsidR="00000000" w:rsidRPr="00000000">
        <w:rPr>
          <w:rtl w:val="0"/>
        </w:rPr>
        <w:t xml:space="preserve">) are </w:t>
      </w:r>
      <w:r w:rsidDel="00000000" w:rsidR="00000000" w:rsidRPr="00000000">
        <w:rPr>
          <w:rtl w:val="0"/>
        </w:rPr>
        <w:t xml:space="preserve">promising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1200" cy="280670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center"/>
        <w:rPr>
          <w:i w:val="1"/>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350"/>
        <w:gridCol w:w="1395"/>
        <w:gridCol w:w="1020"/>
        <w:gridCol w:w="960"/>
        <w:gridCol w:w="990"/>
        <w:gridCol w:w="1065"/>
        <w:gridCol w:w="1485"/>
        <w:tblGridChange w:id="0">
          <w:tblGrid>
            <w:gridCol w:w="765"/>
            <w:gridCol w:w="1350"/>
            <w:gridCol w:w="1395"/>
            <w:gridCol w:w="1020"/>
            <w:gridCol w:w="960"/>
            <w:gridCol w:w="990"/>
            <w:gridCol w:w="1065"/>
            <w:gridCol w:w="1485"/>
          </w:tblGrid>
        </w:tblGridChange>
      </w:tblGrid>
      <w:tr>
        <w:trPr>
          <w:trHeight w:val="60" w:hRule="atLeast"/>
        </w:trPr>
        <w:tc>
          <w:tcPr>
            <w:vMerge w:val="restart"/>
            <w:tcBorders>
              <w:top w:color="000000" w:space="0" w:sz="18" w:val="single"/>
              <w:bottom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42">
            <w:pPr>
              <w:jc w:val="center"/>
              <w:rPr>
                <w:b w:val="1"/>
                <w:i w:val="1"/>
                <w:sz w:val="20"/>
                <w:szCs w:val="20"/>
              </w:rPr>
            </w:pPr>
            <w:r w:rsidDel="00000000" w:rsidR="00000000" w:rsidRPr="00000000">
              <w:rPr>
                <w:b w:val="1"/>
                <w:i w:val="1"/>
                <w:sz w:val="20"/>
                <w:szCs w:val="20"/>
                <w:rtl w:val="0"/>
              </w:rPr>
              <w:t xml:space="preserve">Entry</w:t>
            </w:r>
          </w:p>
        </w:tc>
        <w:tc>
          <w:tcPr>
            <w:vMerge w:val="restart"/>
            <w:tcBorders>
              <w:top w:color="000000" w:space="0" w:sz="18" w:val="single"/>
              <w:bottom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43">
            <w:pPr>
              <w:jc w:val="center"/>
              <w:rPr>
                <w:b w:val="1"/>
                <w:i w:val="1"/>
                <w:sz w:val="20"/>
                <w:szCs w:val="20"/>
              </w:rPr>
            </w:pPr>
            <w:r w:rsidDel="00000000" w:rsidR="00000000" w:rsidRPr="00000000">
              <w:rPr>
                <w:b w:val="1"/>
                <w:i w:val="1"/>
                <w:sz w:val="20"/>
                <w:szCs w:val="20"/>
                <w:rtl w:val="0"/>
              </w:rPr>
              <w:t xml:space="preserve">Compound</w:t>
            </w:r>
          </w:p>
        </w:tc>
        <w:tc>
          <w:tcPr>
            <w:vMerge w:val="restart"/>
            <w:tcBorders>
              <w:top w:color="000000" w:space="0" w:sz="18" w:val="single"/>
              <w:bottom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44">
            <w:pPr>
              <w:jc w:val="center"/>
              <w:rPr>
                <w:b w:val="1"/>
                <w:i w:val="1"/>
                <w:sz w:val="20"/>
                <w:szCs w:val="20"/>
              </w:rPr>
            </w:pPr>
            <w:r w:rsidDel="00000000" w:rsidR="00000000" w:rsidRPr="00000000">
              <w:rPr>
                <w:b w:val="1"/>
                <w:i w:val="1"/>
                <w:sz w:val="20"/>
                <w:szCs w:val="20"/>
                <w:rtl w:val="0"/>
              </w:rPr>
              <w:t xml:space="preserve">P. falciparum EC</w:t>
            </w:r>
            <w:r w:rsidDel="00000000" w:rsidR="00000000" w:rsidRPr="00000000">
              <w:rPr>
                <w:b w:val="1"/>
                <w:i w:val="1"/>
                <w:sz w:val="20"/>
                <w:szCs w:val="20"/>
                <w:vertAlign w:val="subscript"/>
                <w:rtl w:val="0"/>
              </w:rPr>
              <w:t xml:space="preserve">50</w:t>
            </w:r>
            <w:r w:rsidDel="00000000" w:rsidR="00000000" w:rsidRPr="00000000">
              <w:rPr>
                <w:b w:val="1"/>
                <w:i w:val="1"/>
                <w:sz w:val="20"/>
                <w:szCs w:val="20"/>
                <w:rtl w:val="0"/>
              </w:rPr>
              <w:t xml:space="preserve"> (uM)</w:t>
            </w:r>
          </w:p>
        </w:tc>
        <w:tc>
          <w:tcPr>
            <w:gridSpan w:val="2"/>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45">
            <w:pPr>
              <w:jc w:val="center"/>
              <w:rPr>
                <w:b w:val="1"/>
                <w:i w:val="1"/>
                <w:sz w:val="20"/>
                <w:szCs w:val="20"/>
              </w:rPr>
            </w:pPr>
            <w:r w:rsidDel="00000000" w:rsidR="00000000" w:rsidRPr="00000000">
              <w:rPr>
                <w:b w:val="1"/>
                <w:i w:val="1"/>
                <w:sz w:val="20"/>
                <w:szCs w:val="20"/>
                <w:rtl w:val="0"/>
              </w:rPr>
              <w:t xml:space="preserve">CL</w:t>
            </w:r>
            <w:r w:rsidDel="00000000" w:rsidR="00000000" w:rsidRPr="00000000">
              <w:rPr>
                <w:b w:val="1"/>
                <w:i w:val="1"/>
                <w:sz w:val="20"/>
                <w:szCs w:val="20"/>
                <w:vertAlign w:val="subscript"/>
                <w:rtl w:val="0"/>
              </w:rPr>
              <w:t xml:space="preserve">int</w:t>
            </w:r>
            <w:r w:rsidDel="00000000" w:rsidR="00000000" w:rsidRPr="00000000">
              <w:rPr>
                <w:b w:val="1"/>
                <w:i w:val="1"/>
                <w:sz w:val="20"/>
                <w:szCs w:val="20"/>
                <w:rtl w:val="0"/>
              </w:rPr>
              <w:t xml:space="preserve"> (uL/min/mg)</w:t>
            </w:r>
          </w:p>
        </w:tc>
        <w:tc>
          <w:tcPr>
            <w:gridSpan w:val="2"/>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b w:val="1"/>
                <w:i w:val="1"/>
                <w:sz w:val="20"/>
                <w:szCs w:val="20"/>
              </w:rPr>
            </w:pPr>
            <w:r w:rsidDel="00000000" w:rsidR="00000000" w:rsidRPr="00000000">
              <w:rPr>
                <w:b w:val="1"/>
                <w:i w:val="1"/>
                <w:sz w:val="20"/>
                <w:szCs w:val="20"/>
                <w:rtl w:val="0"/>
              </w:rPr>
              <w:t xml:space="preserve">T</w:t>
            </w:r>
            <w:r w:rsidDel="00000000" w:rsidR="00000000" w:rsidRPr="00000000">
              <w:rPr>
                <w:b w:val="1"/>
                <w:i w:val="1"/>
                <w:sz w:val="20"/>
                <w:szCs w:val="20"/>
                <w:vertAlign w:val="subscript"/>
                <w:rtl w:val="0"/>
              </w:rPr>
              <w:t xml:space="preserve">1/2</w:t>
            </w:r>
            <w:r w:rsidDel="00000000" w:rsidR="00000000" w:rsidRPr="00000000">
              <w:rPr>
                <w:b w:val="1"/>
                <w:i w:val="1"/>
                <w:sz w:val="20"/>
                <w:szCs w:val="20"/>
                <w:rtl w:val="0"/>
              </w:rPr>
              <w:t xml:space="preserve"> (min)</w:t>
            </w:r>
          </w:p>
        </w:tc>
        <w:tc>
          <w:tcPr>
            <w:vMerge w:val="restart"/>
            <w:tcBorders>
              <w:top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b w:val="1"/>
                <w:i w:val="1"/>
                <w:sz w:val="20"/>
                <w:szCs w:val="20"/>
              </w:rPr>
            </w:pPr>
            <w:r w:rsidDel="00000000" w:rsidR="00000000" w:rsidRPr="00000000">
              <w:rPr>
                <w:b w:val="1"/>
                <w:i w:val="1"/>
                <w:sz w:val="20"/>
                <w:szCs w:val="20"/>
                <w:rtl w:val="0"/>
              </w:rPr>
              <w:t xml:space="preserve">Solubility pH 6.5 (ug/mL)</w:t>
            </w:r>
          </w:p>
        </w:tc>
      </w:tr>
      <w:tr>
        <w:trPr>
          <w:trHeight w:val="150" w:hRule="atLeast"/>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i w:val="1"/>
              </w:rPr>
            </w:pPr>
            <w:r w:rsidDel="00000000" w:rsidR="00000000" w:rsidRPr="00000000">
              <w:rPr>
                <w:rtl w:val="0"/>
              </w:rPr>
            </w:r>
          </w:p>
        </w:tc>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b w:val="1"/>
                <w:i w:val="1"/>
                <w:sz w:val="20"/>
                <w:szCs w:val="20"/>
              </w:rPr>
            </w:pPr>
            <w:r w:rsidDel="00000000" w:rsidR="00000000" w:rsidRPr="00000000">
              <w:rPr>
                <w:b w:val="1"/>
                <w:i w:val="1"/>
                <w:sz w:val="20"/>
                <w:szCs w:val="20"/>
                <w:rtl w:val="0"/>
              </w:rPr>
              <w:t xml:space="preserve">HLM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b w:val="1"/>
                <w:i w:val="1"/>
                <w:sz w:val="20"/>
                <w:szCs w:val="20"/>
              </w:rPr>
            </w:pPr>
            <w:r w:rsidDel="00000000" w:rsidR="00000000" w:rsidRPr="00000000">
              <w:rPr>
                <w:b w:val="1"/>
                <w:i w:val="1"/>
                <w:sz w:val="20"/>
                <w:szCs w:val="20"/>
                <w:rtl w:val="0"/>
              </w:rPr>
              <w:t xml:space="preserve">Rodent LM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b w:val="1"/>
                <w:i w:val="1"/>
                <w:sz w:val="20"/>
                <w:szCs w:val="20"/>
              </w:rPr>
            </w:pPr>
            <w:r w:rsidDel="00000000" w:rsidR="00000000" w:rsidRPr="00000000">
              <w:rPr>
                <w:b w:val="1"/>
                <w:i w:val="1"/>
                <w:sz w:val="20"/>
                <w:szCs w:val="20"/>
                <w:rtl w:val="0"/>
              </w:rPr>
              <w:t xml:space="preserve">HLM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b w:val="1"/>
                <w:i w:val="1"/>
                <w:sz w:val="20"/>
                <w:szCs w:val="20"/>
              </w:rPr>
            </w:pPr>
            <w:r w:rsidDel="00000000" w:rsidR="00000000" w:rsidRPr="00000000">
              <w:rPr>
                <w:b w:val="1"/>
                <w:i w:val="1"/>
                <w:sz w:val="20"/>
                <w:szCs w:val="20"/>
                <w:rtl w:val="0"/>
              </w:rPr>
              <w:t xml:space="preserve">Rodent LM</w:t>
            </w:r>
          </w:p>
        </w:tc>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i w:val="1"/>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sz w:val="20"/>
                <w:szCs w:val="20"/>
              </w:rPr>
            </w:pPr>
            <w:r w:rsidDel="00000000" w:rsidR="00000000" w:rsidRPr="00000000">
              <w:rPr>
                <w:b w:val="1"/>
                <w:sz w:val="20"/>
                <w:szCs w:val="20"/>
                <w:rtl w:val="0"/>
              </w:rPr>
              <w:t xml:space="preserve">MMV897698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0.362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sz w:val="20"/>
                <w:szCs w:val="20"/>
                <w:vertAlign w:val="superscript"/>
              </w:rPr>
            </w:pPr>
            <w:r w:rsidDel="00000000" w:rsidR="00000000" w:rsidRPr="00000000">
              <w:rPr>
                <w:sz w:val="20"/>
                <w:szCs w:val="20"/>
                <w:rtl w:val="0"/>
              </w:rPr>
              <w:t xml:space="preserve">187</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sz w:val="20"/>
                <w:szCs w:val="20"/>
                <w:vertAlign w:val="superscript"/>
              </w:rPr>
            </w:pPr>
            <w:r w:rsidDel="00000000" w:rsidR="00000000" w:rsidRPr="00000000">
              <w:rPr>
                <w:sz w:val="20"/>
                <w:szCs w:val="20"/>
                <w:rtl w:val="0"/>
              </w:rPr>
              <w:t xml:space="preserve">9</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6.3 – 12.5</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b w:val="1"/>
                <w:sz w:val="20"/>
                <w:szCs w:val="20"/>
              </w:rPr>
            </w:pPr>
            <w:r w:rsidDel="00000000" w:rsidR="00000000" w:rsidRPr="00000000">
              <w:rPr>
                <w:b w:val="1"/>
                <w:sz w:val="20"/>
                <w:szCs w:val="20"/>
                <w:rtl w:val="0"/>
              </w:rPr>
              <w:t xml:space="preserve">MMV639565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sz w:val="20"/>
                <w:szCs w:val="20"/>
              </w:rPr>
            </w:pPr>
            <w:r w:rsidDel="00000000" w:rsidR="00000000" w:rsidRPr="00000000">
              <w:rPr>
                <w:sz w:val="20"/>
                <w:szCs w:val="20"/>
                <w:rtl w:val="0"/>
              </w:rPr>
              <w:t xml:space="preserve">0.143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sz w:val="20"/>
                <w:szCs w:val="20"/>
                <w:vertAlign w:val="superscript"/>
              </w:rPr>
            </w:pPr>
            <w:r w:rsidDel="00000000" w:rsidR="00000000" w:rsidRPr="00000000">
              <w:rPr>
                <w:sz w:val="20"/>
                <w:szCs w:val="20"/>
                <w:rtl w:val="0"/>
              </w:rPr>
              <w:t xml:space="preserve">193</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sz w:val="20"/>
                <w:szCs w:val="20"/>
                <w:vertAlign w:val="superscript"/>
              </w:rPr>
            </w:pPr>
            <w:r w:rsidDel="00000000" w:rsidR="00000000" w:rsidRPr="00000000">
              <w:rPr>
                <w:sz w:val="20"/>
                <w:szCs w:val="20"/>
                <w:rtl w:val="0"/>
              </w:rPr>
              <w:t xml:space="preserve">9</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3.1 – 6.3</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b w:val="1"/>
                <w:sz w:val="20"/>
                <w:szCs w:val="20"/>
              </w:rPr>
            </w:pPr>
            <w:r w:rsidDel="00000000" w:rsidR="00000000" w:rsidRPr="00000000">
              <w:rPr>
                <w:b w:val="1"/>
                <w:sz w:val="20"/>
                <w:szCs w:val="20"/>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b w:val="1"/>
                <w:sz w:val="20"/>
                <w:szCs w:val="20"/>
              </w:rPr>
            </w:pPr>
            <w:r w:rsidDel="00000000" w:rsidR="00000000" w:rsidRPr="00000000">
              <w:rPr>
                <w:b w:val="1"/>
                <w:sz w:val="20"/>
                <w:szCs w:val="20"/>
                <w:rtl w:val="0"/>
              </w:rPr>
              <w:t xml:space="preserve">MMV669542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0.242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sz w:val="20"/>
                <w:szCs w:val="20"/>
                <w:vertAlign w:val="superscript"/>
              </w:rPr>
            </w:pPr>
            <w:r w:rsidDel="00000000" w:rsidR="00000000" w:rsidRPr="00000000">
              <w:rPr>
                <w:sz w:val="20"/>
                <w:szCs w:val="20"/>
                <w:rtl w:val="0"/>
              </w:rPr>
              <w:t xml:space="preserve">290</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sz w:val="20"/>
                <w:szCs w:val="20"/>
                <w:vertAlign w:val="superscript"/>
              </w:rPr>
            </w:pPr>
            <w:r w:rsidDel="00000000" w:rsidR="00000000" w:rsidRPr="00000000">
              <w:rPr>
                <w:sz w:val="20"/>
                <w:szCs w:val="20"/>
                <w:rtl w:val="0"/>
              </w:rPr>
              <w:t xml:space="preserve">6</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sz w:val="20"/>
                <w:szCs w:val="20"/>
              </w:rPr>
            </w:pPr>
            <w:r w:rsidDel="00000000" w:rsidR="00000000" w:rsidRPr="00000000">
              <w:rPr>
                <w:sz w:val="20"/>
                <w:szCs w:val="20"/>
                <w:rtl w:val="0"/>
              </w:rPr>
              <w:t xml:space="preserve">&lt;2.5 (pH 7.4)</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b w:val="1"/>
                <w:sz w:val="20"/>
                <w:szCs w:val="20"/>
              </w:rPr>
            </w:pPr>
            <w:r w:rsidDel="00000000" w:rsidR="00000000" w:rsidRPr="00000000">
              <w:rPr>
                <w:b w:val="1"/>
                <w:sz w:val="20"/>
                <w:szCs w:val="20"/>
                <w:rtl w:val="0"/>
              </w:rPr>
              <w:t xml:space="preserve">MMV670944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sz w:val="20"/>
                <w:szCs w:val="20"/>
              </w:rPr>
            </w:pPr>
            <w:r w:rsidDel="00000000" w:rsidR="00000000" w:rsidRPr="00000000">
              <w:rPr>
                <w:sz w:val="20"/>
                <w:szCs w:val="20"/>
                <w:rtl w:val="0"/>
              </w:rPr>
              <w:t xml:space="preserve">0.451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sz w:val="20"/>
                <w:szCs w:val="20"/>
                <w:vertAlign w:val="superscript"/>
              </w:rPr>
            </w:pPr>
            <w:r w:rsidDel="00000000" w:rsidR="00000000" w:rsidRPr="00000000">
              <w:rPr>
                <w:sz w:val="20"/>
                <w:szCs w:val="20"/>
                <w:rtl w:val="0"/>
              </w:rPr>
              <w:t xml:space="preserve">21</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sz w:val="20"/>
                <w:szCs w:val="20"/>
              </w:rPr>
            </w:pPr>
            <w:r w:rsidDel="00000000" w:rsidR="00000000" w:rsidRPr="00000000">
              <w:rPr>
                <w:sz w:val="20"/>
                <w:szCs w:val="20"/>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sz w:val="20"/>
                <w:szCs w:val="20"/>
                <w:vertAlign w:val="superscript"/>
              </w:rPr>
            </w:pPr>
            <w:r w:rsidDel="00000000" w:rsidR="00000000" w:rsidRPr="00000000">
              <w:rPr>
                <w:sz w:val="20"/>
                <w:szCs w:val="20"/>
                <w:rtl w:val="0"/>
              </w:rPr>
              <w:t xml:space="preserve">81</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sz w:val="20"/>
                <w:szCs w:val="20"/>
              </w:rPr>
            </w:pPr>
            <w:r w:rsidDel="00000000" w:rsidR="00000000" w:rsidRPr="00000000">
              <w:rPr>
                <w:sz w:val="20"/>
                <w:szCs w:val="20"/>
                <w:rtl w:val="0"/>
              </w:rPr>
              <w:t xml:space="preserve">50 – 100</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b w:val="1"/>
                <w:sz w:val="20"/>
                <w:szCs w:val="20"/>
              </w:rPr>
            </w:pPr>
            <w:r w:rsidDel="00000000" w:rsidR="00000000" w:rsidRPr="00000000">
              <w:rPr>
                <w:b w:val="1"/>
                <w:sz w:val="20"/>
                <w:szCs w:val="20"/>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b w:val="1"/>
                <w:sz w:val="20"/>
                <w:szCs w:val="20"/>
              </w:rPr>
            </w:pPr>
            <w:r w:rsidDel="00000000" w:rsidR="00000000" w:rsidRPr="00000000">
              <w:rPr>
                <w:b w:val="1"/>
                <w:sz w:val="20"/>
                <w:szCs w:val="20"/>
                <w:rtl w:val="0"/>
              </w:rPr>
              <w:t xml:space="preserve">MMV897763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sz w:val="20"/>
                <w:szCs w:val="20"/>
              </w:rPr>
            </w:pPr>
            <w:r w:rsidDel="00000000" w:rsidR="00000000" w:rsidRPr="00000000">
              <w:rPr>
                <w:sz w:val="20"/>
                <w:szCs w:val="20"/>
                <w:rtl w:val="0"/>
              </w:rPr>
              <w:t xml:space="preserve">0.190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sz w:val="20"/>
                <w:szCs w:val="20"/>
              </w:rPr>
            </w:pPr>
            <w:r w:rsidDel="00000000" w:rsidR="00000000" w:rsidRPr="00000000">
              <w:rPr>
                <w:sz w:val="20"/>
                <w:szCs w:val="20"/>
                <w:rtl w:val="0"/>
              </w:rPr>
              <w:t xml:space="preserve">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sz w:val="20"/>
                <w:szCs w:val="20"/>
                <w:vertAlign w:val="superscript"/>
              </w:rPr>
            </w:pPr>
            <w:r w:rsidDel="00000000" w:rsidR="00000000" w:rsidRPr="00000000">
              <w:rPr>
                <w:sz w:val="20"/>
                <w:szCs w:val="20"/>
                <w:rtl w:val="0"/>
              </w:rPr>
              <w:t xml:space="preserve">478</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sz w:val="20"/>
                <w:szCs w:val="20"/>
                <w:vertAlign w:val="superscript"/>
              </w:rPr>
            </w:pPr>
            <w:r w:rsidDel="00000000" w:rsidR="00000000" w:rsidRPr="00000000">
              <w:rPr>
                <w:sz w:val="20"/>
                <w:szCs w:val="20"/>
                <w:rtl w:val="0"/>
              </w:rPr>
              <w:t xml:space="preserve">4</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sz w:val="20"/>
                <w:szCs w:val="20"/>
              </w:rPr>
            </w:pPr>
            <w:r w:rsidDel="00000000" w:rsidR="00000000" w:rsidRPr="00000000">
              <w:rPr>
                <w:sz w:val="20"/>
                <w:szCs w:val="20"/>
                <w:rtl w:val="0"/>
              </w:rPr>
              <w:t xml:space="preserve">6.3 – 12.5</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b w:val="1"/>
                <w:sz w:val="20"/>
                <w:szCs w:val="20"/>
              </w:rPr>
            </w:pPr>
            <w:r w:rsidDel="00000000" w:rsidR="00000000" w:rsidRPr="00000000">
              <w:rPr>
                <w:b w:val="1"/>
                <w:sz w:val="20"/>
                <w:szCs w:val="20"/>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b w:val="1"/>
                <w:sz w:val="20"/>
                <w:szCs w:val="20"/>
              </w:rPr>
            </w:pPr>
            <w:r w:rsidDel="00000000" w:rsidR="00000000" w:rsidRPr="00000000">
              <w:rPr>
                <w:b w:val="1"/>
                <w:sz w:val="20"/>
                <w:szCs w:val="20"/>
                <w:rtl w:val="0"/>
              </w:rPr>
              <w:t xml:space="preserve">MMV688896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sz w:val="20"/>
                <w:szCs w:val="20"/>
              </w:rPr>
            </w:pPr>
            <w:r w:rsidDel="00000000" w:rsidR="00000000" w:rsidRPr="00000000">
              <w:rPr>
                <w:sz w:val="20"/>
                <w:szCs w:val="20"/>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sz w:val="20"/>
                <w:szCs w:val="20"/>
                <w:vertAlign w:val="superscript"/>
              </w:rPr>
            </w:pPr>
            <w:r w:rsidDel="00000000" w:rsidR="00000000" w:rsidRPr="00000000">
              <w:rPr>
                <w:sz w:val="20"/>
                <w:szCs w:val="20"/>
                <w:rtl w:val="0"/>
              </w:rPr>
              <w:t xml:space="preserve">278</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sz w:val="20"/>
                <w:szCs w:val="20"/>
              </w:rPr>
            </w:pPr>
            <w:r w:rsidDel="00000000" w:rsidR="00000000" w:rsidRPr="00000000">
              <w:rPr>
                <w:sz w:val="20"/>
                <w:szCs w:val="20"/>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sz w:val="20"/>
                <w:szCs w:val="20"/>
                <w:vertAlign w:val="superscript"/>
              </w:rPr>
            </w:pPr>
            <w:r w:rsidDel="00000000" w:rsidR="00000000" w:rsidRPr="00000000">
              <w:rPr>
                <w:sz w:val="20"/>
                <w:szCs w:val="20"/>
                <w:rtl w:val="0"/>
              </w:rPr>
              <w:t xml:space="preserve">6</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sz w:val="20"/>
                <w:szCs w:val="20"/>
              </w:rPr>
            </w:pPr>
            <w:r w:rsidDel="00000000" w:rsidR="00000000" w:rsidRPr="00000000">
              <w:rPr>
                <w:sz w:val="20"/>
                <w:szCs w:val="20"/>
                <w:rtl w:val="0"/>
              </w:rPr>
              <w:t xml:space="preserve">25 – 50</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b w:val="1"/>
                <w:sz w:val="20"/>
                <w:szCs w:val="20"/>
              </w:rPr>
            </w:pPr>
            <w:r w:rsidDel="00000000" w:rsidR="00000000" w:rsidRPr="00000000">
              <w:rPr>
                <w:b w:val="1"/>
                <w:sz w:val="20"/>
                <w:szCs w:val="20"/>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b w:val="1"/>
                <w:sz w:val="20"/>
                <w:szCs w:val="20"/>
              </w:rPr>
            </w:pPr>
            <w:r w:rsidDel="00000000" w:rsidR="00000000" w:rsidRPr="00000000">
              <w:rPr>
                <w:b w:val="1"/>
                <w:sz w:val="20"/>
                <w:szCs w:val="20"/>
                <w:rtl w:val="0"/>
              </w:rPr>
              <w:t xml:space="preserve">MMV672687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sz w:val="20"/>
                <w:szCs w:val="20"/>
              </w:rPr>
            </w:pPr>
            <w:r w:rsidDel="00000000" w:rsidR="00000000" w:rsidRPr="00000000">
              <w:rPr>
                <w:sz w:val="20"/>
                <w:szCs w:val="20"/>
                <w:rtl w:val="0"/>
              </w:rPr>
              <w:t xml:space="preserve">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sz w:val="20"/>
                <w:szCs w:val="20"/>
                <w:vertAlign w:val="superscript"/>
              </w:rPr>
            </w:pPr>
            <w:r w:rsidDel="00000000" w:rsidR="00000000" w:rsidRPr="00000000">
              <w:rPr>
                <w:sz w:val="20"/>
                <w:szCs w:val="20"/>
                <w:rtl w:val="0"/>
              </w:rPr>
              <w:t xml:space="preserve">170</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sz w:val="20"/>
                <w:szCs w:val="20"/>
                <w:vertAlign w:val="superscript"/>
              </w:rPr>
            </w:pPr>
            <w:r w:rsidDel="00000000" w:rsidR="00000000" w:rsidRPr="00000000">
              <w:rPr>
                <w:sz w:val="20"/>
                <w:szCs w:val="20"/>
                <w:rtl w:val="0"/>
              </w:rPr>
              <w:t xml:space="preserve">10</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sz w:val="20"/>
                <w:szCs w:val="20"/>
              </w:rPr>
            </w:pPr>
            <w:r w:rsidDel="00000000" w:rsidR="00000000" w:rsidRPr="00000000">
              <w:rPr>
                <w:sz w:val="20"/>
                <w:szCs w:val="20"/>
                <w:rtl w:val="0"/>
              </w:rPr>
              <w:t xml:space="preserve">12.5 – 25</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b w:val="1"/>
                <w:sz w:val="20"/>
                <w:szCs w:val="20"/>
              </w:rPr>
            </w:pPr>
            <w:r w:rsidDel="00000000" w:rsidR="00000000" w:rsidRPr="00000000">
              <w:rPr>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b w:val="1"/>
                <w:sz w:val="20"/>
                <w:szCs w:val="20"/>
              </w:rPr>
            </w:pPr>
            <w:r w:rsidDel="00000000" w:rsidR="00000000" w:rsidRPr="00000000">
              <w:rPr>
                <w:b w:val="1"/>
                <w:sz w:val="20"/>
                <w:szCs w:val="20"/>
                <w:rtl w:val="0"/>
              </w:rPr>
              <w:t xml:space="preserve">MMV897709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sz w:val="20"/>
                <w:szCs w:val="20"/>
              </w:rPr>
            </w:pPr>
            <w:r w:rsidDel="00000000" w:rsidR="00000000" w:rsidRPr="00000000">
              <w:rPr>
                <w:sz w:val="20"/>
                <w:szCs w:val="20"/>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sz w:val="20"/>
                <w:szCs w:val="20"/>
              </w:rPr>
            </w:pPr>
            <w:r w:rsidDel="00000000" w:rsidR="00000000" w:rsidRPr="00000000">
              <w:rPr>
                <w:sz w:val="20"/>
                <w:szCs w:val="2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sz w:val="20"/>
                <w:szCs w:val="20"/>
                <w:vertAlign w:val="superscript"/>
              </w:rPr>
            </w:pPr>
            <w:r w:rsidDel="00000000" w:rsidR="00000000" w:rsidRPr="00000000">
              <w:rPr>
                <w:sz w:val="20"/>
                <w:szCs w:val="20"/>
                <w:rtl w:val="0"/>
              </w:rPr>
              <w:t xml:space="preserve">159</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sz w:val="20"/>
                <w:szCs w:val="20"/>
                <w:vertAlign w:val="superscript"/>
              </w:rPr>
            </w:pPr>
            <w:r w:rsidDel="00000000" w:rsidR="00000000" w:rsidRPr="00000000">
              <w:rPr>
                <w:sz w:val="20"/>
                <w:szCs w:val="20"/>
                <w:rtl w:val="0"/>
              </w:rPr>
              <w:t xml:space="preserve">11</w:t>
            </w:r>
            <w:r w:rsidDel="00000000" w:rsidR="00000000" w:rsidRPr="00000000">
              <w:rPr>
                <w:sz w:val="20"/>
                <w:szCs w:val="20"/>
                <w:vertAlign w:val="superscrip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sz w:val="20"/>
                <w:szCs w:val="20"/>
              </w:rPr>
            </w:pPr>
            <w:r w:rsidDel="00000000" w:rsidR="00000000" w:rsidRPr="00000000">
              <w:rPr>
                <w:sz w:val="20"/>
                <w:szCs w:val="20"/>
                <w:rtl w:val="0"/>
              </w:rPr>
              <w:t xml:space="preserve">12.5 – 25</w:t>
            </w:r>
          </w:p>
        </w:tc>
      </w:tr>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b w:val="1"/>
                <w:sz w:val="20"/>
                <w:szCs w:val="20"/>
              </w:rPr>
            </w:pPr>
            <w:r w:rsidDel="00000000" w:rsidR="00000000" w:rsidRPr="00000000">
              <w:rPr>
                <w:b w:val="1"/>
                <w:sz w:val="20"/>
                <w:szCs w:val="20"/>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b w:val="1"/>
                <w:sz w:val="20"/>
                <w:szCs w:val="20"/>
              </w:rPr>
            </w:pPr>
            <w:r w:rsidDel="00000000" w:rsidR="00000000" w:rsidRPr="00000000">
              <w:rPr>
                <w:b w:val="1"/>
                <w:sz w:val="20"/>
                <w:szCs w:val="20"/>
                <w:rtl w:val="0"/>
              </w:rPr>
              <w:t xml:space="preserve">MMV693155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sz w:val="20"/>
                <w:szCs w:val="20"/>
              </w:rPr>
            </w:pPr>
            <w:r w:rsidDel="00000000" w:rsidR="00000000" w:rsidRPr="00000000">
              <w:rPr>
                <w:sz w:val="20"/>
                <w:szCs w:val="20"/>
                <w:rtl w:val="0"/>
              </w:rPr>
              <w:t xml:space="preserve">0.134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sz w:val="20"/>
                <w:szCs w:val="20"/>
                <w:vertAlign w:val="superscript"/>
              </w:rPr>
            </w:pPr>
            <w:r w:rsidDel="00000000" w:rsidR="00000000" w:rsidRPr="00000000">
              <w:rPr>
                <w:sz w:val="20"/>
                <w:szCs w:val="20"/>
                <w:rtl w:val="0"/>
              </w:rPr>
              <w:t xml:space="preserve">160</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sz w:val="20"/>
                <w:szCs w:val="20"/>
              </w:rPr>
            </w:pPr>
            <w:r w:rsidDel="00000000" w:rsidR="00000000" w:rsidRPr="00000000">
              <w:rPr>
                <w:sz w:val="20"/>
                <w:szCs w:val="20"/>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sz w:val="20"/>
                <w:szCs w:val="20"/>
                <w:vertAlign w:val="superscript"/>
              </w:rPr>
            </w:pPr>
            <w:r w:rsidDel="00000000" w:rsidR="00000000" w:rsidRPr="00000000">
              <w:rPr>
                <w:sz w:val="20"/>
                <w:szCs w:val="20"/>
                <w:rtl w:val="0"/>
              </w:rPr>
              <w:t xml:space="preserve">11</w:t>
            </w:r>
            <w:r w:rsidDel="00000000" w:rsidR="00000000" w:rsidRPr="00000000">
              <w:rPr>
                <w:sz w:val="20"/>
                <w:szCs w:val="20"/>
                <w:vertAlign w:val="superscrip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sz w:val="20"/>
                <w:szCs w:val="20"/>
              </w:rPr>
            </w:pPr>
            <w:r w:rsidDel="00000000" w:rsidR="00000000" w:rsidRPr="00000000">
              <w:rPr>
                <w:sz w:val="20"/>
                <w:szCs w:val="20"/>
                <w:rtl w:val="0"/>
              </w:rPr>
              <w:t xml:space="preserve">12.5 – 25</w:t>
            </w:r>
          </w:p>
        </w:tc>
      </w:tr>
    </w:tbl>
    <w:p w:rsidR="00000000" w:rsidDel="00000000" w:rsidP="00000000" w:rsidRDefault="00000000" w:rsidRPr="00000000" w14:paraId="0000009A">
      <w:pPr>
        <w:ind w:left="0" w:firstLine="0"/>
        <w:rPr>
          <w:sz w:val="20"/>
          <w:szCs w:val="20"/>
        </w:rPr>
      </w:pPr>
      <w:r w:rsidDel="00000000" w:rsidR="00000000" w:rsidRPr="00000000">
        <w:rPr>
          <w:b w:val="1"/>
          <w:sz w:val="20"/>
          <w:szCs w:val="20"/>
          <w:rtl w:val="0"/>
        </w:rPr>
        <w:t xml:space="preserve">Table</w:t>
      </w:r>
      <w:r w:rsidDel="00000000" w:rsidR="00000000" w:rsidRPr="00000000">
        <w:rPr>
          <w:b w:val="1"/>
          <w:sz w:val="20"/>
          <w:szCs w:val="20"/>
          <w:rtl w:val="0"/>
        </w:rPr>
        <w:t xml:space="preserve"> X</w:t>
      </w:r>
      <w:r w:rsidDel="00000000" w:rsidR="00000000" w:rsidRPr="00000000">
        <w:rPr>
          <w:sz w:val="20"/>
          <w:szCs w:val="20"/>
          <w:rtl w:val="0"/>
        </w:rPr>
        <w:t xml:space="preserve">. Clearance and solubility data for selected analogs. </w:t>
      </w:r>
      <w:r w:rsidDel="00000000" w:rsidR="00000000" w:rsidRPr="00000000">
        <w:rPr>
          <w:sz w:val="20"/>
          <w:szCs w:val="20"/>
          <w:vertAlign w:val="superscript"/>
          <w:rtl w:val="0"/>
        </w:rPr>
        <w:t xml:space="preserve">a</w:t>
      </w:r>
      <w:r w:rsidDel="00000000" w:rsidR="00000000" w:rsidRPr="00000000">
        <w:rPr>
          <w:sz w:val="20"/>
          <w:szCs w:val="20"/>
          <w:rtl w:val="0"/>
        </w:rPr>
        <w:t xml:space="preserve">Rat liver microsomes. </w:t>
      </w:r>
      <w:r w:rsidDel="00000000" w:rsidR="00000000" w:rsidRPr="00000000">
        <w:rPr>
          <w:sz w:val="20"/>
          <w:szCs w:val="20"/>
          <w:vertAlign w:val="superscript"/>
          <w:rtl w:val="0"/>
        </w:rPr>
        <w:t xml:space="preserve">b</w:t>
      </w:r>
      <w:r w:rsidDel="00000000" w:rsidR="00000000" w:rsidRPr="00000000">
        <w:rPr>
          <w:sz w:val="20"/>
          <w:szCs w:val="20"/>
          <w:rtl w:val="0"/>
        </w:rPr>
        <w:t xml:space="preserve">Mouse liver microsomes.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color w:val="1c4587"/>
        </w:rPr>
      </w:pPr>
      <w:r w:rsidDel="00000000" w:rsidR="00000000" w:rsidRPr="00000000">
        <w:rPr>
          <w:color w:val="1c4587"/>
          <w:rtl w:val="0"/>
        </w:rPr>
        <w:t xml:space="preserve">In a further effort to understand how the triazolopyrazines were being metabolised, metabolite ID studies were undertaken on three compounds </w:t>
      </w:r>
      <w:r w:rsidDel="00000000" w:rsidR="00000000" w:rsidRPr="00000000">
        <w:rPr>
          <w:color w:val="1c4587"/>
          <w:rtl w:val="0"/>
        </w:rPr>
        <w:t xml:space="preserve">(</w:t>
      </w:r>
      <w:r w:rsidDel="00000000" w:rsidR="00000000" w:rsidRPr="00000000">
        <w:rPr>
          <w:b w:val="1"/>
          <w:color w:val="1c4587"/>
          <w:rtl w:val="0"/>
        </w:rPr>
        <w:t xml:space="preserve">File SX</w:t>
      </w:r>
      <w:r w:rsidDel="00000000" w:rsidR="00000000" w:rsidRPr="00000000">
        <w:rPr>
          <w:color w:val="1c4587"/>
          <w:rtl w:val="0"/>
        </w:rPr>
        <w:t xml:space="preserve">)</w:t>
      </w:r>
      <w:r w:rsidDel="00000000" w:rsidR="00000000" w:rsidRPr="00000000">
        <w:rPr>
          <w:color w:val="1c4587"/>
          <w:rtl w:val="0"/>
        </w:rPr>
        <w:t xml:space="preserve">. Oxidation of the triazolopyrazine core was consistently observed, in addition to side chain-specific transformations such as </w:t>
      </w:r>
      <w:r w:rsidDel="00000000" w:rsidR="00000000" w:rsidRPr="00000000">
        <w:rPr>
          <w:i w:val="1"/>
          <w:color w:val="1c4587"/>
          <w:rtl w:val="0"/>
        </w:rPr>
        <w:t xml:space="preserve">O</w:t>
      </w:r>
      <w:r w:rsidDel="00000000" w:rsidR="00000000" w:rsidRPr="00000000">
        <w:rPr>
          <w:color w:val="1c4587"/>
          <w:rtl w:val="0"/>
        </w:rPr>
        <w:t xml:space="preserve">-dealkylation of ethers. It was undetermined whether this oxidation was due to traditional CYP enzymes or whether aldehyde oxidases (AOs) were involved, and f</w:t>
      </w:r>
      <w:r w:rsidDel="00000000" w:rsidR="00000000" w:rsidRPr="00000000">
        <w:rPr>
          <w:color w:val="1c4587"/>
          <w:rtl w:val="0"/>
        </w:rPr>
        <w:t xml:space="preserve">urther investigation of potential AO metabolism of the series was then undertaken</w:t>
      </w:r>
      <w:r w:rsidDel="00000000" w:rsidR="00000000" w:rsidRPr="00000000">
        <w:rPr>
          <w:color w:val="1c4587"/>
          <w:rtl w:val="0"/>
        </w:rPr>
        <w:t xml:space="preserve"> by comparing the half life in human liver cytosol of compounds of interest to that of known AO substrates (</w:t>
      </w:r>
      <w:r w:rsidDel="00000000" w:rsidR="00000000" w:rsidRPr="00000000">
        <w:rPr>
          <w:b w:val="1"/>
          <w:color w:val="1c4587"/>
          <w:rtl w:val="0"/>
        </w:rPr>
        <w:t xml:space="preserve">File SX</w:t>
      </w:r>
      <w:r w:rsidDel="00000000" w:rsidR="00000000" w:rsidRPr="00000000">
        <w:rPr>
          <w:color w:val="1c4587"/>
          <w:rtl w:val="0"/>
        </w:rPr>
        <w:t xml:space="preserve">). From this work, it was observed that </w:t>
      </w:r>
      <w:r w:rsidDel="00000000" w:rsidR="00000000" w:rsidRPr="00000000">
        <w:rPr>
          <w:color w:val="1c4587"/>
          <w:highlight w:val="white"/>
          <w:rtl w:val="0"/>
        </w:rPr>
        <w:t xml:space="preserve">compounds containing benzylic alcohols, such as </w:t>
      </w:r>
      <w:r w:rsidDel="00000000" w:rsidR="00000000" w:rsidRPr="00000000">
        <w:rPr>
          <w:b w:val="1"/>
          <w:color w:val="1c4587"/>
          <w:highlight w:val="white"/>
          <w:rtl w:val="0"/>
        </w:rPr>
        <w:t xml:space="preserve">MMV688896 </w:t>
      </w:r>
      <w:r w:rsidDel="00000000" w:rsidR="00000000" w:rsidRPr="00000000">
        <w:rPr>
          <w:color w:val="1c4587"/>
          <w:highlight w:val="white"/>
          <w:rtl w:val="0"/>
        </w:rPr>
        <w:t xml:space="preserve">or</w:t>
      </w:r>
      <w:r w:rsidDel="00000000" w:rsidR="00000000" w:rsidRPr="00000000">
        <w:rPr>
          <w:b w:val="1"/>
          <w:color w:val="1c4587"/>
          <w:highlight w:val="white"/>
          <w:rtl w:val="0"/>
        </w:rPr>
        <w:t xml:space="preserve"> MMV693155 </w:t>
      </w:r>
      <w:r w:rsidDel="00000000" w:rsidR="00000000" w:rsidRPr="00000000">
        <w:rPr>
          <w:color w:val="1c4587"/>
          <w:highlight w:val="white"/>
          <w:rtl w:val="0"/>
        </w:rPr>
        <w:t xml:space="preserve">(</w:t>
      </w:r>
      <w:r w:rsidDel="00000000" w:rsidR="00000000" w:rsidRPr="00000000">
        <w:rPr>
          <w:b w:val="1"/>
          <w:color w:val="1c4587"/>
          <w:highlight w:val="white"/>
          <w:rtl w:val="0"/>
        </w:rPr>
        <w:t xml:space="preserve">Table X</w:t>
      </w:r>
      <w:r w:rsidDel="00000000" w:rsidR="00000000" w:rsidRPr="00000000">
        <w:rPr>
          <w:color w:val="1c4587"/>
          <w:highlight w:val="white"/>
          <w:rtl w:val="0"/>
        </w:rPr>
        <w:t xml:space="preserve">), were relatively stable to AO metabolism, while </w:t>
      </w:r>
      <w:r w:rsidDel="00000000" w:rsidR="00000000" w:rsidRPr="00000000">
        <w:rPr>
          <w:color w:val="1c4587"/>
          <w:highlight w:val="white"/>
          <w:rtl w:val="0"/>
        </w:rPr>
        <w:t xml:space="preserve">amides were metabolised quickly. Further, the imidazolopyridine core was identified as a metabolic risk compared to the triazolopyrazine. Based on these studies, combined with the hERG data (above), the triazolopyrazine core was retained moving forward, but the amide side chains were deprioritised despite initially promising clearance and solubility.</w:t>
      </w:r>
      <w:r w:rsidDel="00000000" w:rsidR="00000000" w:rsidRPr="00000000">
        <w:rPr>
          <w:rtl w:val="0"/>
        </w:rPr>
      </w:r>
    </w:p>
    <w:p w:rsidR="00000000" w:rsidDel="00000000" w:rsidP="00000000" w:rsidRDefault="00000000" w:rsidRPr="00000000" w14:paraId="0000009D">
      <w:pPr>
        <w:ind w:left="0" w:firstLine="0"/>
        <w:rPr>
          <w:sz w:val="20"/>
          <w:szCs w:val="20"/>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Finally</w:t>
      </w:r>
      <w:r w:rsidDel="00000000" w:rsidR="00000000" w:rsidRPr="00000000">
        <w:rPr>
          <w:rtl w:val="0"/>
        </w:rPr>
        <w:t xml:space="preserve">, select compounds were investigated as candidates for late-stage biofunctionalization using liver microsomes (</w:t>
      </w:r>
      <w:r w:rsidDel="00000000" w:rsidR="00000000" w:rsidRPr="00000000">
        <w:rPr>
          <w:b w:val="1"/>
          <w:rtl w:val="0"/>
        </w:rPr>
        <w:t xml:space="preserve">Fig. X</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In short, (procedure in 1 sentence, i.e. what was done, and that the compounds were characterised and evaluated).</w:t>
      </w:r>
      <w:r w:rsidDel="00000000" w:rsidR="00000000" w:rsidRPr="00000000">
        <w:rPr>
          <w:rtl w:val="0"/>
        </w:rPr>
        <w:t xml:space="preserve"> The metabolites generated from the representative amide compounds (</w:t>
      </w:r>
      <w:r w:rsidDel="00000000" w:rsidR="00000000" w:rsidRPr="00000000">
        <w:rPr>
          <w:b w:val="1"/>
          <w:rtl w:val="0"/>
        </w:rPr>
        <w:t xml:space="preserve">MMV670246</w:t>
      </w:r>
      <w:r w:rsidDel="00000000" w:rsidR="00000000" w:rsidRPr="00000000">
        <w:rPr>
          <w:rtl w:val="0"/>
        </w:rPr>
        <w:t xml:space="preserve"> and </w:t>
      </w:r>
      <w:r w:rsidDel="00000000" w:rsidR="00000000" w:rsidRPr="00000000">
        <w:rPr>
          <w:b w:val="1"/>
          <w:rtl w:val="0"/>
        </w:rPr>
        <w:t xml:space="preserve">MMV670944)</w:t>
      </w:r>
      <w:r w:rsidDel="00000000" w:rsidR="00000000" w:rsidRPr="00000000">
        <w:rPr>
          <w:rtl w:val="0"/>
        </w:rPr>
        <w:t xml:space="preserve"> were found to be oxidised on the nitrogen heterocycles, both of which led to reduced efficacy </w:t>
      </w:r>
      <w:r w:rsidDel="00000000" w:rsidR="00000000" w:rsidRPr="00000000">
        <w:rPr>
          <w:i w:val="1"/>
          <w:rtl w:val="0"/>
        </w:rPr>
        <w:t xml:space="preserve">in vitro</w:t>
      </w:r>
      <w:r w:rsidDel="00000000" w:rsidR="00000000" w:rsidRPr="00000000">
        <w:rPr>
          <w:rtl w:val="0"/>
        </w:rPr>
        <w:t xml:space="preserve">. Metabolism of two compounds possessing benzylic hydroxy groups (</w:t>
      </w:r>
      <w:r w:rsidDel="00000000" w:rsidR="00000000" w:rsidRPr="00000000">
        <w:rPr>
          <w:b w:val="1"/>
          <w:rtl w:val="0"/>
        </w:rPr>
        <w:t xml:space="preserve">MMV688896</w:t>
      </w:r>
      <w:r w:rsidDel="00000000" w:rsidR="00000000" w:rsidRPr="00000000">
        <w:rPr>
          <w:rtl w:val="0"/>
        </w:rPr>
        <w:t xml:space="preserve"> and </w:t>
      </w:r>
      <w:r w:rsidDel="00000000" w:rsidR="00000000" w:rsidRPr="00000000">
        <w:rPr>
          <w:b w:val="1"/>
          <w:rtl w:val="0"/>
        </w:rPr>
        <w:t xml:space="preserve">MMV672687</w:t>
      </w:r>
      <w:r w:rsidDel="00000000" w:rsidR="00000000" w:rsidRPr="00000000">
        <w:rPr>
          <w:rtl w:val="0"/>
        </w:rPr>
        <w:t xml:space="preserve">) led to the less desirable benzylic ketone products (</w:t>
      </w:r>
      <w:r w:rsidDel="00000000" w:rsidR="00000000" w:rsidRPr="00000000">
        <w:rPr>
          <w:i w:val="1"/>
          <w:rtl w:val="0"/>
        </w:rPr>
        <w:t xml:space="preserve">vide supra</w:t>
      </w:r>
      <w:r w:rsidDel="00000000" w:rsidR="00000000" w:rsidRPr="00000000">
        <w:rPr>
          <w:rtl w:val="0"/>
        </w:rPr>
        <w:t xml:space="preserve">). Surprisingly, while the metabolite resulting from the benzylic primary alcohol compound </w:t>
      </w:r>
      <w:r w:rsidDel="00000000" w:rsidR="00000000" w:rsidRPr="00000000">
        <w:rPr>
          <w:b w:val="1"/>
          <w:rtl w:val="0"/>
        </w:rPr>
        <w:t xml:space="preserve">MMV693155</w:t>
      </w:r>
      <w:r w:rsidDel="00000000" w:rsidR="00000000" w:rsidRPr="00000000">
        <w:rPr>
          <w:rtl w:val="0"/>
        </w:rPr>
        <w:t xml:space="preserve"> was found to be hydroxylated at the benzylic position (</w:t>
      </w:r>
      <w:r w:rsidDel="00000000" w:rsidR="00000000" w:rsidRPr="00000000">
        <w:rPr>
          <w:b w:val="1"/>
          <w:rtl w:val="0"/>
        </w:rPr>
        <w:t xml:space="preserve">X</w:t>
      </w:r>
      <w:r w:rsidDel="00000000" w:rsidR="00000000" w:rsidRPr="00000000">
        <w:rPr>
          <w:rtl w:val="0"/>
        </w:rPr>
        <w:t xml:space="preserve">) similar to the previous compounds, this metabolite was shown to be significantly more potent than the parent </w:t>
      </w:r>
      <w:r w:rsidDel="00000000" w:rsidR="00000000" w:rsidRPr="00000000">
        <w:rPr>
          <w:rtl w:val="0"/>
        </w:rPr>
        <w:t xml:space="preserve">compound</w:t>
      </w:r>
      <w:r w:rsidDel="00000000" w:rsidR="00000000" w:rsidRPr="00000000">
        <w:rPr>
          <w:rtl w:val="0"/>
        </w:rPr>
        <w:t xml:space="preserve">.</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Fonts w:ascii="Calibri" w:cs="Calibri" w:eastAsia="Calibri" w:hAnsi="Calibri"/>
        </w:rPr>
        <w:drawing>
          <wp:inline distB="114300" distT="114300" distL="114300" distR="114300">
            <wp:extent cx="4071917" cy="3138488"/>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71917"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sz w:val="20"/>
          <w:szCs w:val="20"/>
        </w:rPr>
      </w:pPr>
      <w:r w:rsidDel="00000000" w:rsidR="00000000" w:rsidRPr="00000000">
        <w:rPr>
          <w:b w:val="1"/>
          <w:sz w:val="20"/>
          <w:szCs w:val="20"/>
          <w:rtl w:val="0"/>
        </w:rPr>
        <w:t xml:space="preserve">Figure X</w:t>
      </w:r>
      <w:r w:rsidDel="00000000" w:rsidR="00000000" w:rsidRPr="00000000">
        <w:rPr>
          <w:b w:val="1"/>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Compounds of interest and isolated metabolites, with major structural changes highlighted in </w:t>
      </w:r>
      <w:r w:rsidDel="00000000" w:rsidR="00000000" w:rsidRPr="00000000">
        <w:rPr>
          <w:sz w:val="20"/>
          <w:szCs w:val="20"/>
          <w:rtl w:val="0"/>
        </w:rPr>
        <w:t xml:space="preserve">blue</w:t>
      </w:r>
      <w:r w:rsidDel="00000000" w:rsidR="00000000" w:rsidRPr="00000000">
        <w:rPr>
          <w:sz w:val="20"/>
          <w:szCs w:val="20"/>
          <w:rtl w:val="0"/>
        </w:rPr>
        <w:t xml:space="preserve">. </w:t>
      </w:r>
    </w:p>
    <w:p w:rsidR="00000000" w:rsidDel="00000000" w:rsidP="00000000" w:rsidRDefault="00000000" w:rsidRPr="00000000" w14:paraId="000000A2">
      <w:pPr>
        <w:jc w:val="both"/>
        <w:rPr>
          <w:color w:val="ff0000"/>
        </w:rPr>
      </w:pPr>
      <w:r w:rsidDel="00000000" w:rsidR="00000000" w:rsidRPr="00000000">
        <w:rPr>
          <w:color w:val="ff0000"/>
          <w:rtl w:val="0"/>
        </w:rPr>
        <w:t xml:space="preserve">Comments</w:t>
      </w:r>
      <w:r w:rsidDel="00000000" w:rsidR="00000000" w:rsidRPr="00000000">
        <w:rPr>
          <w:color w:val="ff0000"/>
          <w:rtl w:val="0"/>
        </w:rPr>
        <w:t xml:space="preserve"> about whether blocking metabolic sites is working (not really?). </w:t>
      </w:r>
    </w:p>
    <w:p w:rsidR="00000000" w:rsidDel="00000000" w:rsidP="00000000" w:rsidRDefault="00000000" w:rsidRPr="00000000" w14:paraId="000000A3">
      <w:pPr>
        <w:jc w:val="both"/>
        <w:rPr>
          <w:color w:val="0000ff"/>
        </w:rPr>
      </w:pPr>
      <w:r w:rsidDel="00000000" w:rsidR="00000000" w:rsidRPr="00000000">
        <w:rPr>
          <w:color w:val="ff0000"/>
          <w:rtl w:val="0"/>
        </w:rPr>
        <w:t xml:space="preserve">Another strategy for improving clearance is to make the compounds more soluble. (REF from Ed’s thesis?). Is there an experimental correlation here between sol and clearance (p450s are </w:t>
      </w:r>
      <w:r w:rsidDel="00000000" w:rsidR="00000000" w:rsidRPr="00000000">
        <w:rPr>
          <w:color w:val="ff0000"/>
          <w:rtl w:val="0"/>
        </w:rPr>
        <w:t xml:space="preserve">lipophilic</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A4">
      <w:pPr>
        <w:jc w:val="both"/>
        <w:rPr>
          <w:color w:val="ff0000"/>
        </w:rPr>
      </w:pPr>
      <w:r w:rsidDel="00000000" w:rsidR="00000000" w:rsidRPr="00000000">
        <w:rPr>
          <w:color w:val="ff0000"/>
        </w:rPr>
        <w:drawing>
          <wp:inline distB="114300" distT="114300" distL="114300" distR="114300">
            <wp:extent cx="4322479" cy="2814638"/>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2247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pPr>
      <w:bookmarkStart w:colFirst="0" w:colLast="0" w:name="_rightata6s7q" w:id="9"/>
      <w:bookmarkEnd w:id="9"/>
      <w:r w:rsidDel="00000000" w:rsidR="00000000" w:rsidRPr="00000000">
        <w:rPr/>
        <w:drawing>
          <wp:inline distB="114300" distT="114300" distL="114300" distR="114300">
            <wp:extent cx="4310063" cy="2828031"/>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310063" cy="282803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rPr/>
      </w:pPr>
      <w:bookmarkStart w:colFirst="0" w:colLast="0" w:name="_zz2fu4id8yg" w:id="10"/>
      <w:bookmarkEnd w:id="10"/>
      <w:r w:rsidDel="00000000" w:rsidR="00000000" w:rsidRPr="00000000">
        <w:rPr>
          <w:rtl w:val="0"/>
        </w:rPr>
        <w:t xml:space="preserve">Further development of OHOH compound.</w:t>
      </w:r>
    </w:p>
    <w:p w:rsidR="00000000" w:rsidDel="00000000" w:rsidP="00000000" w:rsidRDefault="00000000" w:rsidRPr="00000000" w14:paraId="000000A7">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A8">
      <w:pPr>
        <w:ind w:left="0" w:firstLine="0"/>
        <w:jc w:val="both"/>
        <w:rPr>
          <w:color w:val="24292e"/>
          <w:sz w:val="24"/>
          <w:szCs w:val="24"/>
          <w:highlight w:val="white"/>
        </w:rPr>
      </w:pPr>
      <w:r w:rsidDel="00000000" w:rsidR="00000000" w:rsidRPr="00000000">
        <w:rPr>
          <w:color w:val="24292e"/>
          <w:sz w:val="24"/>
          <w:szCs w:val="24"/>
          <w:highlight w:val="white"/>
          <w:rtl w:val="0"/>
        </w:rPr>
        <w:t xml:space="preserve">The diol </w:t>
      </w:r>
      <w:r w:rsidDel="00000000" w:rsidR="00000000" w:rsidRPr="00000000">
        <w:rPr>
          <w:b w:val="1"/>
          <w:color w:val="24292e"/>
          <w:sz w:val="24"/>
          <w:szCs w:val="24"/>
          <w:highlight w:val="white"/>
          <w:rtl w:val="0"/>
        </w:rPr>
        <w:t xml:space="preserve">MMV1580315 </w:t>
      </w:r>
      <w:r w:rsidDel="00000000" w:rsidR="00000000" w:rsidRPr="00000000">
        <w:rPr>
          <w:color w:val="24292e"/>
          <w:sz w:val="24"/>
          <w:szCs w:val="24"/>
          <w:highlight w:val="white"/>
          <w:rtl w:val="0"/>
        </w:rPr>
        <w:t xml:space="preserve">identified from metabolite ID studies of MMV693155 was of great interest due to its high potency (</w:t>
      </w:r>
      <w:r w:rsidDel="00000000" w:rsidR="00000000" w:rsidRPr="00000000">
        <w:rPr>
          <w:b w:val="1"/>
          <w:color w:val="24292e"/>
          <w:sz w:val="24"/>
          <w:szCs w:val="24"/>
          <w:highlight w:val="white"/>
          <w:rtl w:val="0"/>
        </w:rPr>
        <w:t xml:space="preserve">Figure X</w:t>
      </w:r>
      <w:r w:rsidDel="00000000" w:rsidR="00000000" w:rsidRPr="00000000">
        <w:rPr>
          <w:color w:val="24292e"/>
          <w:sz w:val="24"/>
          <w:szCs w:val="24"/>
          <w:highlight w:val="white"/>
          <w:rtl w:val="0"/>
        </w:rPr>
        <w:t xml:space="preserve">) and presumably improved metabolic stability. Laboratory synthesis of this compound was undertaken and proceeded according to </w:t>
      </w:r>
      <w:r w:rsidDel="00000000" w:rsidR="00000000" w:rsidRPr="00000000">
        <w:rPr>
          <w:b w:val="1"/>
          <w:color w:val="24292e"/>
          <w:sz w:val="24"/>
          <w:szCs w:val="24"/>
          <w:highlight w:val="white"/>
          <w:rtl w:val="0"/>
        </w:rPr>
        <w:t xml:space="preserve">Scheme X</w:t>
      </w:r>
      <w:r w:rsidDel="00000000" w:rsidR="00000000" w:rsidRPr="00000000">
        <w:rPr>
          <w:color w:val="24292e"/>
          <w:sz w:val="24"/>
          <w:szCs w:val="24"/>
          <w:highlight w:val="white"/>
          <w:rtl w:val="0"/>
        </w:rPr>
        <w:t xml:space="preserve">. Acid catalyzed protection of </w:t>
      </w:r>
      <w:r w:rsidDel="00000000" w:rsidR="00000000" w:rsidRPr="00000000">
        <w:rPr>
          <w:b w:val="1"/>
          <w:color w:val="24292e"/>
          <w:sz w:val="24"/>
          <w:szCs w:val="24"/>
          <w:highlight w:val="white"/>
          <w:rtl w:val="0"/>
        </w:rPr>
        <w:t xml:space="preserve">X </w:t>
      </w:r>
      <w:r w:rsidDel="00000000" w:rsidR="00000000" w:rsidRPr="00000000">
        <w:rPr>
          <w:color w:val="24292e"/>
          <w:sz w:val="24"/>
          <w:szCs w:val="24"/>
          <w:highlight w:val="white"/>
          <w:rtl w:val="0"/>
        </w:rPr>
        <w:t xml:space="preserve">to give the cyclic acetal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followed by oxidative cleavage of the amino alcohol afforded the ketone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tl w:val="0"/>
        </w:rPr>
        <w:t xml:space="preserve">Subsequent Grignard reaction of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with phenylmagnesium bromide gave the corresponding tertiary alcohol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Deprotection to give the triol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and subsequent re-protection led to the desired coupling partner with a free secondary alcohol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Nucleophilic displacement with the triazolopyrazine core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gave the protected compound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which was ultimately deprotected under acidic conditions to give the final laboratory synthesised compound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(a.k.a. the OHOH compound). Two further derivatives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and </w:t>
      </w:r>
      <w:r w:rsidDel="00000000" w:rsidR="00000000" w:rsidRPr="00000000">
        <w:rPr>
          <w:b w:val="1"/>
          <w:color w:val="24292e"/>
          <w:sz w:val="24"/>
          <w:szCs w:val="24"/>
          <w:highlight w:val="white"/>
          <w:rtl w:val="0"/>
        </w:rPr>
        <w:t xml:space="preserve">X</w:t>
      </w:r>
      <w:r w:rsidDel="00000000" w:rsidR="00000000" w:rsidRPr="00000000">
        <w:rPr>
          <w:color w:val="24292e"/>
          <w:sz w:val="24"/>
          <w:szCs w:val="24"/>
          <w:highlight w:val="white"/>
          <w:rtl w:val="0"/>
        </w:rPr>
        <w:t xml:space="preserve">) containing substituted phenyl rings (either 3,4-difluoro or 4-NMe</w:t>
      </w:r>
      <w:r w:rsidDel="00000000" w:rsidR="00000000" w:rsidRPr="00000000">
        <w:rPr>
          <w:color w:val="24292e"/>
          <w:sz w:val="24"/>
          <w:szCs w:val="24"/>
          <w:highlight w:val="white"/>
          <w:vertAlign w:val="subscript"/>
          <w:rtl w:val="0"/>
        </w:rPr>
        <w:t xml:space="preserve">2</w:t>
      </w:r>
      <w:r w:rsidDel="00000000" w:rsidR="00000000" w:rsidRPr="00000000">
        <w:rPr>
          <w:color w:val="24292e"/>
          <w:sz w:val="24"/>
          <w:szCs w:val="24"/>
          <w:highlight w:val="white"/>
          <w:rtl w:val="0"/>
        </w:rPr>
        <w:t xml:space="preserve">, respectively) were synthesised with the corresponding phenyl substituted Grignard reagents synthesised </w:t>
      </w:r>
      <w:r w:rsidDel="00000000" w:rsidR="00000000" w:rsidRPr="00000000">
        <w:rPr>
          <w:i w:val="1"/>
          <w:color w:val="24292e"/>
          <w:sz w:val="24"/>
          <w:szCs w:val="24"/>
          <w:highlight w:val="white"/>
          <w:rtl w:val="0"/>
        </w:rPr>
        <w:t xml:space="preserve">in situ</w:t>
      </w:r>
      <w:r w:rsidDel="00000000" w:rsidR="00000000" w:rsidRPr="00000000">
        <w:rPr>
          <w:color w:val="24292e"/>
          <w:sz w:val="24"/>
          <w:szCs w:val="24"/>
          <w:highlight w:val="white"/>
          <w:rtl w:val="0"/>
        </w:rPr>
        <w:t xml:space="preserve">.</w:t>
      </w:r>
      <w:r w:rsidDel="00000000" w:rsidR="00000000" w:rsidRPr="00000000">
        <w:rPr>
          <w:rtl w:val="0"/>
        </w:rPr>
      </w:r>
    </w:p>
    <w:p w:rsidR="00000000" w:rsidDel="00000000" w:rsidP="00000000" w:rsidRDefault="00000000" w:rsidRPr="00000000" w14:paraId="000000A9">
      <w:pPr>
        <w:ind w:left="0" w:firstLine="0"/>
        <w:jc w:val="both"/>
        <w:rPr>
          <w:color w:val="24292e"/>
          <w:sz w:val="24"/>
          <w:szCs w:val="24"/>
          <w:highlight w:val="white"/>
        </w:rPr>
      </w:pPr>
      <w:r w:rsidDel="00000000" w:rsidR="00000000" w:rsidRPr="00000000">
        <w:rPr>
          <w:rtl w:val="0"/>
        </w:rPr>
      </w:r>
    </w:p>
    <w:p w:rsidR="00000000" w:rsidDel="00000000" w:rsidP="00000000" w:rsidRDefault="00000000" w:rsidRPr="00000000" w14:paraId="000000AA">
      <w:pPr>
        <w:ind w:left="0" w:firstLine="0"/>
        <w:jc w:val="cente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1200" cy="34290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sz w:val="20"/>
          <w:szCs w:val="20"/>
          <w:highlight w:val="yellow"/>
        </w:rPr>
      </w:pPr>
      <w:r w:rsidDel="00000000" w:rsidR="00000000" w:rsidRPr="00000000">
        <w:rPr>
          <w:b w:val="1"/>
          <w:sz w:val="20"/>
          <w:szCs w:val="20"/>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Synthesis of OHOH derivatives. </w:t>
      </w:r>
      <w:r w:rsidDel="00000000" w:rsidR="00000000" w:rsidRPr="00000000">
        <w:rPr>
          <w:i w:val="1"/>
          <w:sz w:val="20"/>
          <w:szCs w:val="20"/>
          <w:highlight w:val="yellow"/>
          <w:rtl w:val="0"/>
        </w:rPr>
        <w:t xml:space="preserve">Reagents and reaction conditions</w:t>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The potency of several OHOH derivatives and clearance and solubility data from </w:t>
      </w:r>
      <w:r w:rsidDel="00000000" w:rsidR="00000000" w:rsidRPr="00000000">
        <w:rPr>
          <w:b w:val="1"/>
          <w:rtl w:val="0"/>
        </w:rPr>
        <w:t xml:space="preserve">MMV1581295</w:t>
      </w:r>
      <w:r w:rsidDel="00000000" w:rsidR="00000000" w:rsidRPr="00000000">
        <w:rPr>
          <w:rtl w:val="0"/>
        </w:rPr>
        <w:t xml:space="preserve"> are shown in </w:t>
      </w:r>
      <w:r w:rsidDel="00000000" w:rsidR="00000000" w:rsidRPr="00000000">
        <w:rPr>
          <w:b w:val="1"/>
          <w:rtl w:val="0"/>
        </w:rPr>
        <w:t xml:space="preserve">Table X</w:t>
      </w:r>
      <w:r w:rsidDel="00000000" w:rsidR="00000000" w:rsidRPr="00000000">
        <w:rPr>
          <w:rtl w:val="0"/>
        </w:rPr>
        <w:t xml:space="preserve">. The resynthesized OHOH compound </w:t>
      </w:r>
      <w:r w:rsidDel="00000000" w:rsidR="00000000" w:rsidRPr="00000000">
        <w:rPr>
          <w:b w:val="1"/>
          <w:rtl w:val="0"/>
        </w:rPr>
        <w:t xml:space="preserve">MMV1581295</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w:t>
      </w:r>
      <w:r w:rsidDel="00000000" w:rsidR="00000000" w:rsidRPr="00000000">
        <w:rPr>
          <w:rtl w:val="0"/>
        </w:rPr>
        <w:t xml:space="preserve">was not as potent as the biosynthesized</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derived from metabolite ID studies, despite </w:t>
      </w:r>
      <w:r w:rsidDel="00000000" w:rsidR="00000000" w:rsidRPr="00000000">
        <w:rPr>
          <w:rtl w:val="0"/>
        </w:rPr>
        <w:t xml:space="preserve">identical NMR and LCMS spectra (</w:t>
      </w:r>
      <w:r w:rsidDel="00000000" w:rsidR="00000000" w:rsidRPr="00000000">
        <w:rPr>
          <w:b w:val="1"/>
          <w:rtl w:val="0"/>
        </w:rPr>
        <w:t xml:space="preserve">Figure SX</w:t>
      </w:r>
      <w:r w:rsidDel="00000000" w:rsidR="00000000" w:rsidRPr="00000000">
        <w:rPr>
          <w:rtl w:val="0"/>
        </w:rPr>
        <w:t xml:space="preserve">)</w:t>
      </w:r>
      <w:r w:rsidDel="00000000" w:rsidR="00000000" w:rsidRPr="00000000">
        <w:rPr>
          <w:rtl w:val="0"/>
        </w:rPr>
        <w:t xml:space="preserve">. The 3,4-difluoro analog </w:t>
      </w:r>
      <w:r w:rsidDel="00000000" w:rsidR="00000000" w:rsidRPr="00000000">
        <w:rPr>
          <w:b w:val="1"/>
          <w:rtl w:val="0"/>
        </w:rPr>
        <w:t xml:space="preserve">3</w:t>
      </w:r>
      <w:r w:rsidDel="00000000" w:rsidR="00000000" w:rsidRPr="00000000">
        <w:rPr>
          <w:rtl w:val="0"/>
        </w:rPr>
        <w:t xml:space="preserve"> was more potent than its unsubstituted counterpart, consistent with established SAR, while the </w:t>
      </w:r>
      <w:r w:rsidDel="00000000" w:rsidR="00000000" w:rsidRPr="00000000">
        <w:rPr>
          <w:i w:val="1"/>
          <w:rtl w:val="0"/>
        </w:rPr>
        <w:t xml:space="preserve">para</w:t>
      </w:r>
      <w:r w:rsidDel="00000000" w:rsidR="00000000" w:rsidRPr="00000000">
        <w:rPr>
          <w:rtl w:val="0"/>
        </w:rPr>
        <w:t xml:space="preserve">-dimethylaniline analog </w:t>
      </w:r>
      <w:r w:rsidDel="00000000" w:rsidR="00000000" w:rsidRPr="00000000">
        <w:rPr>
          <w:b w:val="1"/>
          <w:rtl w:val="0"/>
        </w:rPr>
        <w:t xml:space="preserve">4</w:t>
      </w:r>
      <w:r w:rsidDel="00000000" w:rsidR="00000000" w:rsidRPr="00000000">
        <w:rPr>
          <w:rtl w:val="0"/>
        </w:rPr>
        <w:t xml:space="preserve"> was inactive. However, </w:t>
      </w:r>
      <w:r w:rsidDel="00000000" w:rsidR="00000000" w:rsidRPr="00000000">
        <w:rPr>
          <w:b w:val="1"/>
          <w:rtl w:val="0"/>
        </w:rPr>
        <w:t xml:space="preserve">2 </w:t>
      </w:r>
      <w:r w:rsidDel="00000000" w:rsidR="00000000" w:rsidRPr="00000000">
        <w:rPr>
          <w:rtl w:val="0"/>
        </w:rPr>
        <w:t xml:space="preserve">showed promising ADME data, with high solubility, excellent HLM clearance, and moderate RLM and MLM clearance.</w:t>
      </w:r>
    </w:p>
    <w:p w:rsidR="00000000" w:rsidDel="00000000" w:rsidP="00000000" w:rsidRDefault="00000000" w:rsidRPr="00000000" w14:paraId="000000AF">
      <w:pPr>
        <w:ind w:left="0" w:firstLine="0"/>
        <w:rPr/>
      </w:pPr>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785"/>
        <w:gridCol w:w="1425"/>
        <w:gridCol w:w="1860"/>
        <w:gridCol w:w="960"/>
        <w:gridCol w:w="885"/>
        <w:gridCol w:w="960"/>
        <w:tblGridChange w:id="0">
          <w:tblGrid>
            <w:gridCol w:w="990"/>
            <w:gridCol w:w="1785"/>
            <w:gridCol w:w="1425"/>
            <w:gridCol w:w="1860"/>
            <w:gridCol w:w="960"/>
            <w:gridCol w:w="885"/>
            <w:gridCol w:w="960"/>
          </w:tblGrid>
        </w:tblGridChange>
      </w:tblGrid>
      <w:tr>
        <w:trPr>
          <w:trHeight w:val="68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jc w:val="center"/>
              <w:rPr>
                <w:b w:val="1"/>
                <w:sz w:val="20"/>
                <w:szCs w:val="20"/>
              </w:rPr>
            </w:pPr>
            <w:r w:rsidDel="00000000" w:rsidR="00000000" w:rsidRPr="00000000">
              <w:rPr>
                <w:b w:val="1"/>
                <w:sz w:val="20"/>
                <w:szCs w:val="20"/>
              </w:rPr>
              <w:drawing>
                <wp:inline distB="114300" distT="114300" distL="114300" distR="114300">
                  <wp:extent cx="5495925" cy="14859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95925" cy="1485900"/>
                          </a:xfrm>
                          <a:prstGeom prst="rect"/>
                          <a:ln/>
                        </pic:spPr>
                      </pic:pic>
                    </a:graphicData>
                  </a:graphic>
                </wp:inline>
              </w:drawing>
            </w:r>
            <w:r w:rsidDel="00000000" w:rsidR="00000000" w:rsidRPr="00000000">
              <w:rPr>
                <w:rtl w:val="0"/>
              </w:rPr>
            </w:r>
          </w:p>
        </w:tc>
      </w:tr>
      <w:tr>
        <w:trPr>
          <w:trHeight w:val="120" w:hRule="atLeast"/>
        </w:trPr>
        <w:tc>
          <w:tcPr>
            <w:vMerge w:val="restart"/>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jc w:val="center"/>
              <w:rPr>
                <w:b w:val="1"/>
                <w:sz w:val="20"/>
                <w:szCs w:val="20"/>
              </w:rPr>
            </w:pPr>
            <w:r w:rsidDel="00000000" w:rsidR="00000000" w:rsidRPr="00000000">
              <w:rPr>
                <w:b w:val="1"/>
                <w:sz w:val="20"/>
                <w:szCs w:val="20"/>
                <w:rtl w:val="0"/>
              </w:rPr>
              <w:t xml:space="preserve">Entry</w:t>
            </w:r>
          </w:p>
        </w:tc>
        <w:tc>
          <w:tcPr>
            <w:vMerge w:val="restart"/>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jc w:val="center"/>
              <w:rPr>
                <w:b w:val="1"/>
                <w:sz w:val="20"/>
                <w:szCs w:val="20"/>
              </w:rPr>
            </w:pPr>
            <w:r w:rsidDel="00000000" w:rsidR="00000000" w:rsidRPr="00000000">
              <w:rPr>
                <w:b w:val="1"/>
                <w:sz w:val="20"/>
                <w:szCs w:val="20"/>
                <w:rtl w:val="0"/>
              </w:rPr>
              <w:t xml:space="preserve">ID</w:t>
            </w:r>
          </w:p>
        </w:tc>
        <w:tc>
          <w:tcPr>
            <w:vMerge w:val="restart"/>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jc w:val="center"/>
              <w:rPr>
                <w:b w:val="1"/>
                <w:sz w:val="20"/>
                <w:szCs w:val="20"/>
              </w:rPr>
            </w:pPr>
            <w:r w:rsidDel="00000000" w:rsidR="00000000" w:rsidRPr="00000000">
              <w:rPr>
                <w:b w:val="1"/>
                <w:i w:val="1"/>
                <w:sz w:val="20"/>
                <w:szCs w:val="20"/>
                <w:rtl w:val="0"/>
              </w:rPr>
              <w:t xml:space="preserve">P. falciparum</w:t>
            </w:r>
            <w:r w:rsidDel="00000000" w:rsidR="00000000" w:rsidRPr="00000000">
              <w:rPr>
                <w:b w:val="1"/>
                <w:sz w:val="20"/>
                <w:szCs w:val="20"/>
                <w:rtl w:val="0"/>
              </w:rPr>
              <w:t xml:space="preserve">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c>
          <w:tcPr>
            <w:vMerge w:val="restart"/>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jc w:val="center"/>
              <w:rPr>
                <w:b w:val="1"/>
                <w:sz w:val="20"/>
                <w:szCs w:val="20"/>
              </w:rPr>
            </w:pPr>
            <w:r w:rsidDel="00000000" w:rsidR="00000000" w:rsidRPr="00000000">
              <w:rPr>
                <w:b w:val="1"/>
                <w:sz w:val="20"/>
                <w:szCs w:val="20"/>
                <w:rtl w:val="0"/>
              </w:rPr>
              <w:t xml:space="preserve">Aqueous Solubility (μg/mL)</w:t>
            </w:r>
          </w:p>
        </w:tc>
        <w:tc>
          <w:tcPr>
            <w:gridSpan w:val="3"/>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jc w:val="center"/>
              <w:rPr>
                <w:b w:val="1"/>
                <w:sz w:val="20"/>
                <w:szCs w:val="20"/>
                <w:vertAlign w:val="subscript"/>
              </w:rPr>
            </w:pPr>
            <w:r w:rsidDel="00000000" w:rsidR="00000000" w:rsidRPr="00000000">
              <w:rPr>
                <w:b w:val="1"/>
                <w:sz w:val="20"/>
                <w:szCs w:val="20"/>
                <w:rtl w:val="0"/>
              </w:rPr>
              <w:t xml:space="preserve">Cl</w:t>
            </w:r>
            <w:r w:rsidDel="00000000" w:rsidR="00000000" w:rsidRPr="00000000">
              <w:rPr>
                <w:b w:val="1"/>
                <w:sz w:val="20"/>
                <w:szCs w:val="20"/>
                <w:vertAlign w:val="subscript"/>
                <w:rtl w:val="0"/>
              </w:rPr>
              <w:t xml:space="preserve">int</w:t>
            </w:r>
            <w:r w:rsidDel="00000000" w:rsidR="00000000" w:rsidRPr="00000000">
              <w:rPr>
                <w:b w:val="1"/>
                <w:sz w:val="20"/>
                <w:szCs w:val="20"/>
                <w:rtl w:val="0"/>
              </w:rPr>
              <w:t xml:space="preserve">/T</w:t>
            </w:r>
            <w:r w:rsidDel="00000000" w:rsidR="00000000" w:rsidRPr="00000000">
              <w:rPr>
                <w:b w:val="1"/>
                <w:sz w:val="20"/>
                <w:szCs w:val="20"/>
                <w:vertAlign w:val="subscript"/>
                <w:rtl w:val="0"/>
              </w:rPr>
              <w:t xml:space="preserve">1/2</w:t>
            </w:r>
          </w:p>
        </w:tc>
      </w:tr>
      <w:tr>
        <w:trPr>
          <w:trHeight w:val="1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jc w:val="center"/>
              <w:rPr>
                <w:b w:val="1"/>
                <w:sz w:val="20"/>
                <w:szCs w:val="20"/>
              </w:rPr>
            </w:pPr>
            <w:r w:rsidDel="00000000" w:rsidR="00000000" w:rsidRPr="00000000">
              <w:rPr>
                <w:b w:val="1"/>
                <w:sz w:val="20"/>
                <w:szCs w:val="20"/>
                <w:rtl w:val="0"/>
              </w:rPr>
              <w:t xml:space="preserve">RLM</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jc w:val="center"/>
              <w:rPr>
                <w:b w:val="1"/>
                <w:sz w:val="20"/>
                <w:szCs w:val="20"/>
              </w:rPr>
            </w:pPr>
            <w:r w:rsidDel="00000000" w:rsidR="00000000" w:rsidRPr="00000000">
              <w:rPr>
                <w:b w:val="1"/>
                <w:sz w:val="20"/>
                <w:szCs w:val="20"/>
                <w:rtl w:val="0"/>
              </w:rPr>
              <w:t xml:space="preserve">MLM</w:t>
            </w:r>
          </w:p>
        </w:tc>
      </w:tr>
      <w:tr>
        <w:trPr>
          <w:trHeight w:val="3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jc w:val="center"/>
              <w:rPr>
                <w:sz w:val="20"/>
                <w:szCs w:val="20"/>
              </w:rPr>
            </w:pPr>
            <w:r w:rsidDel="00000000" w:rsidR="00000000" w:rsidRPr="00000000">
              <w:rPr>
                <w:sz w:val="20"/>
                <w:szCs w:val="20"/>
                <w:rtl w:val="0"/>
              </w:rPr>
              <w:t xml:space="preserve">MMV1580315</w:t>
            </w:r>
          </w:p>
          <w:p w:rsidR="00000000" w:rsidDel="00000000" w:rsidP="00000000" w:rsidRDefault="00000000" w:rsidRPr="00000000" w14:paraId="000000C7">
            <w:pPr>
              <w:spacing w:before="0" w:line="240" w:lineRule="auto"/>
              <w:jc w:val="center"/>
              <w:rPr>
                <w:sz w:val="20"/>
                <w:szCs w:val="20"/>
              </w:rPr>
            </w:pPr>
            <w:r w:rsidDel="00000000" w:rsidR="00000000" w:rsidRPr="00000000">
              <w:rPr>
                <w:sz w:val="20"/>
                <w:szCs w:val="20"/>
                <w:rtl w:val="0"/>
              </w:rPr>
              <w:t xml:space="preserve">OSM-S-541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jc w:val="center"/>
              <w:rPr>
                <w:sz w:val="20"/>
                <w:szCs w:val="20"/>
              </w:rPr>
            </w:pPr>
            <w:r w:rsidDel="00000000" w:rsidR="00000000" w:rsidRPr="00000000">
              <w:rPr>
                <w:sz w:val="20"/>
                <w:szCs w:val="20"/>
                <w:rtl w:val="0"/>
              </w:rPr>
              <w:t xml:space="preserve">0.009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jc w:val="center"/>
              <w:rPr>
                <w:sz w:val="20"/>
                <w:szCs w:val="20"/>
              </w:rPr>
            </w:pPr>
            <w:r w:rsidDel="00000000" w:rsidR="00000000" w:rsidRPr="00000000">
              <w:rPr>
                <w:sz w:val="20"/>
                <w:szCs w:val="20"/>
                <w:rtl w:val="0"/>
              </w:rPr>
              <w:t xml:space="preserve"> </w:t>
            </w:r>
          </w:p>
        </w:tc>
      </w:tr>
      <w:tr>
        <w:trPr>
          <w:trHeight w:val="1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jc w:val="center"/>
              <w:rPr>
                <w:sz w:val="20"/>
                <w:szCs w:val="20"/>
              </w:rPr>
            </w:pPr>
            <w:r w:rsidDel="00000000" w:rsidR="00000000" w:rsidRPr="00000000">
              <w:rPr>
                <w:sz w:val="20"/>
                <w:szCs w:val="20"/>
                <w:rtl w:val="0"/>
              </w:rPr>
              <w:t xml:space="preserve">MMV1581295</w:t>
            </w:r>
          </w:p>
          <w:p w:rsidR="00000000" w:rsidDel="00000000" w:rsidP="00000000" w:rsidRDefault="00000000" w:rsidRPr="00000000" w14:paraId="000000CF">
            <w:pPr>
              <w:spacing w:before="0" w:line="240" w:lineRule="auto"/>
              <w:jc w:val="center"/>
              <w:rPr>
                <w:sz w:val="20"/>
                <w:szCs w:val="20"/>
              </w:rPr>
            </w:pPr>
            <w:r w:rsidDel="00000000" w:rsidR="00000000" w:rsidRPr="00000000">
              <w:rPr>
                <w:sz w:val="20"/>
                <w:szCs w:val="20"/>
                <w:rtl w:val="0"/>
              </w:rPr>
              <w:t xml:space="preserve">OSM-S-556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jc w:val="center"/>
              <w:rPr>
                <w:sz w:val="20"/>
                <w:szCs w:val="20"/>
              </w:rPr>
            </w:pPr>
            <w:r w:rsidDel="00000000" w:rsidR="00000000" w:rsidRPr="00000000">
              <w:rPr>
                <w:sz w:val="20"/>
                <w:szCs w:val="20"/>
                <w:rtl w:val="0"/>
              </w:rPr>
              <w:t xml:space="preserve">0.805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jc w:val="center"/>
              <w:rPr>
                <w:sz w:val="20"/>
                <w:szCs w:val="20"/>
              </w:rPr>
            </w:pPr>
            <w:r w:rsidDel="00000000" w:rsidR="00000000" w:rsidRPr="00000000">
              <w:rPr>
                <w:sz w:val="20"/>
                <w:szCs w:val="20"/>
                <w:rtl w:val="0"/>
              </w:rPr>
              <w:t xml:space="preserve">50-100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jc w:val="center"/>
              <w:rPr>
                <w:sz w:val="20"/>
                <w:szCs w:val="20"/>
              </w:rPr>
            </w:pPr>
            <w:r w:rsidDel="00000000" w:rsidR="00000000" w:rsidRPr="00000000">
              <w:rPr>
                <w:sz w:val="20"/>
                <w:szCs w:val="20"/>
                <w:rtl w:val="0"/>
              </w:rPr>
              <w:t xml:space="preserve">15/116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jc w:val="center"/>
              <w:rPr>
                <w:sz w:val="20"/>
                <w:szCs w:val="20"/>
              </w:rPr>
            </w:pPr>
            <w:r w:rsidDel="00000000" w:rsidR="00000000" w:rsidRPr="00000000">
              <w:rPr>
                <w:sz w:val="20"/>
                <w:szCs w:val="20"/>
                <w:rtl w:val="0"/>
              </w:rPr>
              <w:t xml:space="preserve">45/38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jc w:val="center"/>
              <w:rPr>
                <w:sz w:val="20"/>
                <w:szCs w:val="20"/>
              </w:rPr>
            </w:pPr>
            <w:r w:rsidDel="00000000" w:rsidR="00000000" w:rsidRPr="00000000">
              <w:rPr>
                <w:sz w:val="20"/>
                <w:szCs w:val="20"/>
                <w:rtl w:val="0"/>
              </w:rPr>
              <w:t xml:space="preserve">42/41</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before="0" w:lin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before="0" w:line="240" w:lineRule="auto"/>
              <w:jc w:val="center"/>
              <w:rPr>
                <w:sz w:val="20"/>
                <w:szCs w:val="20"/>
              </w:rPr>
            </w:pPr>
            <w:r w:rsidDel="00000000" w:rsidR="00000000" w:rsidRPr="00000000">
              <w:rPr>
                <w:sz w:val="20"/>
                <w:szCs w:val="20"/>
                <w:rtl w:val="0"/>
              </w:rPr>
              <w:t xml:space="preserve">MMV1581298</w:t>
            </w:r>
          </w:p>
          <w:p w:rsidR="00000000" w:rsidDel="00000000" w:rsidP="00000000" w:rsidRDefault="00000000" w:rsidRPr="00000000" w14:paraId="000000D7">
            <w:pPr>
              <w:spacing w:before="0" w:line="240" w:lineRule="auto"/>
              <w:jc w:val="center"/>
              <w:rPr>
                <w:sz w:val="20"/>
                <w:szCs w:val="20"/>
              </w:rPr>
            </w:pPr>
            <w:r w:rsidDel="00000000" w:rsidR="00000000" w:rsidRPr="00000000">
              <w:rPr>
                <w:sz w:val="20"/>
                <w:szCs w:val="20"/>
                <w:rtl w:val="0"/>
              </w:rPr>
              <w:t xml:space="preserve">OSM-S-560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jc w:val="center"/>
              <w:rPr>
                <w:sz w:val="20"/>
                <w:szCs w:val="20"/>
              </w:rPr>
            </w:pPr>
            <w:r w:rsidDel="00000000" w:rsidR="00000000" w:rsidRPr="00000000">
              <w:rPr>
                <w:sz w:val="20"/>
                <w:szCs w:val="20"/>
                <w:rtl w:val="0"/>
              </w:rPr>
              <w:t xml:space="preserve">0.555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jc w:val="center"/>
              <w:rPr>
                <w:sz w:val="20"/>
                <w:szCs w:val="20"/>
              </w:rPr>
            </w:pPr>
            <w:r w:rsidDel="00000000" w:rsidR="00000000" w:rsidRPr="00000000">
              <w:rPr>
                <w:sz w:val="20"/>
                <w:szCs w:val="20"/>
                <w:rtl w:val="0"/>
              </w:rPr>
              <w:t xml:space="preserve"> </w:t>
            </w:r>
          </w:p>
        </w:tc>
      </w:tr>
      <w:tr>
        <w:trPr>
          <w:trHeight w:val="3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0" w:line="240"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jc w:val="center"/>
              <w:rPr>
                <w:sz w:val="20"/>
                <w:szCs w:val="20"/>
              </w:rPr>
            </w:pPr>
            <w:r w:rsidDel="00000000" w:rsidR="00000000" w:rsidRPr="00000000">
              <w:rPr>
                <w:sz w:val="20"/>
                <w:szCs w:val="20"/>
                <w:rtl w:val="0"/>
              </w:rPr>
              <w:t xml:space="preserve">MMV1581305</w:t>
            </w:r>
          </w:p>
          <w:p w:rsidR="00000000" w:rsidDel="00000000" w:rsidP="00000000" w:rsidRDefault="00000000" w:rsidRPr="00000000" w14:paraId="000000DF">
            <w:pPr>
              <w:spacing w:before="0" w:line="240" w:lineRule="auto"/>
              <w:jc w:val="center"/>
              <w:rPr>
                <w:sz w:val="20"/>
                <w:szCs w:val="20"/>
              </w:rPr>
            </w:pPr>
            <w:r w:rsidDel="00000000" w:rsidR="00000000" w:rsidRPr="00000000">
              <w:rPr>
                <w:sz w:val="20"/>
                <w:szCs w:val="20"/>
                <w:rtl w:val="0"/>
              </w:rPr>
              <w:t xml:space="preserve">OSM-S-568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jc w:val="center"/>
              <w:rPr>
                <w:sz w:val="20"/>
                <w:szCs w:val="20"/>
              </w:rPr>
            </w:pPr>
            <w:r w:rsidDel="00000000" w:rsidR="00000000" w:rsidRPr="00000000">
              <w:rPr>
                <w:sz w:val="20"/>
                <w:szCs w:val="20"/>
                <w:rtl w:val="0"/>
              </w:rPr>
              <w:t xml:space="preserve">&gt;25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0" w:line="240" w:lineRule="auto"/>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E5">
      <w:pPr>
        <w:spacing w:after="240" w:before="0" w:line="240" w:lineRule="auto"/>
        <w:rPr>
          <w:sz w:val="20"/>
          <w:szCs w:val="20"/>
        </w:rPr>
      </w:pPr>
      <w:r w:rsidDel="00000000" w:rsidR="00000000" w:rsidRPr="00000000">
        <w:rPr>
          <w:b w:val="1"/>
          <w:sz w:val="20"/>
          <w:szCs w:val="20"/>
          <w:rtl w:val="0"/>
        </w:rPr>
        <w:t xml:space="preserve">Table X. </w:t>
      </w:r>
      <w:r w:rsidDel="00000000" w:rsidR="00000000" w:rsidRPr="00000000">
        <w:rPr>
          <w:sz w:val="20"/>
          <w:szCs w:val="20"/>
          <w:rtl w:val="0"/>
        </w:rPr>
        <w:t xml:space="preserve">Biological data for OHOH derivatives. Dundee </w:t>
      </w:r>
      <w:r w:rsidDel="00000000" w:rsidR="00000000" w:rsidRPr="00000000">
        <w:rPr>
          <w:i w:val="1"/>
          <w:sz w:val="20"/>
          <w:szCs w:val="20"/>
          <w:rtl w:val="0"/>
        </w:rPr>
        <w:t xml:space="preserve">P. fal</w:t>
      </w:r>
      <w:r w:rsidDel="00000000" w:rsidR="00000000" w:rsidRPr="00000000">
        <w:rPr>
          <w:sz w:val="20"/>
          <w:szCs w:val="20"/>
          <w:rtl w:val="0"/>
        </w:rPr>
        <w:t xml:space="preserve"> assay and Monash ADME data.</w:t>
      </w:r>
    </w:p>
    <w:p w:rsidR="00000000" w:rsidDel="00000000" w:rsidP="00000000" w:rsidRDefault="00000000" w:rsidRPr="00000000" w14:paraId="000000E6">
      <w:pPr>
        <w:ind w:left="0" w:firstLine="0"/>
        <w:rPr>
          <w:highlight w:val="yellow"/>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Heading2"/>
        <w:jc w:val="both"/>
        <w:rPr/>
      </w:pPr>
      <w:bookmarkStart w:colFirst="0" w:colLast="0" w:name="_597801qaz8vg" w:id="11"/>
      <w:bookmarkEnd w:id="11"/>
      <w:r w:rsidDel="00000000" w:rsidR="00000000" w:rsidRPr="00000000">
        <w:rPr>
          <w:rtl w:val="0"/>
        </w:rPr>
        <w:t xml:space="preserve">Mechanism of action.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highlight w:val="yellow"/>
        </w:rPr>
      </w:pPr>
      <w:r w:rsidDel="00000000" w:rsidR="00000000" w:rsidRPr="00000000">
        <w:rPr>
          <w:highlight w:val="yellow"/>
          <w:rtl w:val="0"/>
        </w:rPr>
        <w:t xml:space="preserve">[Other antiprotozoals with TP or closely related cores, and evidence that these are distinct from S4]</w:t>
      </w:r>
    </w:p>
    <w:p w:rsidR="00000000" w:rsidDel="00000000" w:rsidP="00000000" w:rsidRDefault="00000000" w:rsidRPr="00000000" w14:paraId="000000EB">
      <w:pPr>
        <w:jc w:val="both"/>
        <w:rPr>
          <w:highlight w:val="yellow"/>
        </w:rPr>
      </w:pPr>
      <w:r w:rsidDel="00000000" w:rsidR="00000000" w:rsidRPr="00000000">
        <w:rPr>
          <w:rtl w:val="0"/>
        </w:rPr>
      </w:r>
    </w:p>
    <w:p w:rsidR="00000000" w:rsidDel="00000000" w:rsidP="00000000" w:rsidRDefault="00000000" w:rsidRPr="00000000" w14:paraId="000000EC">
      <w:pPr>
        <w:jc w:val="both"/>
        <w:rPr>
          <w:highlight w:val="yellow"/>
        </w:rPr>
      </w:pPr>
      <w:r w:rsidDel="00000000" w:rsidR="00000000" w:rsidRPr="00000000">
        <w:rPr>
          <w:highlight w:val="yellow"/>
          <w:rtl w:val="0"/>
        </w:rPr>
        <w:t xml:space="preserve">[ref to predictive paper?, find a place to insert]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Preliminary investigation of the mechanism of action of Series 4 compounds points to PfATP4 as the target. Several studies have demonstrated that PfATP4 is a sodium efflux transporter that is required to maintain sodium homeostasis in the malaria parasite, and that inhibition of this protein results in an accumulation of sodium ions which leads to parasite death (Spillman 2013, DOI: 10.1016/j.chom.2012.12.006; Spillman 2015, DOI: 10.1016/j.ijpddr.2015.07.001). Induced resistance studies of a number of diverse chemotypes, some of which are shown in </w:t>
      </w:r>
      <w:r w:rsidDel="00000000" w:rsidR="00000000" w:rsidRPr="00000000">
        <w:rPr>
          <w:b w:val="1"/>
          <w:rtl w:val="0"/>
        </w:rPr>
        <w:t xml:space="preserve">Fig. X</w:t>
      </w:r>
      <w:r w:rsidDel="00000000" w:rsidR="00000000" w:rsidRPr="00000000">
        <w:rPr>
          <w:rtl w:val="0"/>
        </w:rPr>
        <w:t xml:space="preserve">,</w:t>
      </w:r>
      <w:r w:rsidDel="00000000" w:rsidR="00000000" w:rsidRPr="00000000">
        <w:rPr>
          <w:rtl w:val="0"/>
        </w:rPr>
        <w:t xml:space="preserve"> implicate PfATP4 as the target (Lehane 2014, DOI: 10.1111/mmi.12765; Spillman 2015, DOI: 10.1016/j.ijpddr.2015.07.001). For Series 4 compounds, activity in an </w:t>
      </w:r>
      <w:r w:rsidDel="00000000" w:rsidR="00000000" w:rsidRPr="00000000">
        <w:rPr>
          <w:i w:val="1"/>
          <w:rtl w:val="0"/>
        </w:rPr>
        <w:t xml:space="preserve">in vitro</w:t>
      </w:r>
      <w:r w:rsidDel="00000000" w:rsidR="00000000" w:rsidRPr="00000000">
        <w:rPr>
          <w:rtl w:val="0"/>
        </w:rPr>
        <w:t xml:space="preserve"> assay for this target (Rosling 2018, DOI: 10.1074/jbc.RA118.003640) </w:t>
      </w:r>
      <w:hyperlink r:id="rId21">
        <w:r w:rsidDel="00000000" w:rsidR="00000000" w:rsidRPr="00000000">
          <w:rPr>
            <w:color w:val="1155cc"/>
            <w:u w:val="single"/>
            <w:rtl w:val="0"/>
          </w:rPr>
          <w:t xml:space="preserve">correlates with blood stage antiparasitic activity</w:t>
        </w:r>
      </w:hyperlink>
      <w:r w:rsidDel="00000000" w:rsidR="00000000" w:rsidRPr="00000000">
        <w:rPr>
          <w:rtl w:val="0"/>
        </w:rPr>
        <w:t xml:space="preserve"> (</w:t>
      </w:r>
      <w:r w:rsidDel="00000000" w:rsidR="00000000" w:rsidRPr="00000000">
        <w:rPr>
          <w:b w:val="1"/>
          <w:rtl w:val="0"/>
        </w:rPr>
        <w:t xml:space="preserve">Table SX</w:t>
      </w:r>
      <w:r w:rsidDel="00000000" w:rsidR="00000000" w:rsidRPr="00000000">
        <w:rPr>
          <w:rtl w:val="0"/>
        </w:rPr>
        <w:t xml:space="preserve">)</w:t>
      </w:r>
      <w:r w:rsidDel="00000000" w:rsidR="00000000" w:rsidRPr="00000000">
        <w:rPr>
          <w:rtl w:val="0"/>
        </w:rPr>
        <w:t xml:space="preserve">, and cross resistance is observed with known PfATP4-resistant mutants.</w:t>
      </w:r>
      <w:r w:rsidDel="00000000" w:rsidR="00000000" w:rsidRPr="00000000">
        <w:rPr>
          <w:rtl w:val="0"/>
        </w:rPr>
        <w:t xml:space="preserve"> </w:t>
      </w:r>
      <w:hyperlink r:id="rId22">
        <w:r w:rsidDel="00000000" w:rsidR="00000000" w:rsidRPr="00000000">
          <w:rPr>
            <w:color w:val="1155cc"/>
            <w:u w:val="single"/>
            <w:rtl w:val="0"/>
          </w:rPr>
          <w:t xml:space="preserve">Chase Smith/Broad Experiments</w:t>
        </w:r>
      </w:hyperlink>
      <w:r w:rsidDel="00000000" w:rsidR="00000000" w:rsidRPr="00000000">
        <w:rPr>
          <w:rtl w:val="0"/>
        </w:rPr>
        <w:t xml:space="preserve">, </w:t>
      </w:r>
      <w:hyperlink r:id="rId23">
        <w:r w:rsidDel="00000000" w:rsidR="00000000" w:rsidRPr="00000000">
          <w:rPr>
            <w:color w:val="1155cc"/>
            <w:u w:val="single"/>
            <w:rtl w:val="0"/>
          </w:rPr>
          <w:t xml:space="preserve">Kirk experiments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jc w:val="both"/>
        <w:rPr/>
      </w:pPr>
      <w:r w:rsidDel="00000000" w:rsidR="00000000" w:rsidRPr="00000000">
        <w:rPr/>
        <w:drawing>
          <wp:inline distB="114300" distT="114300" distL="114300" distR="114300">
            <wp:extent cx="5734050" cy="19050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b w:val="1"/>
          <w:sz w:val="20"/>
          <w:szCs w:val="20"/>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Putative PfATP4 inhibitors.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The mode of action was further investigated using an unbiased metabolomics approach, which has previously been shown to reveal both novel and established modes of action of antimalarials (Creek 2016, DOI: 10.1128/AAC.01226-16). The active antimalarial </w:t>
      </w:r>
      <w:r w:rsidDel="00000000" w:rsidR="00000000" w:rsidRPr="00000000">
        <w:rPr>
          <w:b w:val="1"/>
          <w:rtl w:val="0"/>
        </w:rPr>
        <w:t xml:space="preserve">OSM-S-313</w:t>
      </w:r>
      <w:r w:rsidDel="00000000" w:rsidR="00000000" w:rsidRPr="00000000">
        <w:rPr>
          <w:rtl w:val="0"/>
        </w:rPr>
        <w:t xml:space="preserve">, and the inactive analogue </w:t>
      </w:r>
      <w:r w:rsidDel="00000000" w:rsidR="00000000" w:rsidRPr="00000000">
        <w:rPr>
          <w:b w:val="1"/>
          <w:rtl w:val="0"/>
        </w:rPr>
        <w:t xml:space="preserve">OSM-S-291</w:t>
      </w:r>
      <w:r w:rsidDel="00000000" w:rsidR="00000000" w:rsidRPr="00000000">
        <w:rPr>
          <w:rtl w:val="0"/>
        </w:rPr>
        <w:t xml:space="preserve">, were incubated with trophozoite stage </w:t>
      </w:r>
      <w:r w:rsidDel="00000000" w:rsidR="00000000" w:rsidRPr="00000000">
        <w:rPr>
          <w:i w:val="1"/>
          <w:rtl w:val="0"/>
        </w:rPr>
        <w:t xml:space="preserve">P. falciparum</w:t>
      </w:r>
      <w:r w:rsidDel="00000000" w:rsidR="00000000" w:rsidRPr="00000000">
        <w:rPr>
          <w:rtl w:val="0"/>
        </w:rPr>
        <w:t xml:space="preserve"> parasites for five hours alongside reference compounds including atovaquone (ATV), chloroquine (CQ), dihydroartemisinin (DHA) and three PfATP4 inhibitors, </w:t>
      </w:r>
      <w:r w:rsidDel="00000000" w:rsidR="00000000" w:rsidRPr="00000000">
        <w:rPr>
          <w:b w:val="1"/>
          <w:rtl w:val="0"/>
        </w:rPr>
        <w:t xml:space="preserve">MMV00073</w:t>
      </w:r>
      <w:r w:rsidDel="00000000" w:rsidR="00000000" w:rsidRPr="00000000">
        <w:rPr>
          <w:rtl w:val="0"/>
        </w:rPr>
        <w:t xml:space="preserve">, </w:t>
      </w:r>
      <w:r w:rsidDel="00000000" w:rsidR="00000000" w:rsidRPr="00000000">
        <w:rPr>
          <w:b w:val="1"/>
          <w:rtl w:val="0"/>
        </w:rPr>
        <w:t xml:space="preserve">MMV397264 </w:t>
      </w:r>
      <w:r w:rsidDel="00000000" w:rsidR="00000000" w:rsidRPr="00000000">
        <w:rPr>
          <w:rtl w:val="0"/>
        </w:rPr>
        <w:t xml:space="preserve">and </w:t>
      </w:r>
      <w:r w:rsidDel="00000000" w:rsidR="00000000" w:rsidRPr="00000000">
        <w:rPr>
          <w:b w:val="1"/>
          <w:rtl w:val="0"/>
        </w:rPr>
        <w:t xml:space="preserve">MMV390482</w:t>
      </w:r>
      <w:r w:rsidDel="00000000" w:rsidR="00000000" w:rsidRPr="00000000">
        <w:rPr>
          <w:rtl w:val="0"/>
        </w:rPr>
        <w:t xml:space="preserve">. </w:t>
      </w:r>
      <w:r w:rsidDel="00000000" w:rsidR="00000000" w:rsidRPr="00000000">
        <w:rPr>
          <w:highlight w:val="yellow"/>
          <w:rtl w:val="0"/>
        </w:rPr>
        <w:t xml:space="preserve">[Show that OSM-S-313 is different from MMV00073, MMV397264 and MMV390482]</w:t>
      </w:r>
      <w:r w:rsidDel="00000000" w:rsidR="00000000" w:rsidRPr="00000000">
        <w:rPr>
          <w:rtl w:val="0"/>
        </w:rPr>
        <w:t xml:space="preserve">. Metabolomics analysis of cell pellets and spent media allowed reproducible detection of diverse metabolites from a range of metabolic pathways, with the most significant </w:t>
      </w:r>
      <w:r w:rsidDel="00000000" w:rsidR="00000000" w:rsidRPr="00000000">
        <w:rPr>
          <w:b w:val="1"/>
          <w:rtl w:val="0"/>
        </w:rPr>
        <w:t xml:space="preserve">OSM-S-313</w:t>
      </w:r>
      <w:r w:rsidDel="00000000" w:rsidR="00000000" w:rsidRPr="00000000">
        <w:rPr>
          <w:rtl w:val="0"/>
        </w:rPr>
        <w:t xml:space="preserve">-induced perturbations observed within peptide, lipid and energy metabolism, suggesting a specific impact on parasite metabolism (</w:t>
      </w:r>
      <w:r w:rsidDel="00000000" w:rsidR="00000000" w:rsidRPr="00000000">
        <w:rPr>
          <w:b w:val="1"/>
          <w:rtl w:val="0"/>
        </w:rPr>
        <w:t xml:space="preserve">Fig. Metab_S1</w:t>
      </w:r>
      <w:r w:rsidDel="00000000" w:rsidR="00000000" w:rsidRPr="00000000">
        <w:rPr>
          <w:rtl w:val="0"/>
        </w:rPr>
        <w:t xml:space="preserve">).</w:t>
      </w:r>
    </w:p>
    <w:p w:rsidR="00000000" w:rsidDel="00000000" w:rsidP="00000000" w:rsidRDefault="00000000" w:rsidRPr="00000000" w14:paraId="000000F3">
      <w:pPr>
        <w:jc w:val="both"/>
        <w:rPr/>
      </w:pPr>
      <w:r w:rsidDel="00000000" w:rsidR="00000000" w:rsidRPr="00000000">
        <w:rPr/>
        <w:drawing>
          <wp:inline distB="114300" distT="114300" distL="114300" distR="114300">
            <wp:extent cx="5734050" cy="40132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b w:val="1"/>
          <w:sz w:val="20"/>
          <w:szCs w:val="20"/>
          <w:highlight w:val="yellow"/>
        </w:rPr>
      </w:pPr>
      <w:r w:rsidDel="00000000" w:rsidR="00000000" w:rsidRPr="00000000">
        <w:rPr>
          <w:b w:val="1"/>
          <w:sz w:val="20"/>
          <w:szCs w:val="20"/>
          <w:highlight w:val="white"/>
          <w:rtl w:val="0"/>
        </w:rPr>
        <w:t xml:space="preserve">Fig Metab_S1</w:t>
      </w:r>
      <w:r w:rsidDel="00000000" w:rsidR="00000000" w:rsidRPr="00000000">
        <w:rPr>
          <w:sz w:val="20"/>
          <w:szCs w:val="20"/>
          <w:highlight w:val="white"/>
          <w:rtl w:val="0"/>
        </w:rPr>
        <w:t xml:space="preserve"> Heatmap of putative metabolite (y-axis) abundances in all samples treated with OSM-S-313, OSM-S-291, dihydroartemisinin (DHA), chloroquine (CQ), atovaquone (ATV), PfATP4 inhibitors (MMV00073, MMV397264 and MMV390482) and vehicle control (DMSO) (x-axis: replicates are adjacent and different treatments are separated by vertical black lines). Yellow features indicate no significant perturbation of metabolite levels relative to DMSO controls. Increased and decreased metabolite levels in treated cells are represented by red and blue, respectively. (A) Heatmap of putative metabolite features identified in cell pellets under different treatments. (B) Heatmap of putative metabolite features identified in spent media under different treatments. </w:t>
      </w:r>
      <w:r w:rsidDel="00000000" w:rsidR="00000000" w:rsidRPr="00000000">
        <w:rPr>
          <w:b w:val="1"/>
          <w:sz w:val="20"/>
          <w:szCs w:val="20"/>
          <w:highlight w:val="yellow"/>
          <w:rtl w:val="0"/>
        </w:rPr>
        <w:t xml:space="preserve">(This is a supplementary figure and will not appear in the main text. This is a low resolution figure. High res image for the figure will be submitted for publication)</w:t>
      </w:r>
    </w:p>
    <w:p w:rsidR="00000000" w:rsidDel="00000000" w:rsidP="00000000" w:rsidRDefault="00000000" w:rsidRPr="00000000" w14:paraId="000000F5">
      <w:pPr>
        <w:jc w:val="both"/>
        <w:rPr>
          <w:b w:val="1"/>
          <w:highlight w:val="white"/>
        </w:rPr>
      </w:pPr>
      <w:r w:rsidDel="00000000" w:rsidR="00000000" w:rsidRPr="00000000">
        <w:rPr>
          <w:rtl w:val="0"/>
        </w:rPr>
      </w:r>
    </w:p>
    <w:p w:rsidR="00000000" w:rsidDel="00000000" w:rsidP="00000000" w:rsidRDefault="00000000" w:rsidRPr="00000000" w14:paraId="000000F6">
      <w:pPr>
        <w:jc w:val="both"/>
        <w:rPr>
          <w:b w:val="1"/>
          <w:highlight w:val="white"/>
        </w:rPr>
      </w:pPr>
      <w:r w:rsidDel="00000000" w:rsidR="00000000" w:rsidRPr="00000000">
        <w:rPr>
          <w:rtl w:val="0"/>
        </w:rPr>
      </w:r>
    </w:p>
    <w:p w:rsidR="00000000" w:rsidDel="00000000" w:rsidP="00000000" w:rsidRDefault="00000000" w:rsidRPr="00000000" w14:paraId="000000F7">
      <w:pPr>
        <w:jc w:val="both"/>
        <w:rPr>
          <w:b w:val="1"/>
          <w:highlight w:val="white"/>
        </w:rPr>
      </w:pPr>
      <w:r w:rsidDel="00000000" w:rsidR="00000000" w:rsidRPr="00000000">
        <w:rPr>
          <w:rtl w:val="0"/>
        </w:rPr>
      </w:r>
    </w:p>
    <w:p w:rsidR="00000000" w:rsidDel="00000000" w:rsidP="00000000" w:rsidRDefault="00000000" w:rsidRPr="00000000" w14:paraId="000000F8">
      <w:pPr>
        <w:jc w:val="both"/>
        <w:rPr>
          <w:b w:val="1"/>
          <w:highlight w:val="white"/>
        </w:rPr>
      </w:pPr>
      <w:r w:rsidDel="00000000" w:rsidR="00000000" w:rsidRPr="00000000">
        <w:rPr>
          <w:rtl w:val="0"/>
        </w:rPr>
      </w:r>
    </w:p>
    <w:p w:rsidR="00000000" w:rsidDel="00000000" w:rsidP="00000000" w:rsidRDefault="00000000" w:rsidRPr="00000000" w14:paraId="000000F9">
      <w:pPr>
        <w:jc w:val="both"/>
        <w:rPr>
          <w:b w:val="1"/>
          <w:highlight w:val="white"/>
        </w:rPr>
      </w:pPr>
      <w:r w:rsidDel="00000000" w:rsidR="00000000" w:rsidRPr="00000000">
        <w:rPr>
          <w:rtl w:val="0"/>
        </w:rPr>
      </w:r>
    </w:p>
    <w:p w:rsidR="00000000" w:rsidDel="00000000" w:rsidP="00000000" w:rsidRDefault="00000000" w:rsidRPr="00000000" w14:paraId="000000FA">
      <w:pPr>
        <w:jc w:val="both"/>
        <w:rPr>
          <w:b w:val="1"/>
          <w:highlight w:val="white"/>
        </w:rPr>
      </w:pPr>
      <w:r w:rsidDel="00000000" w:rsidR="00000000" w:rsidRPr="00000000">
        <w:rPr>
          <w:rtl w:val="0"/>
        </w:rPr>
      </w:r>
    </w:p>
    <w:p w:rsidR="00000000" w:rsidDel="00000000" w:rsidP="00000000" w:rsidRDefault="00000000" w:rsidRPr="00000000" w14:paraId="000000FB">
      <w:pPr>
        <w:jc w:val="both"/>
        <w:rPr>
          <w:b w:val="1"/>
          <w:highlight w:val="white"/>
        </w:rPr>
      </w:pPr>
      <w:r w:rsidDel="00000000" w:rsidR="00000000" w:rsidRPr="00000000">
        <w:rPr>
          <w:rtl w:val="0"/>
        </w:rPr>
      </w:r>
    </w:p>
    <w:p w:rsidR="00000000" w:rsidDel="00000000" w:rsidP="00000000" w:rsidRDefault="00000000" w:rsidRPr="00000000" w14:paraId="000000FC">
      <w:pPr>
        <w:jc w:val="both"/>
        <w:rPr>
          <w:b w:val="1"/>
          <w:highlight w:val="white"/>
        </w:rPr>
      </w:pPr>
      <w:r w:rsidDel="00000000" w:rsidR="00000000" w:rsidRPr="00000000">
        <w:rPr>
          <w:rtl w:val="0"/>
        </w:rPr>
      </w:r>
    </w:p>
    <w:p w:rsidR="00000000" w:rsidDel="00000000" w:rsidP="00000000" w:rsidRDefault="00000000" w:rsidRPr="00000000" w14:paraId="000000FD">
      <w:pPr>
        <w:jc w:val="both"/>
        <w:rPr>
          <w:b w:val="1"/>
          <w:highlight w:val="white"/>
        </w:rPr>
      </w:pPr>
      <w:r w:rsidDel="00000000" w:rsidR="00000000" w:rsidRPr="00000000">
        <w:rPr>
          <w:rtl w:val="0"/>
        </w:rPr>
      </w:r>
    </w:p>
    <w:p w:rsidR="00000000" w:rsidDel="00000000" w:rsidP="00000000" w:rsidRDefault="00000000" w:rsidRPr="00000000" w14:paraId="000000FE">
      <w:pPr>
        <w:jc w:val="both"/>
        <w:rPr>
          <w:b w:val="1"/>
          <w:highlight w:val="white"/>
        </w:rPr>
      </w:pPr>
      <w:r w:rsidDel="00000000" w:rsidR="00000000" w:rsidRPr="00000000">
        <w:rPr>
          <w:rtl w:val="0"/>
        </w:rPr>
      </w:r>
    </w:p>
    <w:p w:rsidR="00000000" w:rsidDel="00000000" w:rsidP="00000000" w:rsidRDefault="00000000" w:rsidRPr="00000000" w14:paraId="000000FF">
      <w:pPr>
        <w:jc w:val="both"/>
        <w:rPr>
          <w:b w:val="1"/>
          <w:highlight w:val="white"/>
        </w:rPr>
      </w:pPr>
      <w:r w:rsidDel="00000000" w:rsidR="00000000" w:rsidRPr="00000000">
        <w:rPr>
          <w:b w:val="1"/>
          <w:highlight w:val="white"/>
        </w:rPr>
        <w:drawing>
          <wp:inline distB="114300" distT="114300" distL="114300" distR="114300">
            <wp:extent cx="5734050" cy="7124700"/>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405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b w:val="1"/>
          <w:sz w:val="20"/>
          <w:szCs w:val="20"/>
          <w:highlight w:val="yellow"/>
        </w:rPr>
      </w:pPr>
      <w:r w:rsidDel="00000000" w:rsidR="00000000" w:rsidRPr="00000000">
        <w:rPr>
          <w:b w:val="1"/>
          <w:sz w:val="20"/>
          <w:szCs w:val="20"/>
          <w:highlight w:val="white"/>
          <w:rtl w:val="0"/>
        </w:rPr>
        <w:t xml:space="preserve">Fig Metab_1. </w:t>
      </w:r>
      <w:r w:rsidDel="00000000" w:rsidR="00000000" w:rsidRPr="00000000">
        <w:rPr>
          <w:sz w:val="20"/>
          <w:szCs w:val="20"/>
          <w:highlight w:val="white"/>
          <w:rtl w:val="0"/>
        </w:rPr>
        <w:t xml:space="preserve">(A) Multivariate sparse-PLSDA analysis of levels of all putatively identified metabolites from P. falciparum-infected red blood cell pellets treated with OSM-S-313, OSM-S-291, dihydroartemisinin (DHA), chloroquine (CQ), atovaquone (ATV), PfATP4 inhibitors (MMV00073, MMV397264 and MMV390482) and vehicle control (DMSO). (B/C) Sparse-PLSDA loadings of metabolite features responsible for the distribution of sample groups across components 1 (B) and 2 (C) in panel A and their mean relative abundance.  (D) Relative abundance of dihydroxyacetone phosphate (DHAP) in all treatment groups (mean peak intensity + standard deviation. N = 4, *p-value &lt; 0.05).  (E) Multivariate sparse-PLSDA analysis of levels of all putatively identified metabolites from spent media under different treatment conditions. (F) Loadings of metabolite features responsible for the distribution of sample groups across component 2 in panel E and their mean relative abundance. Abbreviations: PS: phosphatidylserine, CMP: cytidine monophosphate, AMP: adenosine monophosphate. </w:t>
      </w:r>
      <w:r w:rsidDel="00000000" w:rsidR="00000000" w:rsidRPr="00000000">
        <w:rPr>
          <w:b w:val="1"/>
          <w:sz w:val="20"/>
          <w:szCs w:val="20"/>
          <w:highlight w:val="yellow"/>
          <w:rtl w:val="0"/>
        </w:rPr>
        <w:t xml:space="preserve">(This is a low resolution figure. High res image for the figure will be submitted for publication.)</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A multivariate sparse-PLSDA analysis of cell pellet samples revealed that the primary metabolic impact of </w:t>
      </w:r>
      <w:r w:rsidDel="00000000" w:rsidR="00000000" w:rsidRPr="00000000">
        <w:rPr>
          <w:b w:val="1"/>
          <w:rtl w:val="0"/>
        </w:rPr>
        <w:t xml:space="preserve">OSM-S-313</w:t>
      </w:r>
      <w:r w:rsidDel="00000000" w:rsidR="00000000" w:rsidRPr="00000000">
        <w:rPr>
          <w:rtl w:val="0"/>
        </w:rPr>
        <w:t xml:space="preserve"> treatment was consistent with the perturbations observed for the three reference PfATP4 inhibitors, and these samples clustered distinctly from the other reference compounds with different mechanisms of action (</w:t>
      </w:r>
      <w:r w:rsidDel="00000000" w:rsidR="00000000" w:rsidRPr="00000000">
        <w:rPr>
          <w:b w:val="1"/>
          <w:rtl w:val="0"/>
        </w:rPr>
        <w:t xml:space="preserve">Fig. Metab_1A</w:t>
      </w:r>
      <w:r w:rsidDel="00000000" w:rsidR="00000000" w:rsidRPr="00000000">
        <w:rPr>
          <w:rtl w:val="0"/>
        </w:rPr>
        <w:t xml:space="preserve">). Cultures incubated with the inactive analogue (</w:t>
      </w:r>
      <w:r w:rsidDel="00000000" w:rsidR="00000000" w:rsidRPr="00000000">
        <w:rPr>
          <w:b w:val="1"/>
          <w:rtl w:val="0"/>
        </w:rPr>
        <w:t xml:space="preserve">OSM-S-291</w:t>
      </w:r>
      <w:r w:rsidDel="00000000" w:rsidR="00000000" w:rsidRPr="00000000">
        <w:rPr>
          <w:rtl w:val="0"/>
        </w:rPr>
        <w:t xml:space="preserve">) clustered with the untreated controls, confirming the lack of impact on </w:t>
      </w:r>
      <w:r w:rsidDel="00000000" w:rsidR="00000000" w:rsidRPr="00000000">
        <w:rPr>
          <w:rtl w:val="0"/>
        </w:rPr>
        <w:t xml:space="preserve">parasite biology</w:t>
      </w:r>
      <w:r w:rsidDel="00000000" w:rsidR="00000000" w:rsidRPr="00000000">
        <w:rPr>
          <w:rtl w:val="0"/>
        </w:rPr>
        <w:t xml:space="preserve">. </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The metabolite features responsible for the distribution of samples across the first sPLSDA component were primarily peptides derived from haemoglobin digestion, which were depleted following treatment with the PfATP4 inhibitors DHA, and to a lesser extent, chloroquine (</w:t>
      </w:r>
      <w:r w:rsidDel="00000000" w:rsidR="00000000" w:rsidRPr="00000000">
        <w:rPr>
          <w:b w:val="1"/>
          <w:rtl w:val="0"/>
        </w:rPr>
        <w:t xml:space="preserve">Fig. Metab_1B</w:t>
      </w:r>
      <w:r w:rsidDel="00000000" w:rsidR="00000000" w:rsidRPr="00000000">
        <w:rPr>
          <w:rtl w:val="0"/>
        </w:rPr>
        <w:t xml:space="preserve">). This finding is consistent with previous metabolomics results from artemisinin and other PfATP4 inhibitors (Creek 2016, DOI: 10.1128/AAC.01226-16), and suggests that inhibition of digestive vacuole function is the major impact of each of these classes of antimalarials on parasite metabolism. However, differentiation between PfATP4 inhibitors (including </w:t>
      </w:r>
      <w:r w:rsidDel="00000000" w:rsidR="00000000" w:rsidRPr="00000000">
        <w:rPr>
          <w:b w:val="1"/>
          <w:rtl w:val="0"/>
        </w:rPr>
        <w:t xml:space="preserve">OSM-S-313</w:t>
      </w:r>
      <w:r w:rsidDel="00000000" w:rsidR="00000000" w:rsidRPr="00000000">
        <w:rPr>
          <w:rtl w:val="0"/>
        </w:rPr>
        <w:t xml:space="preserve">) and the known digestive vacuole-targeting drugs (chloroquine and DHA) was observed in the second sPLSDA component (</w:t>
      </w:r>
      <w:r w:rsidDel="00000000" w:rsidR="00000000" w:rsidRPr="00000000">
        <w:rPr>
          <w:b w:val="1"/>
          <w:rtl w:val="0"/>
        </w:rPr>
        <w:t xml:space="preserve">Fig. Metab_1A</w:t>
      </w:r>
      <w:r w:rsidDel="00000000" w:rsidR="00000000" w:rsidRPr="00000000">
        <w:rPr>
          <w:rtl w:val="0"/>
        </w:rPr>
        <w:t xml:space="preserve">), which included three lysophosphatidylserines (lysoPS) in the top five metabolites contributing to this component (</w:t>
      </w:r>
      <w:r w:rsidDel="00000000" w:rsidR="00000000" w:rsidRPr="00000000">
        <w:rPr>
          <w:b w:val="1"/>
          <w:rtl w:val="0"/>
        </w:rPr>
        <w:t xml:space="preserve">Fig. Metab_1C</w:t>
      </w:r>
      <w:r w:rsidDel="00000000" w:rsidR="00000000" w:rsidRPr="00000000">
        <w:rPr>
          <w:rtl w:val="0"/>
        </w:rPr>
        <w:t xml:space="preserve">). Increased levels of lysoPS were observed in cultures treated with PfATP4 inhibitors (including </w:t>
      </w:r>
      <w:r w:rsidDel="00000000" w:rsidR="00000000" w:rsidRPr="00000000">
        <w:rPr>
          <w:b w:val="1"/>
          <w:rtl w:val="0"/>
        </w:rPr>
        <w:t xml:space="preserve">OSM-S-313</w:t>
      </w:r>
      <w:r w:rsidDel="00000000" w:rsidR="00000000" w:rsidRPr="00000000">
        <w:rPr>
          <w:rtl w:val="0"/>
        </w:rPr>
        <w:t xml:space="preserve">), whereas levels of these lipids were generally depleted following treatment with DHA, chloroquine or atovaquone (</w:t>
      </w:r>
      <w:r w:rsidDel="00000000" w:rsidR="00000000" w:rsidRPr="00000000">
        <w:rPr>
          <w:b w:val="1"/>
          <w:rtl w:val="0"/>
        </w:rPr>
        <w:t xml:space="preserve">Fig. Metab_1C</w:t>
      </w:r>
      <w:r w:rsidDel="00000000" w:rsidR="00000000" w:rsidRPr="00000000">
        <w:rPr>
          <w:rtl w:val="0"/>
        </w:rPr>
        <w:t xml:space="preserve">). Previous studies of the PfATP4 inhibitor SJ733 revealed enhanced PS exposure in the outer membrane leaflet of infected erythrocytes (Jiminez-Diaz 2014, DOI: 10.1073/pnas.1414221111). PS exposure is a marker of eryptosis, and it was proposed that this cell death mechanism may contribute to parasite clearance following SJ733 treatment </w:t>
      </w:r>
      <w:r w:rsidDel="00000000" w:rsidR="00000000" w:rsidRPr="00000000">
        <w:rPr>
          <w:i w:val="1"/>
          <w:rtl w:val="0"/>
        </w:rPr>
        <w:t xml:space="preserve">in vivo</w:t>
      </w:r>
      <w:r w:rsidDel="00000000" w:rsidR="00000000" w:rsidRPr="00000000">
        <w:rPr>
          <w:rtl w:val="0"/>
        </w:rPr>
        <w:t xml:space="preserve">. As eryptosis is associated with increased activity of phospholipase A2, the enzyme responsible for lysoPS production, it is likely that the observed perturbation to PS metabolism is associated with the induction of eryptosis.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Univariate analyses revealed that the metabolite that exhibited greatest perturbation in parasites treated with the reference PfATP4 inhibitors and </w:t>
      </w:r>
      <w:r w:rsidDel="00000000" w:rsidR="00000000" w:rsidRPr="00000000">
        <w:rPr>
          <w:b w:val="1"/>
          <w:rtl w:val="0"/>
        </w:rPr>
        <w:t xml:space="preserve">OSM-S-313</w:t>
      </w:r>
      <w:r w:rsidDel="00000000" w:rsidR="00000000" w:rsidRPr="00000000">
        <w:rPr>
          <w:rtl w:val="0"/>
        </w:rPr>
        <w:t xml:space="preserve"> was dihydroxyacetone phosphate (DHAP) (</w:t>
      </w:r>
      <w:r w:rsidDel="00000000" w:rsidR="00000000" w:rsidRPr="00000000">
        <w:rPr>
          <w:b w:val="1"/>
          <w:rtl w:val="0"/>
        </w:rPr>
        <w:t xml:space="preserve">Fig. Metab_1D</w:t>
      </w:r>
      <w:r w:rsidDel="00000000" w:rsidR="00000000" w:rsidRPr="00000000">
        <w:rPr>
          <w:rtl w:val="0"/>
        </w:rPr>
        <w:t xml:space="preserve">). DHAP is a glycolytic intermediate which was ~3-fold increased with </w:t>
      </w:r>
      <w:r w:rsidDel="00000000" w:rsidR="00000000" w:rsidRPr="00000000">
        <w:rPr>
          <w:b w:val="1"/>
          <w:rtl w:val="0"/>
        </w:rPr>
        <w:t xml:space="preserve">OSM-S-313</w:t>
      </w:r>
      <w:r w:rsidDel="00000000" w:rsidR="00000000" w:rsidRPr="00000000">
        <w:rPr>
          <w:rtl w:val="0"/>
        </w:rPr>
        <w:t xml:space="preserve"> and the reference PfATP4 inhibitors, but not significantly altered by the inactive analogue (</w:t>
      </w:r>
      <w:r w:rsidDel="00000000" w:rsidR="00000000" w:rsidRPr="00000000">
        <w:rPr>
          <w:b w:val="1"/>
          <w:rtl w:val="0"/>
        </w:rPr>
        <w:t xml:space="preserve">OSM-S-291</w:t>
      </w:r>
      <w:r w:rsidDel="00000000" w:rsidR="00000000" w:rsidRPr="00000000">
        <w:rPr>
          <w:rtl w:val="0"/>
        </w:rPr>
        <w:t xml:space="preserve">) or the other reference antimalarials under these conditions.</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Metabolomics analysis of the spent media from these cultures also revealed consistent clustering between OSM-S-313 and the reference PfATP4 inhibitors (</w:t>
      </w:r>
      <w:r w:rsidDel="00000000" w:rsidR="00000000" w:rsidRPr="00000000">
        <w:rPr>
          <w:b w:val="1"/>
          <w:rtl w:val="0"/>
        </w:rPr>
        <w:t xml:space="preserve">Fig. Metab_1E</w:t>
      </w:r>
      <w:r w:rsidDel="00000000" w:rsidR="00000000" w:rsidRPr="00000000">
        <w:rPr>
          <w:rtl w:val="0"/>
        </w:rPr>
        <w:t xml:space="preserve">). Component 2 in the sPLSDA allowed clear differentiation of the PfATP4 inhibitors (including </w:t>
      </w:r>
      <w:r w:rsidDel="00000000" w:rsidR="00000000" w:rsidRPr="00000000">
        <w:rPr>
          <w:b w:val="1"/>
          <w:rtl w:val="0"/>
        </w:rPr>
        <w:t xml:space="preserve">OSM-S-313</w:t>
      </w:r>
      <w:r w:rsidDel="00000000" w:rsidR="00000000" w:rsidRPr="00000000">
        <w:rPr>
          <w:rtl w:val="0"/>
        </w:rPr>
        <w:t xml:space="preserve">) from all other compounds, and the metabolites responsible for this separation are primarily implicated in energy metabolism (</w:t>
      </w:r>
      <w:r w:rsidDel="00000000" w:rsidR="00000000" w:rsidRPr="00000000">
        <w:rPr>
          <w:b w:val="1"/>
          <w:rtl w:val="0"/>
        </w:rPr>
        <w:t xml:space="preserve">Fig. Metab_1F</w:t>
      </w:r>
      <w:r w:rsidDel="00000000" w:rsidR="00000000" w:rsidRPr="00000000">
        <w:rPr>
          <w:rtl w:val="0"/>
        </w:rPr>
        <w:t xml:space="preserve">). Specifically, lower levels of excreted lactate and pyruvate are indicative of decreased glycolytic flux, and accumulation of AMP is consistent with reduced energy production.</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Several downstream mechanisms have been proposed to be responsible for parasite death caused by PfATP4 inhibitors, and results from this metabolomics study support the hypotheses that excess intracellular sodium leads to inhibition of metabolic enzymes and/or induction of eryptosis.  It has been shown in other species that high sodium ion concentrations can inhibit the penultimate step in the glycolytic pathway, the transphosphorylation step between phosphoenolpyruvate and pyruvate (Utter 1950, www.jbc.org/content/185/2/499.citation). Indeed, decreased efflux of pyruvate and the downstream glycolytic product, lactate, were observed in this study, and whilst intracellular levels of most glycolytic intermediates were not significantly altered, an accumulation of DHAP, the only glycolytic metabolite which resides on a rapidly isomerising branch in an otherwise linear pathway, may indicate a similar downstream block in glycolysis. This glycolytic inhibition has also been shown to prevent re-phosphorylation of adenylates, and whilst intracellular ATP levels were not significantly depleted over the time-frame of this study, it is consistent with previous studies (Spillman 2013, DOI: 10.1016/j.chom.2012.12.006; Jiminez-Diaz 2014, DOI: 10.1073/pnas.1414221111). The accumulation of AMP in the spent media also suggests disruption of the energy balance. Further studies are required to determine whether the inhibition of haemoglobin digestion and perturbation of phosphatidylserine metabolism are directly associated with intracellular sodium levels or whether they are parasite and/or host responses to disrupted energy metabolism.</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2"/>
        <w:jc w:val="both"/>
        <w:rPr/>
      </w:pPr>
      <w:bookmarkStart w:colFirst="0" w:colLast="0" w:name="_2vcksjvoxdln" w:id="12"/>
      <w:bookmarkEnd w:id="12"/>
      <w:r w:rsidDel="00000000" w:rsidR="00000000" w:rsidRPr="00000000">
        <w:rPr>
          <w:rtl w:val="0"/>
        </w:rPr>
        <w:t xml:space="preserve">Computational studies.</w:t>
      </w: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To identify the putative binding site of the OSM Series 4 compounds to PfATP4, we docked </w:t>
      </w:r>
      <w:r w:rsidDel="00000000" w:rsidR="00000000" w:rsidRPr="00000000">
        <w:rPr>
          <w:b w:val="1"/>
          <w:rtl w:val="0"/>
        </w:rPr>
        <w:t xml:space="preserve">MMV670652</w:t>
      </w:r>
      <w:r w:rsidDel="00000000" w:rsidR="00000000" w:rsidRPr="00000000">
        <w:rPr>
          <w:rtl w:val="0"/>
        </w:rPr>
        <w:t xml:space="preserve">, the most potent compound in the series, to a homology model of PfATP4. We built the homology model from the crystal structure of the rabbit SERCA calcium pump ATPase 1 (PDB 2DQS) using Yasara (Krieger 2009, DOI: 10.1002/prot.22570) and the Yasara2 knowledge-based force field. </w:t>
      </w:r>
      <w:r w:rsidDel="00000000" w:rsidR="00000000" w:rsidRPr="00000000">
        <w:rPr>
          <w:b w:val="1"/>
          <w:rtl w:val="0"/>
        </w:rPr>
        <w:t xml:space="preserve">MMV670652 </w:t>
      </w:r>
      <w:r w:rsidDel="00000000" w:rsidR="00000000" w:rsidRPr="00000000">
        <w:rPr>
          <w:rtl w:val="0"/>
        </w:rPr>
        <w:t xml:space="preserve">was docked against the entire surface of PfATP4 using smina (Koes 2013, DOI: 10.1021.ci300604z). The highest scored binding site matches the modeled binding site of SJ733, which also targets PfATP4 (Jiminez-Diaz 2014, DOI:10.1073/pnas.1414221111). The site also corresponds to the binding site of phosphatidylethanolamine in the crystal structure of rabbit SERCA ATPase 1. </w:t>
      </w:r>
      <w:r w:rsidDel="00000000" w:rsidR="00000000" w:rsidRPr="00000000">
        <w:rPr>
          <w:rtl w:val="0"/>
        </w:rPr>
        <w:t xml:space="preserve">The docked binding mode demonstrates the shape preference of the Series 4 compounds</w:t>
      </w:r>
      <w:r w:rsidDel="00000000" w:rsidR="00000000" w:rsidRPr="00000000">
        <w:rPr>
          <w:rtl w:val="0"/>
        </w:rPr>
        <w:t xml:space="preserve">. The pocket has mixed hydrophobic/hydrophilic nature that provides favorable hydrogen bonds with the nitrogen-rich </w:t>
      </w:r>
      <w:r w:rsidDel="00000000" w:rsidR="00000000" w:rsidRPr="00000000">
        <w:rPr>
          <w:b w:val="1"/>
          <w:rtl w:val="0"/>
        </w:rPr>
        <w:t xml:space="preserve">MMV670652</w:t>
      </w:r>
      <w:r w:rsidDel="00000000" w:rsidR="00000000" w:rsidRPr="00000000">
        <w:rPr>
          <w:rtl w:val="0"/>
        </w:rPr>
        <w:t xml:space="preserve">.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b w:val="1"/>
        </w:rPr>
        <w:drawing>
          <wp:inline distB="114300" distT="114300" distL="114300" distR="114300">
            <wp:extent cx="5637225" cy="2452688"/>
            <wp:effectExtent b="0" l="0" r="0" t="0"/>
            <wp:docPr id="5" name="image3.png"/>
            <a:graphic>
              <a:graphicData uri="http://schemas.openxmlformats.org/drawingml/2006/picture">
                <pic:pic>
                  <pic:nvPicPr>
                    <pic:cNvPr id="0" name="image3.png"/>
                    <pic:cNvPicPr preferRelativeResize="0"/>
                  </pic:nvPicPr>
                  <pic:blipFill>
                    <a:blip r:embed="rId27"/>
                    <a:srcRect b="34292" l="4318" r="11461" t="17035"/>
                    <a:stretch>
                      <a:fillRect/>
                    </a:stretch>
                  </pic:blipFill>
                  <pic:spPr>
                    <a:xfrm>
                      <a:off x="0" y="0"/>
                      <a:ext cx="56372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b w:val="1"/>
          <w:sz w:val="20"/>
          <w:szCs w:val="20"/>
          <w:rtl w:val="0"/>
        </w:rPr>
        <w:t xml:space="preserve">Figure X. </w:t>
      </w:r>
      <w:r w:rsidDel="00000000" w:rsidR="00000000" w:rsidRPr="00000000">
        <w:rPr>
          <w:sz w:val="20"/>
          <w:szCs w:val="20"/>
          <w:rtl w:val="0"/>
        </w:rPr>
        <w:t xml:space="preserve">A) Docked binding mode and B) binding pocket interactions of </w:t>
      </w:r>
      <w:r w:rsidDel="00000000" w:rsidR="00000000" w:rsidRPr="00000000">
        <w:rPr>
          <w:b w:val="1"/>
          <w:sz w:val="20"/>
          <w:szCs w:val="20"/>
          <w:rtl w:val="0"/>
        </w:rPr>
        <w:t xml:space="preserve">MMV670652 </w:t>
      </w:r>
      <w:r w:rsidDel="00000000" w:rsidR="00000000" w:rsidRPr="00000000">
        <w:rPr>
          <w:sz w:val="20"/>
          <w:szCs w:val="20"/>
          <w:rtl w:val="0"/>
        </w:rPr>
        <w:t xml:space="preserve">with a homology model of PfATP4.</w:t>
      </w:r>
    </w:p>
    <w:p w:rsidR="00000000" w:rsidDel="00000000" w:rsidP="00000000" w:rsidRDefault="00000000" w:rsidRPr="00000000" w14:paraId="00000112">
      <w:pPr>
        <w:spacing w:line="240" w:lineRule="auto"/>
        <w:jc w:val="both"/>
        <w:rPr>
          <w:b w:val="1"/>
        </w:rPr>
      </w:pPr>
      <w:r w:rsidDel="00000000" w:rsidR="00000000" w:rsidRPr="00000000">
        <w:rPr>
          <w:rtl w:val="0"/>
        </w:rPr>
      </w:r>
    </w:p>
    <w:p w:rsidR="00000000" w:rsidDel="00000000" w:rsidP="00000000" w:rsidRDefault="00000000" w:rsidRPr="00000000" w14:paraId="00000113">
      <w:pPr>
        <w:spacing w:line="240" w:lineRule="auto"/>
        <w:jc w:val="both"/>
        <w:rPr>
          <w:b w:val="1"/>
        </w:rPr>
      </w:pPr>
      <w:r w:rsidDel="00000000" w:rsidR="00000000" w:rsidRPr="00000000">
        <w:rPr>
          <w:rtl w:val="0"/>
        </w:rPr>
      </w:r>
    </w:p>
    <w:p w:rsidR="00000000" w:rsidDel="00000000" w:rsidP="00000000" w:rsidRDefault="00000000" w:rsidRPr="00000000" w14:paraId="00000114">
      <w:pPr>
        <w:spacing w:line="240" w:lineRule="auto"/>
        <w:jc w:val="both"/>
        <w:rPr/>
      </w:pPr>
      <w:r w:rsidDel="00000000" w:rsidR="00000000" w:rsidRPr="00000000">
        <w:rPr>
          <w:rtl w:val="0"/>
        </w:rPr>
      </w:r>
    </w:p>
    <w:p w:rsidR="00000000" w:rsidDel="00000000" w:rsidP="00000000" w:rsidRDefault="00000000" w:rsidRPr="00000000" w14:paraId="00000115">
      <w:pPr>
        <w:pStyle w:val="Heading2"/>
        <w:jc w:val="both"/>
        <w:rPr/>
      </w:pPr>
      <w:bookmarkStart w:colFirst="0" w:colLast="0" w:name="_4m4teiu2rd5z" w:id="13"/>
      <w:bookmarkEnd w:id="13"/>
      <w:r w:rsidDel="00000000" w:rsidR="00000000" w:rsidRPr="00000000">
        <w:rPr>
          <w:rtl w:val="0"/>
        </w:rPr>
        <w:t xml:space="preserve">Activity vs other life cycle stages.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Although the bloodstream stage of </w:t>
      </w:r>
      <w:r w:rsidDel="00000000" w:rsidR="00000000" w:rsidRPr="00000000">
        <w:rPr>
          <w:i w:val="1"/>
          <w:rtl w:val="0"/>
        </w:rPr>
        <w:t xml:space="preserve">Plasmodium </w:t>
      </w:r>
      <w:r w:rsidDel="00000000" w:rsidR="00000000" w:rsidRPr="00000000">
        <w:rPr>
          <w:rtl w:val="0"/>
        </w:rPr>
        <w:t xml:space="preserve">infection is responsible for symptomatic malaria, liver stage infection is an attractive target for the development of a prophylactic agent (Prudencio 2006, DOI: 10.1038/nrmicro1529). Liver stage potency </w:t>
      </w:r>
      <w:hyperlink r:id="rId28">
        <w:r w:rsidDel="00000000" w:rsidR="00000000" w:rsidRPr="00000000">
          <w:rPr>
            <w:color w:val="1155cc"/>
            <w:u w:val="single"/>
            <w:rtl w:val="0"/>
          </w:rPr>
          <w:t xml:space="preserve">was evaluated</w:t>
        </w:r>
      </w:hyperlink>
      <w:r w:rsidDel="00000000" w:rsidR="00000000" w:rsidRPr="00000000">
        <w:rPr>
          <w:rtl w:val="0"/>
        </w:rPr>
        <w:t xml:space="preserve"> for two compounds (</w:t>
      </w:r>
      <w:r w:rsidDel="00000000" w:rsidR="00000000" w:rsidRPr="00000000">
        <w:rPr>
          <w:b w:val="1"/>
          <w:rtl w:val="0"/>
        </w:rPr>
        <w:t xml:space="preserve">MMV669844</w:t>
      </w:r>
      <w:r w:rsidDel="00000000" w:rsidR="00000000" w:rsidRPr="00000000">
        <w:rPr>
          <w:rtl w:val="0"/>
        </w:rPr>
        <w:t xml:space="preserve"> and </w:t>
      </w:r>
      <w:r w:rsidDel="00000000" w:rsidR="00000000" w:rsidRPr="00000000">
        <w:rPr>
          <w:b w:val="1"/>
          <w:rtl w:val="0"/>
        </w:rPr>
        <w:t xml:space="preserve">MMV670944</w:t>
      </w:r>
      <w:r w:rsidDel="00000000" w:rsidR="00000000" w:rsidRPr="00000000">
        <w:rPr>
          <w:rtl w:val="0"/>
        </w:rPr>
        <w:t xml:space="preserve">), which revealed low levels of activity despite high blood stage potency (</w:t>
      </w:r>
      <w:r w:rsidDel="00000000" w:rsidR="00000000" w:rsidRPr="00000000">
        <w:rPr>
          <w:b w:val="1"/>
          <w:rtl w:val="0"/>
        </w:rPr>
        <w:t xml:space="preserve">Fig. X</w:t>
      </w:r>
      <w:r w:rsidDel="00000000" w:rsidR="00000000" w:rsidRPr="00000000">
        <w:rPr>
          <w:rtl w:val="0"/>
        </w:rPr>
        <w:t xml:space="preserve">). The former compound was evaluated with an unknown enantiomeric composition. </w:t>
      </w:r>
      <w:r w:rsidDel="00000000" w:rsidR="00000000" w:rsidRPr="00000000">
        <w:rPr>
          <w:highlight w:val="yellow"/>
          <w:rtl w:val="0"/>
        </w:rPr>
        <w:t xml:space="preserve">This compound was subsequently resolved, revealing differing blood stage potencies for the enantiomers, so it is possible that the liver stage activity arises also from one of the enantiomers (</w:t>
      </w:r>
      <w:hyperlink r:id="rId29">
        <w:r w:rsidDel="00000000" w:rsidR="00000000" w:rsidRPr="00000000">
          <w:rPr>
            <w:color w:val="1155cc"/>
            <w:highlight w:val="yellow"/>
            <w:u w:val="single"/>
            <w:rtl w:val="0"/>
          </w:rPr>
          <w:t xml:space="preserve">samples available for re-evaluation?</w:t>
        </w:r>
      </w:hyperlink>
      <w:r w:rsidDel="00000000" w:rsidR="00000000" w:rsidRPr="00000000">
        <w:rPr>
          <w:highlight w:val="yellow"/>
          <w:rtl w:val="0"/>
        </w:rPr>
        <w:t xml:space="preserve">)</w:t>
      </w:r>
      <w:r w:rsidDel="00000000" w:rsidR="00000000" w:rsidRPr="00000000">
        <w:rPr>
          <w:rtl w:val="0"/>
        </w:rPr>
        <w:t xml:space="preserve">. The low activity clearly distinguishes Series 4 from a structurally similar imidazopyrazine series discovered by Novartis (</w:t>
      </w:r>
      <w:hyperlink r:id="rId30">
        <w:r w:rsidDel="00000000" w:rsidR="00000000" w:rsidRPr="00000000">
          <w:rPr>
            <w:color w:val="1155cc"/>
            <w:u w:val="single"/>
            <w:rtl w:val="0"/>
          </w:rPr>
          <w:t xml:space="preserve">discussion</w:t>
        </w:r>
      </w:hyperlink>
      <w:r w:rsidDel="00000000" w:rsidR="00000000" w:rsidRPr="00000000">
        <w:rPr>
          <w:rtl w:val="0"/>
        </w:rPr>
        <w:t xml:space="preserve">; </w:t>
      </w:r>
      <w:r w:rsidDel="00000000" w:rsidR="00000000" w:rsidRPr="00000000">
        <w:rPr>
          <w:rtl w:val="0"/>
        </w:rPr>
        <w:t xml:space="preserve">McNamara 2013, DOI: 10.1038/nature12782) that possesses activity against all liver stages in several </w:t>
      </w:r>
      <w:r w:rsidDel="00000000" w:rsidR="00000000" w:rsidRPr="00000000">
        <w:rPr>
          <w:i w:val="1"/>
          <w:rtl w:val="0"/>
        </w:rPr>
        <w:t xml:space="preserve">Plasmodium </w:t>
      </w:r>
      <w:r w:rsidDel="00000000" w:rsidR="00000000" w:rsidRPr="00000000">
        <w:rPr>
          <w:rtl w:val="0"/>
        </w:rPr>
        <w:t xml:space="preserve">species. The two series demonstrate no cross-resistance and are thought to possess distinct mechanisms of action (PfATP4 vs. PI4K). </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drawing>
          <wp:inline distB="114300" distT="114300" distL="114300" distR="114300">
            <wp:extent cx="5734050" cy="1511300"/>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b w:val="1"/>
          <w:sz w:val="20"/>
          <w:szCs w:val="20"/>
          <w:rtl w:val="0"/>
        </w:rPr>
        <w:t xml:space="preserve">Figure X</w:t>
      </w:r>
      <w:r w:rsidDel="00000000" w:rsidR="00000000" w:rsidRPr="00000000">
        <w:rPr>
          <w:sz w:val="20"/>
          <w:szCs w:val="20"/>
          <w:rtl w:val="0"/>
        </w:rPr>
        <w:t xml:space="preserve">. Results of liver stage screening.</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To complement the existing data for Series 4 </w:t>
      </w:r>
      <w:r w:rsidDel="00000000" w:rsidR="00000000" w:rsidRPr="00000000">
        <w:rPr>
          <w:i w:val="1"/>
          <w:rtl w:val="0"/>
        </w:rPr>
        <w:t xml:space="preserve">vs.</w:t>
      </w:r>
      <w:r w:rsidDel="00000000" w:rsidR="00000000" w:rsidRPr="00000000">
        <w:rPr>
          <w:rtl w:val="0"/>
        </w:rPr>
        <w:t xml:space="preserve"> liver schizonts, OSM-S-218 and -175 were progressed into the same Pc hypnozoite assay used to evaluate the Novartis series </w:t>
      </w:r>
      <w:r w:rsidDel="00000000" w:rsidR="00000000" w:rsidRPr="00000000">
        <w:rPr>
          <w:highlight w:val="yellow"/>
          <w:rtl w:val="0"/>
        </w:rPr>
        <w:t xml:space="preserve">(</w:t>
      </w:r>
      <w:hyperlink r:id="rId32">
        <w:r w:rsidDel="00000000" w:rsidR="00000000" w:rsidRPr="00000000">
          <w:rPr>
            <w:color w:val="1155cc"/>
            <w:highlight w:val="yellow"/>
            <w:u w:val="single"/>
            <w:rtl w:val="0"/>
          </w:rPr>
          <w:t xml:space="preserve">data not generated/obtained?</w:t>
        </w:r>
      </w:hyperlink>
      <w:r w:rsidDel="00000000" w:rsidR="00000000" w:rsidRPr="00000000">
        <w:rPr>
          <w:highlight w:val="yellow"/>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The gametocyte life cycle stage of </w:t>
      </w:r>
      <w:r w:rsidDel="00000000" w:rsidR="00000000" w:rsidRPr="00000000">
        <w:rPr>
          <w:i w:val="1"/>
          <w:rtl w:val="0"/>
        </w:rPr>
        <w:t xml:space="preserve">Plasmodium </w:t>
      </w:r>
      <w:r w:rsidDel="00000000" w:rsidR="00000000" w:rsidRPr="00000000">
        <w:rPr>
          <w:rtl w:val="0"/>
        </w:rPr>
        <w:t xml:space="preserve">is responsible for mediating transmission from an infected human host to the mosquito vector (Bousema 2011, DOI: 10.1128/CMR.00051-10). Compounds that are active against gametocytes in addition to asexual life cycle stages are desirable as treatments and transmission-blocking agents. Gametocidal activity </w:t>
      </w:r>
      <w:hyperlink r:id="rId33">
        <w:r w:rsidDel="00000000" w:rsidR="00000000" w:rsidRPr="00000000">
          <w:rPr>
            <w:color w:val="1155cc"/>
            <w:u w:val="single"/>
            <w:rtl w:val="0"/>
          </w:rPr>
          <w:t xml:space="preserve">is expected with PfATP4</w:t>
        </w:r>
      </w:hyperlink>
      <w:r w:rsidDel="00000000" w:rsidR="00000000" w:rsidRPr="00000000">
        <w:rPr>
          <w:rtl w:val="0"/>
        </w:rPr>
        <w:t xml:space="preserve"> inhibitors (Spillman 2015, DOI: 10.1016/j.ijpddr.2015.07.001; Vaidya 2014, DOI: 10.1038/ncomms6521); therefore, a selection of Series 4 compounds was assessed for anti-gametocyte activity. </w:t>
      </w:r>
      <w:hyperlink r:id="rId34">
        <w:r w:rsidDel="00000000" w:rsidR="00000000" w:rsidRPr="00000000">
          <w:rPr>
            <w:color w:val="1155cc"/>
            <w:u w:val="single"/>
            <w:rtl w:val="0"/>
          </w:rPr>
          <w:t xml:space="preserve">Data was obtained</w:t>
        </w:r>
      </w:hyperlink>
      <w:r w:rsidDel="00000000" w:rsidR="00000000" w:rsidRPr="00000000">
        <w:rPr>
          <w:rtl w:val="0"/>
        </w:rPr>
        <w:t xml:space="preserve"> showing that asexual-active active compounds have weak inhibitory activity vs male gamete formation (</w:t>
      </w:r>
      <w:r w:rsidDel="00000000" w:rsidR="00000000" w:rsidRPr="00000000">
        <w:rPr>
          <w:b w:val="1"/>
          <w:rtl w:val="0"/>
        </w:rPr>
        <w:t xml:space="preserve">Table X</w:t>
      </w:r>
      <w:r w:rsidDel="00000000" w:rsidR="00000000" w:rsidRPr="00000000">
        <w:rPr>
          <w:rtl w:val="0"/>
        </w:rPr>
        <w:t xml:space="preserve">).</w:t>
      </w:r>
    </w:p>
    <w:p w:rsidR="00000000" w:rsidDel="00000000" w:rsidP="00000000" w:rsidRDefault="00000000" w:rsidRPr="00000000" w14:paraId="00000120">
      <w:pPr>
        <w:jc w:val="left"/>
        <w:rPr/>
      </w:pPr>
      <w:r w:rsidDel="00000000" w:rsidR="00000000" w:rsidRPr="00000000">
        <w:rPr>
          <w:rtl w:val="0"/>
        </w:rPr>
      </w:r>
    </w:p>
    <w:tbl>
      <w:tblPr>
        <w:tblStyle w:val="Table3"/>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70"/>
        <w:gridCol w:w="2685"/>
        <w:tblGridChange w:id="0">
          <w:tblGrid>
            <w:gridCol w:w="1680"/>
            <w:gridCol w:w="2370"/>
            <w:gridCol w:w="268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1">
            <w:pPr>
              <w:spacing w:before="0" w:line="240" w:lineRule="auto"/>
              <w:jc w:val="center"/>
              <w:rPr>
                <w:b w:val="1"/>
                <w:sz w:val="20"/>
                <w:szCs w:val="20"/>
              </w:rPr>
            </w:pPr>
            <w:r w:rsidDel="00000000" w:rsidR="00000000" w:rsidRPr="00000000">
              <w:rPr>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2">
            <w:pPr>
              <w:spacing w:before="0" w:line="240" w:lineRule="auto"/>
              <w:jc w:val="center"/>
              <w:rPr>
                <w:b w:val="1"/>
                <w:sz w:val="20"/>
                <w:szCs w:val="20"/>
              </w:rPr>
            </w:pPr>
            <w:r w:rsidDel="00000000" w:rsidR="00000000" w:rsidRPr="00000000">
              <w:rPr>
                <w:b w:val="1"/>
                <w:sz w:val="20"/>
                <w:szCs w:val="20"/>
                <w:rtl w:val="0"/>
              </w:rPr>
              <w:t xml:space="preserve">Asexual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3">
            <w:pPr>
              <w:spacing w:before="0" w:line="240" w:lineRule="auto"/>
              <w:jc w:val="center"/>
              <w:rPr>
                <w:b w:val="1"/>
                <w:sz w:val="20"/>
                <w:szCs w:val="20"/>
              </w:rPr>
            </w:pPr>
            <w:r w:rsidDel="00000000" w:rsidR="00000000" w:rsidRPr="00000000">
              <w:rPr>
                <w:b w:val="1"/>
                <w:sz w:val="20"/>
                <w:szCs w:val="20"/>
                <w:rtl w:val="0"/>
              </w:rPr>
              <w:t xml:space="preserve">Male gamete formation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0" w:line="240" w:lineRule="auto"/>
              <w:jc w:val="center"/>
              <w:rPr>
                <w:sz w:val="20"/>
                <w:szCs w:val="20"/>
              </w:rPr>
            </w:pPr>
            <w:r w:rsidDel="00000000" w:rsidR="00000000" w:rsidRPr="00000000">
              <w:rPr>
                <w:sz w:val="20"/>
                <w:szCs w:val="20"/>
                <w:rtl w:val="0"/>
              </w:rPr>
              <w:t xml:space="preserve">MMV670767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0" w:line="240" w:lineRule="auto"/>
              <w:jc w:val="center"/>
              <w:rPr>
                <w:sz w:val="20"/>
                <w:szCs w:val="20"/>
              </w:rPr>
            </w:pPr>
            <w:r w:rsidDel="00000000" w:rsidR="00000000" w:rsidRPr="00000000">
              <w:rPr>
                <w:sz w:val="20"/>
                <w:szCs w:val="20"/>
                <w:rtl w:val="0"/>
              </w:rPr>
              <w:t xml:space="preserve">0.295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0" w:line="240" w:lineRule="auto"/>
              <w:jc w:val="center"/>
              <w:rPr>
                <w:sz w:val="20"/>
                <w:szCs w:val="20"/>
              </w:rPr>
            </w:pPr>
            <w:r w:rsidDel="00000000" w:rsidR="00000000" w:rsidRPr="00000000">
              <w:rPr>
                <w:sz w:val="20"/>
                <w:szCs w:val="20"/>
                <w:rtl w:val="0"/>
              </w:rPr>
              <w:t xml:space="preserve">12.5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0" w:line="240" w:lineRule="auto"/>
              <w:jc w:val="center"/>
              <w:rPr>
                <w:sz w:val="20"/>
                <w:szCs w:val="20"/>
              </w:rPr>
            </w:pPr>
            <w:r w:rsidDel="00000000" w:rsidR="00000000" w:rsidRPr="00000000">
              <w:rPr>
                <w:sz w:val="20"/>
                <w:szCs w:val="20"/>
                <w:rtl w:val="0"/>
              </w:rPr>
              <w:t xml:space="preserve">MMV670246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0" w:line="240" w:lineRule="auto"/>
              <w:jc w:val="center"/>
              <w:rPr>
                <w:sz w:val="20"/>
                <w:szCs w:val="20"/>
              </w:rPr>
            </w:pPr>
            <w:r w:rsidDel="00000000" w:rsidR="00000000" w:rsidRPr="00000000">
              <w:rPr>
                <w:sz w:val="20"/>
                <w:szCs w:val="20"/>
                <w:rtl w:val="0"/>
              </w:rPr>
              <w:t xml:space="preserve">7.40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0" w:line="240" w:lineRule="auto"/>
              <w:jc w:val="center"/>
              <w:rPr>
                <w:sz w:val="20"/>
                <w:szCs w:val="20"/>
              </w:rPr>
            </w:pPr>
            <w:r w:rsidDel="00000000" w:rsidR="00000000" w:rsidRPr="00000000">
              <w:rPr>
                <w:sz w:val="20"/>
                <w:szCs w:val="20"/>
                <w:rtl w:val="0"/>
              </w:rPr>
              <w:t xml:space="preserve">&gt;25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0" w:line="240" w:lineRule="auto"/>
              <w:jc w:val="center"/>
              <w:rPr>
                <w:sz w:val="20"/>
                <w:szCs w:val="20"/>
              </w:rPr>
            </w:pPr>
            <w:r w:rsidDel="00000000" w:rsidR="00000000" w:rsidRPr="00000000">
              <w:rPr>
                <w:sz w:val="20"/>
                <w:szCs w:val="20"/>
                <w:rtl w:val="0"/>
              </w:rPr>
              <w:t xml:space="preserve">MMV688896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0" w:line="240" w:lineRule="auto"/>
              <w:jc w:val="center"/>
              <w:rPr>
                <w:sz w:val="20"/>
                <w:szCs w:val="20"/>
              </w:rPr>
            </w:pPr>
            <w:r w:rsidDel="00000000" w:rsidR="00000000" w:rsidRPr="00000000">
              <w:rPr>
                <w:sz w:val="20"/>
                <w:szCs w:val="20"/>
                <w:rtl w:val="0"/>
              </w:rPr>
              <w:t xml:space="preserve">0.364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0" w:line="240" w:lineRule="auto"/>
              <w:jc w:val="center"/>
              <w:rPr>
                <w:sz w:val="20"/>
                <w:szCs w:val="20"/>
              </w:rPr>
            </w:pPr>
            <w:r w:rsidDel="00000000" w:rsidR="00000000" w:rsidRPr="00000000">
              <w:rPr>
                <w:sz w:val="20"/>
                <w:szCs w:val="20"/>
                <w:rtl w:val="0"/>
              </w:rPr>
              <w:t xml:space="preserve">6.89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0" w:line="240" w:lineRule="auto"/>
              <w:jc w:val="center"/>
              <w:rPr>
                <w:sz w:val="20"/>
                <w:szCs w:val="20"/>
              </w:rPr>
            </w:pPr>
            <w:r w:rsidDel="00000000" w:rsidR="00000000" w:rsidRPr="00000000">
              <w:rPr>
                <w:sz w:val="20"/>
                <w:szCs w:val="20"/>
                <w:rtl w:val="0"/>
              </w:rPr>
              <w:t xml:space="preserve">MMV688895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0" w:line="240" w:lineRule="auto"/>
              <w:jc w:val="center"/>
              <w:rPr>
                <w:sz w:val="20"/>
                <w:szCs w:val="20"/>
              </w:rPr>
            </w:pPr>
            <w:r w:rsidDel="00000000" w:rsidR="00000000" w:rsidRPr="00000000">
              <w:rPr>
                <w:sz w:val="20"/>
                <w:szCs w:val="20"/>
                <w:rtl w:val="0"/>
              </w:rPr>
              <w:t xml:space="preserve">4.87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0" w:line="240" w:lineRule="auto"/>
              <w:jc w:val="center"/>
              <w:rPr>
                <w:sz w:val="20"/>
                <w:szCs w:val="20"/>
              </w:rPr>
            </w:pPr>
            <w:r w:rsidDel="00000000" w:rsidR="00000000" w:rsidRPr="00000000">
              <w:rPr>
                <w:sz w:val="20"/>
                <w:szCs w:val="20"/>
                <w:rtl w:val="0"/>
              </w:rPr>
              <w:t xml:space="preserve">&gt;25</w:t>
            </w:r>
          </w:p>
        </w:tc>
      </w:tr>
    </w:tbl>
    <w:p w:rsidR="00000000" w:rsidDel="00000000" w:rsidP="00000000" w:rsidRDefault="00000000" w:rsidRPr="00000000" w14:paraId="00000130">
      <w:pPr>
        <w:jc w:val="both"/>
        <w:rPr>
          <w:sz w:val="20"/>
          <w:szCs w:val="20"/>
        </w:rPr>
      </w:pPr>
      <w:r w:rsidDel="00000000" w:rsidR="00000000" w:rsidRPr="00000000">
        <w:rPr>
          <w:b w:val="1"/>
          <w:sz w:val="20"/>
          <w:szCs w:val="20"/>
          <w:rtl w:val="0"/>
        </w:rPr>
        <w:t xml:space="preserve">Table </w:t>
      </w:r>
      <w:r w:rsidDel="00000000" w:rsidR="00000000" w:rsidRPr="00000000">
        <w:rPr>
          <w:b w:val="1"/>
          <w:sz w:val="20"/>
          <w:szCs w:val="20"/>
          <w:rtl w:val="0"/>
        </w:rPr>
        <w:t xml:space="preserve">X</w:t>
      </w:r>
      <w:r w:rsidDel="00000000" w:rsidR="00000000" w:rsidRPr="00000000">
        <w:rPr>
          <w:b w:val="1"/>
          <w:sz w:val="20"/>
          <w:szCs w:val="20"/>
          <w:rtl w:val="0"/>
        </w:rPr>
        <w:t xml:space="preserve">. </w:t>
      </w:r>
      <w:r w:rsidDel="00000000" w:rsidR="00000000" w:rsidRPr="00000000">
        <w:rPr>
          <w:sz w:val="20"/>
          <w:szCs w:val="20"/>
          <w:rtl w:val="0"/>
        </w:rPr>
        <w:t xml:space="preserve">Gametocyte assay results.</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i5bt7o7xrvr8" w:id="14"/>
      <w:bookmarkEnd w:id="14"/>
      <w:r w:rsidDel="00000000" w:rsidR="00000000" w:rsidRPr="00000000">
        <w:rPr>
          <w:rtl w:val="0"/>
        </w:rPr>
        <w:t xml:space="preserve">Activity vs. drug resistant strains.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A representative compound (</w:t>
      </w:r>
      <w:r w:rsidDel="00000000" w:rsidR="00000000" w:rsidRPr="00000000">
        <w:rPr>
          <w:b w:val="1"/>
          <w:rtl w:val="0"/>
        </w:rPr>
        <w:t xml:space="preserve">MMV669844</w:t>
      </w:r>
      <w:r w:rsidDel="00000000" w:rsidR="00000000" w:rsidRPr="00000000">
        <w:rPr>
          <w:rtl w:val="0"/>
        </w:rPr>
        <w:t xml:space="preserve">) was found to exhibit unchanged potency (i.e., no cross resistance) against several drug-resistant parasite lines (Dd2, NF54, K1, 7G8, TM90C2B, Cam3.I) (GHI, </w:t>
      </w:r>
      <w:hyperlink r:id="rId35">
        <w:r w:rsidDel="00000000" w:rsidR="00000000" w:rsidRPr="00000000">
          <w:rPr>
            <w:u w:val="single"/>
            <w:rtl w:val="0"/>
          </w:rPr>
          <w:t xml:space="preserve">wiki</w:t>
        </w:r>
      </w:hyperlink>
      <w:r w:rsidDel="00000000" w:rsidR="00000000" w:rsidRPr="00000000">
        <w:rPr>
          <w:rtl w:val="0"/>
        </w:rPr>
        <w:t xml:space="preserve">, </w:t>
      </w:r>
      <w:r w:rsidDel="00000000" w:rsidR="00000000" w:rsidRPr="00000000">
        <w:rPr>
          <w:b w:val="1"/>
          <w:rtl w:val="0"/>
        </w:rPr>
        <w:t xml:space="preserve">Table SX</w:t>
      </w:r>
      <w:r w:rsidDel="00000000" w:rsidR="00000000" w:rsidRPr="00000000">
        <w:rPr>
          <w:rtl w:val="0"/>
        </w:rPr>
        <w:t xml:space="preserve">). These include resistant strains against established therapies atovaquone, chloroquine, cycloguanil, and pyrimethamine (Chugh 2015, DOI: 10.1128/AAC.03265-14) as well as clinical or preclinical candidates</w:t>
      </w:r>
      <w:r w:rsidDel="00000000" w:rsidR="00000000" w:rsidRPr="00000000">
        <w:rPr>
          <w:rtl w:val="0"/>
        </w:rPr>
        <w:t xml:space="preserve">. The lack of cross-resistance observed in any of these strains suggests that Series 4 has a target that is distinct from that of any of the compounds mentioned above.</w:t>
      </w:r>
    </w:p>
    <w:p w:rsidR="00000000" w:rsidDel="00000000" w:rsidP="00000000" w:rsidRDefault="00000000" w:rsidRPr="00000000" w14:paraId="00000135">
      <w:pPr>
        <w:pStyle w:val="Heading2"/>
        <w:spacing w:line="240" w:lineRule="auto"/>
        <w:jc w:val="both"/>
        <w:rPr/>
      </w:pPr>
      <w:bookmarkStart w:colFirst="0" w:colLast="0" w:name="_nybj2hix3u69" w:id="15"/>
      <w:bookmarkEnd w:id="15"/>
      <w:r w:rsidDel="00000000" w:rsidR="00000000" w:rsidRPr="00000000">
        <w:rPr>
          <w:rtl w:val="0"/>
        </w:rPr>
      </w:r>
    </w:p>
    <w:p w:rsidR="00000000" w:rsidDel="00000000" w:rsidP="00000000" w:rsidRDefault="00000000" w:rsidRPr="00000000" w14:paraId="00000136">
      <w:pPr>
        <w:pStyle w:val="Heading2"/>
        <w:spacing w:line="240" w:lineRule="auto"/>
        <w:jc w:val="both"/>
        <w:rPr/>
      </w:pPr>
      <w:bookmarkStart w:colFirst="0" w:colLast="0" w:name="_6ovi2j7prg8g" w:id="16"/>
      <w:bookmarkEnd w:id="16"/>
      <w:r w:rsidDel="00000000" w:rsidR="00000000" w:rsidRPr="00000000">
        <w:rPr>
          <w:rtl w:val="0"/>
        </w:rPr>
        <w:t xml:space="preserve">Evaluation against other pathogens.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line="240" w:lineRule="auto"/>
        <w:jc w:val="both"/>
        <w:rPr/>
      </w:pPr>
      <w:r w:rsidDel="00000000" w:rsidR="00000000" w:rsidRPr="00000000">
        <w:rPr>
          <w:rtl w:val="0"/>
        </w:rPr>
        <w:t xml:space="preserve">Select Series 4 compounds were screened by the Community for Open Antimicrobial Drug Discovery (CO-ADD) against the ESKAPE pathogens </w:t>
      </w:r>
      <w:r w:rsidDel="00000000" w:rsidR="00000000" w:rsidRPr="00000000">
        <w:rPr>
          <w:i w:val="1"/>
          <w:rtl w:val="0"/>
        </w:rPr>
        <w:t xml:space="preserve">E. coli</w:t>
      </w:r>
      <w:r w:rsidDel="00000000" w:rsidR="00000000" w:rsidRPr="00000000">
        <w:rPr>
          <w:rtl w:val="0"/>
        </w:rPr>
        <w:t xml:space="preserve">, </w:t>
      </w:r>
      <w:r w:rsidDel="00000000" w:rsidR="00000000" w:rsidRPr="00000000">
        <w:rPr>
          <w:i w:val="1"/>
          <w:rtl w:val="0"/>
        </w:rPr>
        <w:t xml:space="preserve">S. aureus</w:t>
      </w:r>
      <w:r w:rsidDel="00000000" w:rsidR="00000000" w:rsidRPr="00000000">
        <w:rPr>
          <w:rtl w:val="0"/>
        </w:rPr>
        <w:t xml:space="preserve"> (MRSA), </w:t>
      </w:r>
      <w:r w:rsidDel="00000000" w:rsidR="00000000" w:rsidRPr="00000000">
        <w:rPr>
          <w:i w:val="1"/>
          <w:rtl w:val="0"/>
        </w:rPr>
        <w:t xml:space="preserve">K. pneumoniae</w:t>
      </w:r>
      <w:r w:rsidDel="00000000" w:rsidR="00000000" w:rsidRPr="00000000">
        <w:rPr>
          <w:rtl w:val="0"/>
        </w:rPr>
        <w:t xml:space="preserve">, </w:t>
      </w:r>
      <w:r w:rsidDel="00000000" w:rsidR="00000000" w:rsidRPr="00000000">
        <w:rPr>
          <w:i w:val="1"/>
          <w:rtl w:val="0"/>
        </w:rPr>
        <w:t xml:space="preserve">A. baumannii</w:t>
      </w:r>
      <w:r w:rsidDel="00000000" w:rsidR="00000000" w:rsidRPr="00000000">
        <w:rPr>
          <w:rtl w:val="0"/>
        </w:rPr>
        <w:t xml:space="preserve">, and </w:t>
      </w:r>
      <w:r w:rsidDel="00000000" w:rsidR="00000000" w:rsidRPr="00000000">
        <w:rPr>
          <w:i w:val="1"/>
          <w:rtl w:val="0"/>
        </w:rPr>
        <w:t xml:space="preserve">P. aeruginosa</w:t>
      </w:r>
      <w:r w:rsidDel="00000000" w:rsidR="00000000" w:rsidRPr="00000000">
        <w:rPr>
          <w:rtl w:val="0"/>
        </w:rPr>
        <w:t xml:space="preserve"> (Pendleton 2013, DOI: 10.1586/eri.13.12), and the fungi </w:t>
      </w:r>
      <w:r w:rsidDel="00000000" w:rsidR="00000000" w:rsidRPr="00000000">
        <w:rPr>
          <w:i w:val="1"/>
          <w:rtl w:val="0"/>
        </w:rPr>
        <w:t xml:space="preserve">C. neoformans</w:t>
      </w:r>
      <w:r w:rsidDel="00000000" w:rsidR="00000000" w:rsidRPr="00000000">
        <w:rPr>
          <w:rtl w:val="0"/>
        </w:rPr>
        <w:t xml:space="preserve"> and C</w:t>
      </w:r>
      <w:r w:rsidDel="00000000" w:rsidR="00000000" w:rsidRPr="00000000">
        <w:rPr>
          <w:i w:val="1"/>
          <w:rtl w:val="0"/>
        </w:rPr>
        <w:t xml:space="preserve">. albicans</w:t>
      </w:r>
      <w:r w:rsidDel="00000000" w:rsidR="00000000" w:rsidRPr="00000000">
        <w:rPr>
          <w:rtl w:val="0"/>
        </w:rPr>
        <w:t xml:space="preserve">. Unfortunately, no compounds screened showed &gt;40% growth inhibition in a single-concentration assay (32 μg/mL) against any pathogen tested (</w:t>
      </w:r>
      <w:r w:rsidDel="00000000" w:rsidR="00000000" w:rsidRPr="00000000">
        <w:rPr>
          <w:b w:val="1"/>
          <w:rtl w:val="0"/>
        </w:rPr>
        <w:t xml:space="preserve">Table SX</w:t>
      </w:r>
      <w:r w:rsidDel="00000000" w:rsidR="00000000" w:rsidRPr="00000000">
        <w:rPr>
          <w:rtl w:val="0"/>
        </w:rPr>
        <w:t xml:space="preserve">), indicating that this scaffold is unlikely to yield clinically useful antibacterial or antifungal agents.</w:t>
      </w:r>
    </w:p>
    <w:p w:rsidR="00000000" w:rsidDel="00000000" w:rsidP="00000000" w:rsidRDefault="00000000" w:rsidRPr="00000000" w14:paraId="00000139">
      <w:pPr>
        <w:spacing w:line="240" w:lineRule="auto"/>
        <w:jc w:val="both"/>
        <w:rPr/>
      </w:pPr>
      <w:r w:rsidDel="00000000" w:rsidR="00000000" w:rsidRPr="00000000">
        <w:rPr>
          <w:rtl w:val="0"/>
        </w:rPr>
      </w:r>
    </w:p>
    <w:p w:rsidR="00000000" w:rsidDel="00000000" w:rsidP="00000000" w:rsidRDefault="00000000" w:rsidRPr="00000000" w14:paraId="0000013A">
      <w:pPr>
        <w:pStyle w:val="Heading1"/>
        <w:spacing w:line="240" w:lineRule="auto"/>
        <w:jc w:val="both"/>
        <w:rPr/>
      </w:pPr>
      <w:bookmarkStart w:colFirst="0" w:colLast="0" w:name="_r4ovgjsd2145" w:id="17"/>
      <w:bookmarkEnd w:id="17"/>
      <w:r w:rsidDel="00000000" w:rsidR="00000000" w:rsidRPr="00000000">
        <w:rPr>
          <w:rtl w:val="0"/>
        </w:rPr>
        <w:t xml:space="preserve">Conclusions</w:t>
      </w:r>
    </w:p>
    <w:p w:rsidR="00000000" w:rsidDel="00000000" w:rsidP="00000000" w:rsidRDefault="00000000" w:rsidRPr="00000000" w14:paraId="0000013B">
      <w:pPr>
        <w:pStyle w:val="Heading1"/>
        <w:spacing w:line="240" w:lineRule="auto"/>
        <w:jc w:val="both"/>
        <w:rPr/>
      </w:pPr>
      <w:bookmarkStart w:colFirst="0" w:colLast="0" w:name="_263ov854lawl" w:id="18"/>
      <w:bookmarkEnd w:id="18"/>
      <w:r w:rsidDel="00000000" w:rsidR="00000000" w:rsidRPr="00000000">
        <w:rPr>
          <w:rtl w:val="0"/>
        </w:rPr>
      </w:r>
    </w:p>
    <w:p w:rsidR="00000000" w:rsidDel="00000000" w:rsidP="00000000" w:rsidRDefault="00000000" w:rsidRPr="00000000" w14:paraId="0000013C">
      <w:pPr>
        <w:rPr/>
      </w:pPr>
      <w:r w:rsidDel="00000000" w:rsidR="00000000" w:rsidRPr="00000000">
        <w:rPr>
          <w:color w:val="ff0000"/>
          <w:rtl w:val="0"/>
        </w:rPr>
        <w:t xml:space="preserve">Can we distil out the data for the top 2 or 3 compounds in a chemdraw? OHOH and BCP and another? i.e. potency, clearance, solubility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spacing w:line="240" w:lineRule="auto"/>
        <w:jc w:val="both"/>
        <w:rPr/>
      </w:pPr>
      <w:bookmarkStart w:colFirst="0" w:colLast="0" w:name="_i5y2a1e80fkb" w:id="19"/>
      <w:bookmarkEnd w:id="19"/>
      <w:r w:rsidDel="00000000" w:rsidR="00000000" w:rsidRPr="00000000">
        <w:rPr>
          <w:rtl w:val="0"/>
        </w:rPr>
        <w:t xml:space="preserve">Methodology</w:t>
      </w:r>
    </w:p>
    <w:p w:rsidR="00000000" w:rsidDel="00000000" w:rsidP="00000000" w:rsidRDefault="00000000" w:rsidRPr="00000000" w14:paraId="0000013F">
      <w:pPr>
        <w:pStyle w:val="Heading2"/>
        <w:keepNext w:val="0"/>
        <w:keepLines w:val="0"/>
        <w:spacing w:after="80" w:line="240" w:lineRule="auto"/>
        <w:jc w:val="both"/>
        <w:rPr/>
      </w:pPr>
      <w:bookmarkStart w:colFirst="0" w:colLast="0" w:name="_mg5t7hfdfxlt" w:id="20"/>
      <w:bookmarkEnd w:id="20"/>
      <w:r w:rsidDel="00000000" w:rsidR="00000000" w:rsidRPr="00000000">
        <w:rPr>
          <w:rtl w:val="0"/>
        </w:rPr>
      </w:r>
    </w:p>
    <w:p w:rsidR="00000000" w:rsidDel="00000000" w:rsidP="00000000" w:rsidRDefault="00000000" w:rsidRPr="00000000" w14:paraId="00000140">
      <w:pPr>
        <w:pStyle w:val="Heading2"/>
        <w:keepNext w:val="0"/>
        <w:keepLines w:val="0"/>
        <w:spacing w:after="80" w:line="240" w:lineRule="auto"/>
        <w:jc w:val="both"/>
        <w:rPr>
          <w:sz w:val="34"/>
          <w:szCs w:val="34"/>
        </w:rPr>
      </w:pPr>
      <w:bookmarkStart w:colFirst="0" w:colLast="0" w:name="_dxm8okz81y7f" w:id="21"/>
      <w:bookmarkEnd w:id="21"/>
      <w:r w:rsidDel="00000000" w:rsidR="00000000" w:rsidRPr="00000000">
        <w:rPr>
          <w:sz w:val="22"/>
          <w:szCs w:val="22"/>
          <w:rtl w:val="0"/>
        </w:rPr>
        <w:t xml:space="preserve">Cell culture, drug incubation and metabolite extraction for metabolomics analysis.</w:t>
      </w:r>
      <w:r w:rsidDel="00000000" w:rsidR="00000000" w:rsidRPr="00000000">
        <w:rPr>
          <w:rtl w:val="0"/>
        </w:rPr>
      </w:r>
    </w:p>
    <w:p w:rsidR="00000000" w:rsidDel="00000000" w:rsidP="00000000" w:rsidRDefault="00000000" w:rsidRPr="00000000" w14:paraId="00000141">
      <w:pPr>
        <w:jc w:val="both"/>
        <w:rPr/>
      </w:pPr>
      <w:r w:rsidDel="00000000" w:rsidR="00000000" w:rsidRPr="00000000">
        <w:rPr>
          <w:i w:val="1"/>
          <w:rtl w:val="0"/>
        </w:rPr>
        <w:t xml:space="preserve">Plasmodium falciparum</w:t>
      </w:r>
      <w:r w:rsidDel="00000000" w:rsidR="00000000" w:rsidRPr="00000000">
        <w:rPr>
          <w:rtl w:val="0"/>
        </w:rPr>
        <w:t xml:space="preserve"> (3D7 strain) parasites were cultured</w:t>
      </w:r>
      <w:r w:rsidDel="00000000" w:rsidR="00000000" w:rsidRPr="00000000">
        <w:rPr>
          <w:i w:val="1"/>
          <w:rtl w:val="0"/>
        </w:rPr>
        <w:t xml:space="preserve"> in vitro</w:t>
      </w:r>
      <w:r w:rsidDel="00000000" w:rsidR="00000000" w:rsidRPr="00000000">
        <w:rPr>
          <w:rtl w:val="0"/>
        </w:rPr>
        <w:t xml:space="preserve"> according to the established method (Trager 1976, DOI: 10.1126/science.781840) with minor modifications and incubated with test compounds as previously described (Creek 2016, DOI: 10.1128/AAC.01226-16).  Briefly, parasites were brought to a tightly synchronous life stage population (within 4 hours of the 48 hour life cycle) by treating with 5% (w/v) sorbitol twice at an interval of 14 hours, and incubated for a further 58 hours to bring all parasites to mid-trophozoite stage (27-31 hours post infection). In 96 well plates, 200 μl cultures at 7% parasitemia and 3% haematocrit were incubated with 1 µM of test compounds for a further 5 hours (32-36 hours post infection). Each compound was incubated in four replicates and untreated controls were treated with DMSO.</w:t>
      </w:r>
    </w:p>
    <w:p w:rsidR="00000000" w:rsidDel="00000000" w:rsidP="00000000" w:rsidRDefault="00000000" w:rsidRPr="00000000" w14:paraId="00000142">
      <w:pPr>
        <w:jc w:val="both"/>
        <w:rPr/>
      </w:pPr>
      <w:r w:rsidDel="00000000" w:rsidR="00000000" w:rsidRPr="00000000">
        <w:rPr>
          <w:rtl w:val="0"/>
        </w:rPr>
        <w:t xml:space="preserve">After incubation with the test compounds for 5 hours, all red blood cells were settled at the bottom of the culture wells. Culture medium was carefully removed and the metabolism of the cells was quenched by placing the plate on ice and adding ice-cold phosphate buffered saline (PBS) to the culture wells. All subsequent extraction steps were performed on ice. Cells were centrifuged for 5 min at 400g in a chilled centrifuge at 4°C. The supernatant was carefully removed and 135 µl of ice-cold methanol (containing internal standards TRIS, CHAPS, CAPS and PIPES) was added followed by rapid mixing of the cell suspension using the pipette three times. Spent media samples were also prepared by adding 10 µl of the culture supernatants to 140 µl of ice-cold methanol (containing internal standards). All samples were agitated on ice for 1 hour and then centrifuged for 10 min at 1000g in a chilled centrifuge at 4°C. The supernatant was transferred to glass vials and stored at -80°C until analysis. 5 µl of each sample was combined to generate a pooled biological quality control (QC) sample to control for sample stability and instrument induced variability.</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pStyle w:val="Heading2"/>
        <w:keepNext w:val="0"/>
        <w:keepLines w:val="0"/>
        <w:spacing w:after="80" w:lineRule="auto"/>
        <w:jc w:val="both"/>
        <w:rPr>
          <w:sz w:val="34"/>
          <w:szCs w:val="34"/>
        </w:rPr>
      </w:pPr>
      <w:bookmarkStart w:colFirst="0" w:colLast="0" w:name="_nyxikbm62cp0" w:id="22"/>
      <w:bookmarkEnd w:id="22"/>
      <w:r w:rsidDel="00000000" w:rsidR="00000000" w:rsidRPr="00000000">
        <w:rPr>
          <w:sz w:val="22"/>
          <w:szCs w:val="22"/>
          <w:rtl w:val="0"/>
        </w:rPr>
        <w:t xml:space="preserve">LC-MS analysis.</w:t>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Metabolite extracts were analysed using hydrophilic interaction (HILIC) liquid chromatography (LC) and high resolution mass spectrometry on an Orbitrap system as previously described (Creek 2016, DOI: 10.1128/AAC.01226-16). Eight mixtures of authentic standards containing a total of ~300 metabolites were analysed immediately before the samples to facilitate metabolite identification. Pooled QC samples were analysed at regular intervals throughout the LC-MS run and samples were randomised to avoid any impact of systematic instrument drift.</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pStyle w:val="Heading2"/>
        <w:keepNext w:val="0"/>
        <w:keepLines w:val="0"/>
        <w:spacing w:after="80" w:lineRule="auto"/>
        <w:jc w:val="both"/>
        <w:rPr>
          <w:sz w:val="34"/>
          <w:szCs w:val="34"/>
        </w:rPr>
      </w:pPr>
      <w:bookmarkStart w:colFirst="0" w:colLast="0" w:name="_o8f4sdi3d9uq" w:id="23"/>
      <w:bookmarkEnd w:id="23"/>
      <w:r w:rsidDel="00000000" w:rsidR="00000000" w:rsidRPr="00000000">
        <w:rPr>
          <w:sz w:val="22"/>
          <w:szCs w:val="22"/>
          <w:rtl w:val="0"/>
        </w:rPr>
        <w:t xml:space="preserve">Metabolomics data analysis.</w:t>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The raw LC-MS data was processed using IDEOM as previously described (Creek 2016, DOI: 10.1128/AAC.01226-16). Manual data filtering was performed to remove peaks which were of low quality or inconsistent across replicate groups. Metabolites which matched to authentic standards in accurate mass and retention time were given a score of 8-10 in IDEOM analysis (equivalent to level 1 confidence as per the metabolomics standards initiate). Other metabolite features were annotated based on accurate mass and predicted retention time in IDEOM with a score of 5-7 (equivalent to level 2 confidence as per the metabolomics standards initiate). A total of 811 and 626 robust mass features were detected in the data from the pellet and spent media samples respectively, out of which 471 putative metabolites were identified in the former and 246 putative metabolites were identified in the latter. Peak height was used as the determinant for metabolite abundance. Univariate statistical analyses were performed using Welch’s T-test (α = 0.05) and Pearson’s correlation (MS Excel). Multivariate statistics was based on sparse Partial Least Squares Discriminant Analysis (s-PLSDA) (Le Cao 2011, DOI: https://doi.org/10.1186/1471-2105-12-253) and was performed using Metaboanalyst (Xia 2016, DOI: 10.1002/cpbi.11). Briefly, data was auto-scaled (mean-centred and divided by the standard deviation of each variable) and sparseness parameters were set to five components with ten variables per component. This allowed production of a robust and easy-to-interpret model from the high-dimensional metabolomics data. All data is deposited at Metabolomics Workbench [</w:t>
      </w:r>
      <w:hyperlink r:id="rId36">
        <w:r w:rsidDel="00000000" w:rsidR="00000000" w:rsidRPr="00000000">
          <w:rPr>
            <w:color w:val="1155cc"/>
            <w:sz w:val="19"/>
            <w:szCs w:val="19"/>
            <w:highlight w:val="white"/>
            <w:u w:val="single"/>
            <w:rtl w:val="0"/>
          </w:rPr>
          <w:t xml:space="preserve">http://dx.doi.org/10.21228/M8C10N</w:t>
        </w:r>
      </w:hyperlink>
      <w:r w:rsidDel="00000000" w:rsidR="00000000" w:rsidRPr="00000000">
        <w:rPr>
          <w:sz w:val="16"/>
          <w:szCs w:val="16"/>
          <w:rtl w:val="0"/>
        </w:rPr>
        <w:t xml:space="preserve"> </w:t>
      </w:r>
      <w:r w:rsidDel="00000000" w:rsidR="00000000" w:rsidRPr="00000000">
        <w:rPr>
          <w:rtl w:val="0"/>
        </w:rPr>
        <w:t xml:space="preserve">].</w:t>
      </w:r>
    </w:p>
    <w:p w:rsidR="00000000" w:rsidDel="00000000" w:rsidP="00000000" w:rsidRDefault="00000000" w:rsidRPr="00000000" w14:paraId="00000149">
      <w:pPr>
        <w:jc w:val="both"/>
        <w:rPr/>
      </w:pPr>
      <w:r w:rsidDel="00000000" w:rsidR="00000000" w:rsidRPr="00000000">
        <w:rPr>
          <w:rtl w:val="0"/>
        </w:rPr>
        <w:t xml:space="preserve"> </w:t>
      </w:r>
    </w:p>
    <w:p w:rsidR="00000000" w:rsidDel="00000000" w:rsidP="00000000" w:rsidRDefault="00000000" w:rsidRPr="00000000" w14:paraId="0000014A">
      <w:pPr>
        <w:pStyle w:val="Heading2"/>
        <w:jc w:val="both"/>
        <w:rPr/>
      </w:pPr>
      <w:bookmarkStart w:colFirst="0" w:colLast="0" w:name="_h3hbqjb2qkvr" w:id="24"/>
      <w:bookmarkEnd w:id="24"/>
      <w:r w:rsidDel="00000000" w:rsidR="00000000" w:rsidRPr="00000000">
        <w:rPr>
          <w:rtl w:val="0"/>
        </w:rPr>
        <w:t xml:space="preserve">Bioinformatics and chemoinformatics.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pStyle w:val="Heading1"/>
        <w:jc w:val="both"/>
        <w:rPr/>
      </w:pPr>
      <w:bookmarkStart w:colFirst="0" w:colLast="0" w:name="_su80i1cekqlw" w:id="25"/>
      <w:bookmarkEnd w:id="25"/>
      <w:r w:rsidDel="00000000" w:rsidR="00000000" w:rsidRPr="00000000">
        <w:rPr>
          <w:rtl w:val="0"/>
        </w:rPr>
        <w:t xml:space="preserve">Acknowledgements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We thank the Medicines for Malaria Venture (MMV) and the Australian Research Council for funding.  Reference PfATP4 inhibitors were provided by MMV. [Add funding sources]. HLN was supported by NSF MCB CAREER Award 1350555.</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pStyle w:val="Heading1"/>
        <w:rPr/>
      </w:pPr>
      <w:bookmarkStart w:colFirst="0" w:colLast="0" w:name="_m16kikdlqivj" w:id="26"/>
      <w:bookmarkEnd w:id="26"/>
      <w:r w:rsidDel="00000000" w:rsidR="00000000" w:rsidRPr="00000000">
        <w:rPr>
          <w:rtl w:val="0"/>
        </w:rPr>
        <w:t xml:space="preserve">Author Contributions</w:t>
      </w:r>
    </w:p>
    <w:p w:rsidR="00000000" w:rsidDel="00000000" w:rsidP="00000000" w:rsidRDefault="00000000" w:rsidRPr="00000000" w14:paraId="00000152">
      <w:pPr>
        <w:rPr/>
      </w:pPr>
      <w:r w:rsidDel="00000000" w:rsidR="00000000" w:rsidRPr="00000000">
        <w:rPr>
          <w:rtl w:val="0"/>
        </w:rPr>
        <w:t xml:space="preserve">[To be inserted]</w:t>
      </w:r>
      <w:r w:rsidDel="00000000" w:rsidR="00000000" w:rsidRPr="00000000">
        <w:rPr>
          <w:rtl w:val="0"/>
        </w:rPr>
      </w:r>
    </w:p>
    <w:p w:rsidR="00000000" w:rsidDel="00000000" w:rsidP="00000000" w:rsidRDefault="00000000" w:rsidRPr="00000000" w14:paraId="0000015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pStyle w:val="Heading1"/>
        <w:jc w:val="both"/>
        <w:rPr>
          <w:b w:val="1"/>
        </w:rPr>
      </w:pPr>
      <w:bookmarkStart w:colFirst="0" w:colLast="0" w:name="_b28lyofqarst" w:id="27"/>
      <w:bookmarkEnd w:id="27"/>
      <w:r w:rsidDel="00000000" w:rsidR="00000000" w:rsidRPr="00000000">
        <w:rPr>
          <w:b w:val="1"/>
          <w:rtl w:val="0"/>
        </w:rPr>
        <w:t xml:space="preserve">References</w:t>
      </w:r>
    </w:p>
    <w:p w:rsidR="00000000" w:rsidDel="00000000" w:rsidP="00000000" w:rsidRDefault="00000000" w:rsidRPr="00000000" w14:paraId="0000015C">
      <w:pPr>
        <w:pStyle w:val="Heading1"/>
        <w:jc w:val="both"/>
        <w:rPr>
          <w:sz w:val="20"/>
          <w:szCs w:val="20"/>
        </w:rPr>
      </w:pPr>
      <w:bookmarkStart w:colFirst="0" w:colLast="0" w:name="_7oc3qobzj8bo" w:id="28"/>
      <w:bookmarkEnd w:id="28"/>
      <w:r w:rsidDel="00000000" w:rsidR="00000000" w:rsidRPr="00000000">
        <w:rPr>
          <w:b w:val="1"/>
          <w:rtl w:val="0"/>
        </w:rPr>
        <w:br w:type="textWrapping"/>
      </w:r>
      <w:r w:rsidDel="00000000" w:rsidR="00000000" w:rsidRPr="00000000">
        <w:rPr>
          <w:sz w:val="20"/>
          <w:szCs w:val="20"/>
          <w:rtl w:val="0"/>
        </w:rPr>
        <w:t xml:space="preserve">(assemble list below and use first name + DOI for insertion into paper text)</w:t>
      </w:r>
    </w:p>
    <w:p w:rsidR="00000000" w:rsidDel="00000000" w:rsidP="00000000" w:rsidRDefault="00000000" w:rsidRPr="00000000" w14:paraId="0000015D">
      <w:pPr>
        <w:jc w:val="both"/>
        <w:rPr/>
      </w:pPr>
      <w:r w:rsidDel="00000000" w:rsidR="00000000" w:rsidRPr="00000000">
        <w:rPr>
          <w:sz w:val="20"/>
          <w:szCs w:val="20"/>
          <w:rtl w:val="0"/>
        </w:rPr>
        <w:br w:type="textWrapping"/>
      </w:r>
      <w:r w:rsidDel="00000000" w:rsidR="00000000" w:rsidRPr="00000000">
        <w:rPr>
          <w:rtl w:val="0"/>
        </w:rPr>
        <w:t xml:space="preserve">Ashley EA, Dhora M, Fairhurst, RM, Amaratunga C. Spread of artemisinin resistance in </w:t>
      </w:r>
      <w:r w:rsidDel="00000000" w:rsidR="00000000" w:rsidRPr="00000000">
        <w:rPr>
          <w:i w:val="1"/>
          <w:rtl w:val="0"/>
        </w:rPr>
        <w:t xml:space="preserve">Plasmodium falciparum</w:t>
      </w:r>
      <w:r w:rsidDel="00000000" w:rsidR="00000000" w:rsidRPr="00000000">
        <w:rPr>
          <w:rtl w:val="0"/>
        </w:rPr>
        <w:t xml:space="preserve"> malaria. N Engl J Med 2014 (371) 411-423. DOI: 10.1056/NEJMoa1314981.</w:t>
      </w:r>
    </w:p>
    <w:p w:rsidR="00000000" w:rsidDel="00000000" w:rsidP="00000000" w:rsidRDefault="00000000" w:rsidRPr="00000000" w14:paraId="0000015E">
      <w:pPr>
        <w:spacing w:after="240" w:before="240" w:lineRule="auto"/>
        <w:jc w:val="both"/>
        <w:rPr/>
      </w:pPr>
      <w:r w:rsidDel="00000000" w:rsidR="00000000" w:rsidRPr="00000000">
        <w:rPr>
          <w:rtl w:val="0"/>
        </w:rPr>
        <w:t xml:space="preserve">Baragana B et al. A novel multiple-stage antimalarial agent that inhibits protein synthesis. Nature 2015 (522) 315-320. DOI: 10.1038/nature14451.</w:t>
      </w:r>
    </w:p>
    <w:p w:rsidR="00000000" w:rsidDel="00000000" w:rsidP="00000000" w:rsidRDefault="00000000" w:rsidRPr="00000000" w14:paraId="0000015F">
      <w:pPr>
        <w:jc w:val="both"/>
        <w:rPr/>
      </w:pPr>
      <w:r w:rsidDel="00000000" w:rsidR="00000000" w:rsidRPr="00000000">
        <w:rPr>
          <w:rtl w:val="0"/>
        </w:rPr>
        <w:t xml:space="preserve">Bousema T and Drakely C. Epidemiology and infectivity of </w:t>
      </w:r>
      <w:r w:rsidDel="00000000" w:rsidR="00000000" w:rsidRPr="00000000">
        <w:rPr>
          <w:i w:val="1"/>
          <w:rtl w:val="0"/>
        </w:rPr>
        <w:t xml:space="preserve">Plasmodium falciparum </w:t>
      </w:r>
      <w:r w:rsidDel="00000000" w:rsidR="00000000" w:rsidRPr="00000000">
        <w:rPr>
          <w:rtl w:val="0"/>
        </w:rPr>
        <w:t xml:space="preserve">and </w:t>
      </w:r>
      <w:r w:rsidDel="00000000" w:rsidR="00000000" w:rsidRPr="00000000">
        <w:rPr>
          <w:i w:val="1"/>
          <w:rtl w:val="0"/>
        </w:rPr>
        <w:t xml:space="preserve">Plasmodium vivax</w:t>
      </w:r>
      <w:r w:rsidDel="00000000" w:rsidR="00000000" w:rsidRPr="00000000">
        <w:rPr>
          <w:rtl w:val="0"/>
        </w:rPr>
        <w:t xml:space="preserve"> gametocytes in relation to malaria control and elimination. Clinical Microbiology Reviews 2011 377-410. DOI: 10.1128/CMR.00051-10.</w:t>
      </w:r>
    </w:p>
    <w:p w:rsidR="00000000" w:rsidDel="00000000" w:rsidP="00000000" w:rsidRDefault="00000000" w:rsidRPr="00000000" w14:paraId="00000160">
      <w:pPr>
        <w:spacing w:after="240" w:before="240" w:lineRule="auto"/>
        <w:jc w:val="both"/>
        <w:rPr/>
      </w:pPr>
      <w:r w:rsidDel="00000000" w:rsidR="00000000" w:rsidRPr="00000000">
        <w:rPr>
          <w:rtl w:val="0"/>
        </w:rPr>
        <w:t xml:space="preserve">Chen T and Guestrin C. XGBoost: A scalable tree boosting system. Proceedings of the 22nd ACM SIGKDD International Conference on Knowledge Discovery and Data Mining 2016 785-794. DOI: 10.1145/2939672.2939785.</w:t>
      </w:r>
    </w:p>
    <w:p w:rsidR="00000000" w:rsidDel="00000000" w:rsidP="00000000" w:rsidRDefault="00000000" w:rsidRPr="00000000" w14:paraId="00000161">
      <w:pPr>
        <w:spacing w:after="240" w:before="240" w:lineRule="auto"/>
        <w:jc w:val="both"/>
        <w:rPr/>
      </w:pPr>
      <w:r w:rsidDel="00000000" w:rsidR="00000000" w:rsidRPr="00000000">
        <w:rPr>
          <w:rtl w:val="0"/>
        </w:rPr>
        <w:t xml:space="preserve">Chugh M et al. Identification and deconvolution of cross-resistance signals from antimalarial compounds using multidrug-resistant Plasmodium falciparum strains. Antimicrob Agents Chemother 2015 (59) 1110-1118. DOI: 10.1128/AAC.03265-14.</w:t>
      </w:r>
    </w:p>
    <w:p w:rsidR="00000000" w:rsidDel="00000000" w:rsidP="00000000" w:rsidRDefault="00000000" w:rsidRPr="00000000" w14:paraId="00000162">
      <w:pPr>
        <w:spacing w:after="240" w:before="240" w:lineRule="auto"/>
        <w:jc w:val="both"/>
        <w:rPr/>
      </w:pPr>
      <w:r w:rsidDel="00000000" w:rsidR="00000000" w:rsidRPr="00000000">
        <w:rPr>
          <w:rtl w:val="0"/>
        </w:rPr>
        <w:t xml:space="preserve">Creek DJ, Chua HH, Cobbold SA, Nijagal B, MacRae JI, Dickerman BK, Gilson PR, Ralph SA, McConville MJ. Metabolomics-based screening of the Malaria Box reveals both novel and established mechanisms of action. Antimicrob Agents Chemother 2016 (60) 6650-6663. DOI: 10.1128/AAC.01226-16. </w:t>
      </w:r>
    </w:p>
    <w:p w:rsidR="00000000" w:rsidDel="00000000" w:rsidP="00000000" w:rsidRDefault="00000000" w:rsidRPr="00000000" w14:paraId="00000163">
      <w:pPr>
        <w:spacing w:after="240" w:before="240" w:lineRule="auto"/>
        <w:jc w:val="both"/>
        <w:rPr/>
      </w:pPr>
      <w:r w:rsidDel="00000000" w:rsidR="00000000" w:rsidRPr="00000000">
        <w:rPr>
          <w:rtl w:val="0"/>
        </w:rPr>
        <w:t xml:space="preserve">Dharia NV et al. Use of high-density tiling microarrays to identify mutations globally and elucidate mechanisms of drug resistance in </w:t>
      </w:r>
      <w:r w:rsidDel="00000000" w:rsidR="00000000" w:rsidRPr="00000000">
        <w:rPr>
          <w:i w:val="1"/>
          <w:rtl w:val="0"/>
        </w:rPr>
        <w:t xml:space="preserve">Plasmodium falciparum</w:t>
      </w:r>
      <w:r w:rsidDel="00000000" w:rsidR="00000000" w:rsidRPr="00000000">
        <w:rPr>
          <w:rtl w:val="0"/>
        </w:rPr>
        <w:t xml:space="preserve">. Genome Biology 2009 (10) Article R21. DOI: 10.1186/gb-2009-10-2-r21.</w:t>
      </w:r>
    </w:p>
    <w:p w:rsidR="00000000" w:rsidDel="00000000" w:rsidP="00000000" w:rsidRDefault="00000000" w:rsidRPr="00000000" w14:paraId="00000164">
      <w:pPr>
        <w:spacing w:after="240" w:before="240" w:lineRule="auto"/>
        <w:jc w:val="both"/>
        <w:rPr/>
      </w:pPr>
      <w:r w:rsidDel="00000000" w:rsidR="00000000" w:rsidRPr="00000000">
        <w:rPr>
          <w:rtl w:val="0"/>
        </w:rPr>
        <w:t xml:space="preserve">Dondorp AM, Smithuis FM, Woodrow C, Seidlein LV. How to contain artemisinin- and multidrug-resistant </w:t>
      </w:r>
      <w:r w:rsidDel="00000000" w:rsidR="00000000" w:rsidRPr="00000000">
        <w:rPr>
          <w:i w:val="1"/>
          <w:rtl w:val="0"/>
        </w:rPr>
        <w:t xml:space="preserve">falciparum</w:t>
      </w:r>
      <w:r w:rsidDel="00000000" w:rsidR="00000000" w:rsidRPr="00000000">
        <w:rPr>
          <w:rtl w:val="0"/>
        </w:rPr>
        <w:t xml:space="preserve"> malaria. Trends Parsitol 2017 (33) 353-363. DOI: 10.1016/j.pt.2017.01.004.</w:t>
      </w:r>
    </w:p>
    <w:p w:rsidR="00000000" w:rsidDel="00000000" w:rsidP="00000000" w:rsidRDefault="00000000" w:rsidRPr="00000000" w14:paraId="00000165">
      <w:pPr>
        <w:spacing w:after="240" w:before="240" w:lineRule="auto"/>
        <w:jc w:val="both"/>
        <w:rPr/>
      </w:pPr>
      <w:r w:rsidDel="00000000" w:rsidR="00000000" w:rsidRPr="00000000">
        <w:rPr>
          <w:rtl w:val="0"/>
        </w:rPr>
        <w:t xml:space="preserve">Jimenez-Diaz MB et al. (+)-SJ733, a clinical candidate for malaria that acts through ATP4 to induce rapid host-mediated clearance of </w:t>
      </w:r>
      <w:r w:rsidDel="00000000" w:rsidR="00000000" w:rsidRPr="00000000">
        <w:rPr>
          <w:i w:val="1"/>
          <w:rtl w:val="0"/>
        </w:rPr>
        <w:t xml:space="preserve">Plasmodium</w:t>
      </w:r>
      <w:r w:rsidDel="00000000" w:rsidR="00000000" w:rsidRPr="00000000">
        <w:rPr>
          <w:rtl w:val="0"/>
        </w:rPr>
        <w:t xml:space="preserve">. PNAS 2014 (111) E5455-E5462. DOI: 10.1073/pnas.1414221111.</w:t>
      </w:r>
    </w:p>
    <w:p w:rsidR="00000000" w:rsidDel="00000000" w:rsidP="00000000" w:rsidRDefault="00000000" w:rsidRPr="00000000" w14:paraId="00000166">
      <w:pPr>
        <w:spacing w:after="240" w:before="240" w:lineRule="auto"/>
        <w:jc w:val="both"/>
        <w:rPr/>
      </w:pPr>
      <w:r w:rsidDel="00000000" w:rsidR="00000000" w:rsidRPr="00000000">
        <w:rPr>
          <w:rtl w:val="0"/>
        </w:rPr>
        <w:t xml:space="preserve">Koes DR, Baumgartner MP, Camacho CJ. Lessons learned in empirical scoring with smina from the CSAR 2011 benchmarking exercise. J Chem Inf Model 2013 (53) 1893-1904.</w:t>
      </w:r>
    </w:p>
    <w:p w:rsidR="00000000" w:rsidDel="00000000" w:rsidP="00000000" w:rsidRDefault="00000000" w:rsidRPr="00000000" w14:paraId="00000167">
      <w:pPr>
        <w:spacing w:after="240" w:before="240" w:lineRule="auto"/>
        <w:jc w:val="both"/>
        <w:rPr/>
      </w:pPr>
      <w:r w:rsidDel="00000000" w:rsidR="00000000" w:rsidRPr="00000000">
        <w:rPr>
          <w:rtl w:val="0"/>
        </w:rPr>
        <w:t xml:space="preserve">Krieger E, Joo K, Lee J, Lee J, Raman S, Thompson J, Tyka M, Baker D, Karplus K. Improving physical realism, stereochemistry, and side-chain accuracy in homology modeling: Four approaches that performed well in CASP8. Proteins 2009 (77 Suppl 9) 114-122.</w:t>
      </w:r>
    </w:p>
    <w:p w:rsidR="00000000" w:rsidDel="00000000" w:rsidP="00000000" w:rsidRDefault="00000000" w:rsidRPr="00000000" w14:paraId="00000168">
      <w:pPr>
        <w:spacing w:after="240" w:before="240" w:lineRule="auto"/>
        <w:jc w:val="both"/>
        <w:rPr/>
      </w:pPr>
      <w:r w:rsidDel="00000000" w:rsidR="00000000" w:rsidRPr="00000000">
        <w:rPr>
          <w:rtl w:val="0"/>
        </w:rPr>
        <w:t xml:space="preserve">LaMonte et al. Mutations in the Plasmodium falciparum cyclic amine resistance locus (PfCARL) confer multidrug resistance. American Society for Microbiology 2016 (7) e00696-16. DOI: 10.1128/mBio.00696-16.</w:t>
      </w:r>
    </w:p>
    <w:p w:rsidR="00000000" w:rsidDel="00000000" w:rsidP="00000000" w:rsidRDefault="00000000" w:rsidRPr="00000000" w14:paraId="00000169">
      <w:pPr>
        <w:spacing w:after="240" w:before="240" w:lineRule="auto"/>
        <w:jc w:val="both"/>
        <w:rPr/>
      </w:pPr>
      <w:r w:rsidDel="00000000" w:rsidR="00000000" w:rsidRPr="00000000">
        <w:rPr>
          <w:rtl w:val="0"/>
        </w:rPr>
        <w:t xml:space="preserve">Le Cao K-A, Boitard S, Besse P. Sparse PLS discriminant analysis: Biologically relevant feature selection and graphical displays for multiclass problems. BMC Bioinformatics 2011 (12) Article 253. DOI: https://doi.org/10.1186/1471-2105-12-253.</w:t>
      </w:r>
    </w:p>
    <w:p w:rsidR="00000000" w:rsidDel="00000000" w:rsidP="00000000" w:rsidRDefault="00000000" w:rsidRPr="00000000" w14:paraId="0000016A">
      <w:pPr>
        <w:spacing w:after="240" w:before="240" w:lineRule="auto"/>
        <w:jc w:val="both"/>
        <w:rPr/>
      </w:pPr>
      <w:r w:rsidDel="00000000" w:rsidR="00000000" w:rsidRPr="00000000">
        <w:rPr>
          <w:rtl w:val="0"/>
        </w:rPr>
        <w:t xml:space="preserve">Lehane AM, Ridgway MC, Baker E, Kirk K. Diverse chemotypes disrupt ion homeostasis in the malaria parasite. Mol Microbiol 2014 (94) 327-339. DOI: 10.1111/mmi.12765</w:t>
      </w:r>
    </w:p>
    <w:p w:rsidR="00000000" w:rsidDel="00000000" w:rsidP="00000000" w:rsidRDefault="00000000" w:rsidRPr="00000000" w14:paraId="0000016B">
      <w:pPr>
        <w:spacing w:after="240" w:before="240" w:lineRule="auto"/>
        <w:jc w:val="both"/>
        <w:rPr/>
      </w:pPr>
      <w:r w:rsidDel="00000000" w:rsidR="00000000" w:rsidRPr="00000000">
        <w:rPr>
          <w:rtl w:val="0"/>
        </w:rPr>
        <w:t xml:space="preserve">Lim MY et al. UDP-glalactose and acetyl-CoA transporters as Plasmodium multidrug resistance genes. Nat Microbiol 2016 (19) 16166. DOI: 10.1038/nmicrobiol.2016.166.</w:t>
      </w:r>
    </w:p>
    <w:p w:rsidR="00000000" w:rsidDel="00000000" w:rsidP="00000000" w:rsidRDefault="00000000" w:rsidRPr="00000000" w14:paraId="0000016C">
      <w:pPr>
        <w:spacing w:after="240" w:before="240" w:lineRule="auto"/>
        <w:jc w:val="both"/>
        <w:rPr>
          <w:highlight w:val="white"/>
        </w:rPr>
      </w:pPr>
      <w:r w:rsidDel="00000000" w:rsidR="00000000" w:rsidRPr="00000000">
        <w:rPr>
          <w:rFonts w:ascii="Arial Unicode MS" w:cs="Arial Unicode MS" w:eastAsia="Arial Unicode MS" w:hAnsi="Arial Unicode MS"/>
          <w:highlight w:val="white"/>
          <w:rtl w:val="0"/>
        </w:rPr>
        <w:t xml:space="preserve">Manach CL et al. Medicinal chemistry optimization of antiplasmodial imidazopyridazine hits from high throughput screening of a SoftFocus kinase library: Part 1. J Med Chem 2014 (57) 2789−2798. DOI: 10.1021/jm500098s.</w:t>
      </w:r>
    </w:p>
    <w:p w:rsidR="00000000" w:rsidDel="00000000" w:rsidP="00000000" w:rsidRDefault="00000000" w:rsidRPr="00000000" w14:paraId="0000016D">
      <w:pPr>
        <w:spacing w:after="240" w:before="240" w:lineRule="auto"/>
        <w:jc w:val="both"/>
        <w:rPr>
          <w:highlight w:val="white"/>
        </w:rPr>
      </w:pPr>
      <w:r w:rsidDel="00000000" w:rsidR="00000000" w:rsidRPr="00000000">
        <w:rPr>
          <w:highlight w:val="white"/>
          <w:rtl w:val="0"/>
        </w:rPr>
        <w:t xml:space="preserve">Manach CL, et al. A novel pyrazolopyridine with </w:t>
      </w:r>
      <w:r w:rsidDel="00000000" w:rsidR="00000000" w:rsidRPr="00000000">
        <w:rPr>
          <w:i w:val="1"/>
          <w:highlight w:val="white"/>
          <w:rtl w:val="0"/>
        </w:rPr>
        <w:t xml:space="preserve">in vivo</w:t>
      </w:r>
      <w:r w:rsidDel="00000000" w:rsidR="00000000" w:rsidRPr="00000000">
        <w:rPr>
          <w:highlight w:val="white"/>
          <w:rtl w:val="0"/>
        </w:rPr>
        <w:t xml:space="preserve"> activity in </w:t>
      </w:r>
      <w:r w:rsidDel="00000000" w:rsidR="00000000" w:rsidRPr="00000000">
        <w:rPr>
          <w:i w:val="1"/>
          <w:highlight w:val="white"/>
          <w:rtl w:val="0"/>
        </w:rPr>
        <w:t xml:space="preserve">Plasmodium berghei</w:t>
      </w:r>
      <w:r w:rsidDel="00000000" w:rsidR="00000000" w:rsidRPr="00000000">
        <w:rPr>
          <w:highlight w:val="white"/>
          <w:rtl w:val="0"/>
        </w:rPr>
        <w:t xml:space="preserve">- and </w:t>
      </w:r>
      <w:r w:rsidDel="00000000" w:rsidR="00000000" w:rsidRPr="00000000">
        <w:rPr>
          <w:i w:val="1"/>
          <w:highlight w:val="white"/>
          <w:rtl w:val="0"/>
        </w:rPr>
        <w:t xml:space="preserve">Plasmodium falciparum</w:t>
      </w:r>
      <w:r w:rsidDel="00000000" w:rsidR="00000000" w:rsidRPr="00000000">
        <w:rPr>
          <w:rFonts w:ascii="Arial Unicode MS" w:cs="Arial Unicode MS" w:eastAsia="Arial Unicode MS" w:hAnsi="Arial Unicode MS"/>
          <w:highlight w:val="white"/>
          <w:rtl w:val="0"/>
        </w:rPr>
        <w:t xml:space="preserve">-infected mouse models from structure−activity relationship studies around the core of recently identified antimalarial imidazopyridazines. J Med Chem 2015 (58) 8713−8722. DOI: 10.1021/acs.jmedchem.5b01605.</w:t>
      </w:r>
    </w:p>
    <w:p w:rsidR="00000000" w:rsidDel="00000000" w:rsidP="00000000" w:rsidRDefault="00000000" w:rsidRPr="00000000" w14:paraId="0000016E">
      <w:pPr>
        <w:spacing w:after="240" w:before="240" w:lineRule="auto"/>
        <w:jc w:val="both"/>
        <w:rPr/>
      </w:pPr>
      <w:r w:rsidDel="00000000" w:rsidR="00000000" w:rsidRPr="00000000">
        <w:rPr>
          <w:rtl w:val="0"/>
        </w:rPr>
        <w:t xml:space="preserve">McNamara CW et al. Targeting </w:t>
      </w:r>
      <w:r w:rsidDel="00000000" w:rsidR="00000000" w:rsidRPr="00000000">
        <w:rPr>
          <w:i w:val="1"/>
          <w:rtl w:val="0"/>
        </w:rPr>
        <w:t xml:space="preserve">Plasmodium</w:t>
      </w:r>
      <w:r w:rsidDel="00000000" w:rsidR="00000000" w:rsidRPr="00000000">
        <w:rPr>
          <w:rtl w:val="0"/>
        </w:rPr>
        <w:t xml:space="preserve"> PI(4)K to eliminate malaria. Nature 2013 (504) 248-253. DOI: 10.1038/nature12782.</w:t>
      </w:r>
    </w:p>
    <w:p w:rsidR="00000000" w:rsidDel="00000000" w:rsidP="00000000" w:rsidRDefault="00000000" w:rsidRPr="00000000" w14:paraId="0000016F">
      <w:pPr>
        <w:spacing w:after="240" w:before="240" w:lineRule="auto"/>
        <w:jc w:val="both"/>
        <w:rPr/>
      </w:pPr>
      <w:r w:rsidDel="00000000" w:rsidR="00000000" w:rsidRPr="00000000">
        <w:rPr>
          <w:rtl w:val="0"/>
        </w:rPr>
        <w:t xml:space="preserve">Nilsen A et al. Quinolone-3-diarylethers: A new class of antimalarial drug. Science Translational Medicine 2013 (5) 177ra37. DOI: 10.1126/scitranslmed.3005029.</w:t>
      </w:r>
    </w:p>
    <w:p w:rsidR="00000000" w:rsidDel="00000000" w:rsidP="00000000" w:rsidRDefault="00000000" w:rsidRPr="00000000" w14:paraId="00000170">
      <w:pPr>
        <w:spacing w:after="240" w:before="240" w:lineRule="auto"/>
        <w:jc w:val="both"/>
        <w:rPr/>
      </w:pPr>
      <w:r w:rsidDel="00000000" w:rsidR="00000000" w:rsidRPr="00000000">
        <w:rPr>
          <w:rtl w:val="0"/>
        </w:rPr>
        <w:t xml:space="preserve">Paquet T et al. Antimalarial efficacy of MMV390048, an inhibitor of </w:t>
      </w:r>
      <w:r w:rsidDel="00000000" w:rsidR="00000000" w:rsidRPr="00000000">
        <w:rPr>
          <w:i w:val="1"/>
          <w:rtl w:val="0"/>
        </w:rPr>
        <w:t xml:space="preserve">Plasmodium</w:t>
      </w:r>
      <w:r w:rsidDel="00000000" w:rsidR="00000000" w:rsidRPr="00000000">
        <w:rPr>
          <w:rtl w:val="0"/>
        </w:rPr>
        <w:t xml:space="preserve"> phosphatidylinositol 4-kinase. Science Translational Medicine 2017 (9) eaad9735. DOI: 10.1126/scitranslmed.aad9735.</w:t>
      </w:r>
    </w:p>
    <w:p w:rsidR="00000000" w:rsidDel="00000000" w:rsidP="00000000" w:rsidRDefault="00000000" w:rsidRPr="00000000" w14:paraId="00000171">
      <w:pPr>
        <w:spacing w:after="240" w:before="240" w:lineRule="auto"/>
        <w:jc w:val="both"/>
        <w:rPr/>
      </w:pPr>
      <w:r w:rsidDel="00000000" w:rsidR="00000000" w:rsidRPr="00000000">
        <w:rPr>
          <w:rtl w:val="0"/>
        </w:rPr>
        <w:t xml:space="preserve">Pendleton JN, Gorman SP, Gilmore BF. Clinical relevance of the ESKAPE pathogens. Expert Review of Anti-infective Therapy 2013 (11) 297-308. DOI: 10.1586/eri.13.12.</w:t>
      </w:r>
    </w:p>
    <w:p w:rsidR="00000000" w:rsidDel="00000000" w:rsidP="00000000" w:rsidRDefault="00000000" w:rsidRPr="00000000" w14:paraId="00000172">
      <w:pPr>
        <w:spacing w:after="240" w:before="240" w:lineRule="auto"/>
        <w:jc w:val="both"/>
        <w:rPr/>
      </w:pPr>
      <w:r w:rsidDel="00000000" w:rsidR="00000000" w:rsidRPr="00000000">
        <w:rPr>
          <w:rtl w:val="0"/>
        </w:rPr>
        <w:t xml:space="preserve">Phillips MA et al. A long-duration dihydroorotate dehydrogenase inhibitor (DSM265) for prevention and treatment of malaria. Science Translational Medicine 2015 (7) 296ra111. DOI: 10.1126/scitranslmed.aaa6645.</w:t>
      </w:r>
    </w:p>
    <w:p w:rsidR="00000000" w:rsidDel="00000000" w:rsidP="00000000" w:rsidRDefault="00000000" w:rsidRPr="00000000" w14:paraId="00000173">
      <w:pPr>
        <w:spacing w:after="240" w:before="240" w:lineRule="auto"/>
        <w:jc w:val="both"/>
        <w:rPr/>
      </w:pPr>
      <w:r w:rsidDel="00000000" w:rsidR="00000000" w:rsidRPr="00000000">
        <w:rPr>
          <w:rtl w:val="0"/>
        </w:rPr>
        <w:t xml:space="preserve">Prudencio M, Rodriguez A, Mota MM. The silent path to thousands of merozoites: The </w:t>
      </w:r>
      <w:r w:rsidDel="00000000" w:rsidR="00000000" w:rsidRPr="00000000">
        <w:rPr>
          <w:i w:val="1"/>
          <w:rtl w:val="0"/>
        </w:rPr>
        <w:t xml:space="preserve">Plasmodium</w:t>
      </w:r>
      <w:r w:rsidDel="00000000" w:rsidR="00000000" w:rsidRPr="00000000">
        <w:rPr>
          <w:rtl w:val="0"/>
        </w:rPr>
        <w:t xml:space="preserve"> liver stage. Nat Rev Microbiol 2006 (4) 849-856. DOI: 10.1038/nrmicro1529.</w:t>
      </w:r>
    </w:p>
    <w:p w:rsidR="00000000" w:rsidDel="00000000" w:rsidP="00000000" w:rsidRDefault="00000000" w:rsidRPr="00000000" w14:paraId="00000174">
      <w:pPr>
        <w:spacing w:after="240" w:before="240" w:lineRule="auto"/>
        <w:jc w:val="both"/>
        <w:rPr/>
      </w:pPr>
      <w:r w:rsidDel="00000000" w:rsidR="00000000" w:rsidRPr="00000000">
        <w:rPr>
          <w:rtl w:val="0"/>
        </w:rPr>
        <w:t xml:space="preserve">Rosling JEO, Ridgway MC, Summers RL, Kirk K, Lehane AM. Biochemical characterization and chemical inhibition of PfATP4-associate Na+-ATPase activity in Plasmodium falciparum membranes. J Biol Chem 2018 (293) 13327-13337. DOI: 10.1074/jbc.RA118.003640</w:t>
      </w:r>
    </w:p>
    <w:p w:rsidR="00000000" w:rsidDel="00000000" w:rsidP="00000000" w:rsidRDefault="00000000" w:rsidRPr="00000000" w14:paraId="00000175">
      <w:pPr>
        <w:spacing w:after="240" w:before="240" w:lineRule="auto"/>
        <w:jc w:val="both"/>
        <w:rPr/>
      </w:pPr>
      <w:r w:rsidDel="00000000" w:rsidR="00000000" w:rsidRPr="00000000">
        <w:rPr>
          <w:rtl w:val="0"/>
        </w:rPr>
        <w:t xml:space="preserve">Spillman NJ, Allen, RJW, McNamara CW, Yeung BKS, Winzeler EA, Diagana TT, Kirk K. Na</w:t>
      </w:r>
      <w:r w:rsidDel="00000000" w:rsidR="00000000" w:rsidRPr="00000000">
        <w:rPr>
          <w:vertAlign w:val="superscript"/>
          <w:rtl w:val="0"/>
        </w:rPr>
        <w:t xml:space="preserve">+</w:t>
      </w:r>
      <w:r w:rsidDel="00000000" w:rsidR="00000000" w:rsidRPr="00000000">
        <w:rPr>
          <w:rtl w:val="0"/>
        </w:rPr>
        <w:t xml:space="preserve"> regulation in the malaria parasite Plasmodium falciparum involves the cation ATPase PfATP4 and is a target of the spiroindolone antimalarials. Cell Host Microbe 2013 (13) 227-237. DOI: 10.1016/j.chom.2012.12.006</w:t>
      </w:r>
    </w:p>
    <w:p w:rsidR="00000000" w:rsidDel="00000000" w:rsidP="00000000" w:rsidRDefault="00000000" w:rsidRPr="00000000" w14:paraId="00000176">
      <w:pPr>
        <w:spacing w:after="240" w:before="240" w:lineRule="auto"/>
        <w:jc w:val="both"/>
        <w:rPr/>
      </w:pPr>
      <w:r w:rsidDel="00000000" w:rsidR="00000000" w:rsidRPr="00000000">
        <w:rPr>
          <w:rtl w:val="0"/>
        </w:rPr>
        <w:t xml:space="preserve">Spillman NJ and Kirk K. The malaria parasite cation ATPase PfATP4 and its role in the mechanism of action of a new arsenal of antimalarial drugs. Int J Parasitol Drugs Drug Resist 2015 (5) 149-162. DOI: 10.1016/j.ijpddr.2015.07.001.</w:t>
      </w:r>
    </w:p>
    <w:p w:rsidR="00000000" w:rsidDel="00000000" w:rsidP="00000000" w:rsidRDefault="00000000" w:rsidRPr="00000000" w14:paraId="00000177">
      <w:pPr>
        <w:spacing w:after="240" w:before="240" w:lineRule="auto"/>
        <w:jc w:val="both"/>
        <w:rPr/>
      </w:pPr>
      <w:r w:rsidDel="00000000" w:rsidR="00000000" w:rsidRPr="00000000">
        <w:rPr>
          <w:rtl w:val="0"/>
        </w:rPr>
        <w:t xml:space="preserve">Trager W and Jensen JB. Human malaria parasites in continuous culture. Science 1976 (193) 673-675. DOI: 10.1126/science.781840.</w:t>
      </w:r>
    </w:p>
    <w:p w:rsidR="00000000" w:rsidDel="00000000" w:rsidP="00000000" w:rsidRDefault="00000000" w:rsidRPr="00000000" w14:paraId="00000178">
      <w:pPr>
        <w:spacing w:after="240" w:before="240" w:lineRule="auto"/>
        <w:jc w:val="both"/>
        <w:rPr/>
      </w:pPr>
      <w:r w:rsidDel="00000000" w:rsidR="00000000" w:rsidRPr="00000000">
        <w:rPr>
          <w:rtl w:val="0"/>
        </w:rPr>
        <w:t xml:space="preserve">Utter MF. Mechanism of inhibition of anaerobic glycolysis of brain by soidium ions. J Biol Chem. 1950 (185) 499-517. </w:t>
      </w:r>
      <w:hyperlink r:id="rId37">
        <w:r w:rsidDel="00000000" w:rsidR="00000000" w:rsidRPr="00000000">
          <w:rPr>
            <w:color w:val="1155cc"/>
            <w:u w:val="single"/>
            <w:rtl w:val="0"/>
          </w:rPr>
          <w:t xml:space="preserve">www.jbc.org/content/185/2/499.citation</w:t>
        </w:r>
      </w:hyperlink>
      <w:r w:rsidDel="00000000" w:rsidR="00000000" w:rsidRPr="00000000">
        <w:rPr>
          <w:rtl w:val="0"/>
        </w:rPr>
      </w:r>
    </w:p>
    <w:p w:rsidR="00000000" w:rsidDel="00000000" w:rsidP="00000000" w:rsidRDefault="00000000" w:rsidRPr="00000000" w14:paraId="00000179">
      <w:pPr>
        <w:spacing w:after="240" w:before="240" w:lineRule="auto"/>
        <w:jc w:val="both"/>
        <w:rPr/>
      </w:pPr>
      <w:r w:rsidDel="00000000" w:rsidR="00000000" w:rsidRPr="00000000">
        <w:rPr>
          <w:rtl w:val="0"/>
        </w:rPr>
        <w:t xml:space="preserve">Vaidya AB et al. Pyrazoleamide compounds are potent antimalarials that target Na+ homeostasis in intraerythrocytic Plasmodium falciparum. Nat. Commun. 2014 (25) 5521. DOI: 10.1038/ncomms6521.</w:t>
      </w:r>
    </w:p>
    <w:p w:rsidR="00000000" w:rsidDel="00000000" w:rsidP="00000000" w:rsidRDefault="00000000" w:rsidRPr="00000000" w14:paraId="0000017A">
      <w:pPr>
        <w:spacing w:after="240" w:before="240" w:lineRule="auto"/>
        <w:jc w:val="both"/>
        <w:rPr/>
      </w:pPr>
      <w:r w:rsidDel="00000000" w:rsidR="00000000" w:rsidRPr="00000000">
        <w:rPr>
          <w:rtl w:val="0"/>
        </w:rPr>
        <w:t xml:space="preserve">World Malaria Report 2017. World Health Organization 29 November 2017. Last accessed 28 August 2019. </w:t>
      </w:r>
      <w:hyperlink r:id="rId38">
        <w:r w:rsidDel="00000000" w:rsidR="00000000" w:rsidRPr="00000000">
          <w:rPr>
            <w:color w:val="1155cc"/>
            <w:u w:val="single"/>
            <w:rtl w:val="0"/>
          </w:rPr>
          <w:t xml:space="preserve">https://www.who.int/malaria/publications/world-malaria-report-2017/en/</w:t>
        </w:r>
      </w:hyperlink>
      <w:r w:rsidDel="00000000" w:rsidR="00000000" w:rsidRPr="00000000">
        <w:rPr>
          <w:rtl w:val="0"/>
        </w:rPr>
        <w:t xml:space="preserve">.</w:t>
      </w:r>
    </w:p>
    <w:p w:rsidR="00000000" w:rsidDel="00000000" w:rsidP="00000000" w:rsidRDefault="00000000" w:rsidRPr="00000000" w14:paraId="0000017B">
      <w:pPr>
        <w:spacing w:after="240" w:before="240" w:lineRule="auto"/>
        <w:jc w:val="both"/>
        <w:rPr/>
      </w:pPr>
      <w:r w:rsidDel="00000000" w:rsidR="00000000" w:rsidRPr="00000000">
        <w:rPr>
          <w:rtl w:val="0"/>
        </w:rPr>
        <w:t xml:space="preserve">Xia J. and Wishart D.S. Using MetaboAnalyst 3.0 for comprehensive metabolomics data analysis. Curr Protoc Bioinformatics 2016 (7) 14.10.1-14.10.91. DOI: 10.1002/cpbi.11</w:t>
      </w:r>
    </w:p>
    <w:p w:rsidR="00000000" w:rsidDel="00000000" w:rsidP="00000000" w:rsidRDefault="00000000" w:rsidRPr="00000000" w14:paraId="0000017C">
      <w:pPr>
        <w:spacing w:after="240" w:before="240" w:lineRule="auto"/>
        <w:jc w:val="both"/>
        <w:rPr/>
      </w:pPr>
      <w:r w:rsidDel="00000000" w:rsidR="00000000" w:rsidRPr="00000000">
        <w:rPr>
          <w:rtl w:val="0"/>
        </w:rPr>
        <w:t xml:space="preserve">Yap CW. PaDEL-descriptor: An open source software to calculate molecular descriptors and fingerprints. J Comput Chem 2011 (32) 1466-1474. DOI: 10.1002/jcc.21707.</w:t>
      </w:r>
      <w:r w:rsidDel="00000000" w:rsidR="00000000" w:rsidRPr="00000000">
        <w:rPr>
          <w:rtl w:val="0"/>
        </w:rPr>
        <w:br w:type="textWrapping"/>
      </w:r>
    </w:p>
    <w:p w:rsidR="00000000" w:rsidDel="00000000" w:rsidP="00000000" w:rsidRDefault="00000000" w:rsidRPr="00000000" w14:paraId="0000017D">
      <w:pPr>
        <w:spacing w:after="240" w:before="240" w:lineRule="auto"/>
        <w:jc w:val="both"/>
        <w:rPr/>
      </w:pPr>
      <w:r w:rsidDel="00000000" w:rsidR="00000000" w:rsidRPr="00000000">
        <w:rPr>
          <w:rtl w:val="0"/>
        </w:rPr>
      </w:r>
    </w:p>
    <w:p w:rsidR="00000000" w:rsidDel="00000000" w:rsidP="00000000" w:rsidRDefault="00000000" w:rsidRPr="00000000" w14:paraId="0000017E">
      <w:pPr>
        <w:spacing w:after="240" w:before="240" w:lineRule="auto"/>
        <w:jc w:val="both"/>
        <w:rPr/>
      </w:pPr>
      <w:r w:rsidDel="00000000" w:rsidR="00000000" w:rsidRPr="00000000">
        <w:rPr>
          <w:rtl w:val="0"/>
        </w:rPr>
      </w:r>
    </w:p>
    <w:p w:rsidR="00000000" w:rsidDel="00000000" w:rsidP="00000000" w:rsidRDefault="00000000" w:rsidRPr="00000000" w14:paraId="0000017F">
      <w:pPr>
        <w:spacing w:after="240" w:before="240" w:lineRule="auto"/>
        <w:jc w:val="both"/>
        <w:rPr/>
      </w:pPr>
      <w:r w:rsidDel="00000000" w:rsidR="00000000" w:rsidRPr="00000000">
        <w:rPr>
          <w:rtl w:val="0"/>
        </w:rPr>
      </w:r>
    </w:p>
    <w:p w:rsidR="00000000" w:rsidDel="00000000" w:rsidP="00000000" w:rsidRDefault="00000000" w:rsidRPr="00000000" w14:paraId="00000180">
      <w:pPr>
        <w:spacing w:after="240" w:before="240" w:lineRule="auto"/>
        <w:jc w:val="both"/>
        <w:rPr/>
      </w:pPr>
      <w:r w:rsidDel="00000000" w:rsidR="00000000" w:rsidRPr="00000000">
        <w:rPr>
          <w:rtl w:val="0"/>
        </w:rPr>
      </w:r>
    </w:p>
    <w:p w:rsidR="00000000" w:rsidDel="00000000" w:rsidP="00000000" w:rsidRDefault="00000000" w:rsidRPr="00000000" w14:paraId="00000181">
      <w:pPr>
        <w:spacing w:after="240" w:before="240" w:lineRule="auto"/>
        <w:jc w:val="both"/>
        <w:rPr/>
      </w:pPr>
      <w:r w:rsidDel="00000000" w:rsidR="00000000" w:rsidRPr="00000000">
        <w:rPr>
          <w:rtl w:val="0"/>
        </w:rPr>
      </w:r>
    </w:p>
    <w:p w:rsidR="00000000" w:rsidDel="00000000" w:rsidP="00000000" w:rsidRDefault="00000000" w:rsidRPr="00000000" w14:paraId="00000182">
      <w:pPr>
        <w:spacing w:after="240" w:before="240" w:lineRule="auto"/>
        <w:jc w:val="both"/>
        <w:rPr/>
      </w:pPr>
      <w:r w:rsidDel="00000000" w:rsidR="00000000" w:rsidRPr="00000000">
        <w:rPr>
          <w:rtl w:val="0"/>
        </w:rPr>
      </w:r>
    </w:p>
    <w:p w:rsidR="00000000" w:rsidDel="00000000" w:rsidP="00000000" w:rsidRDefault="00000000" w:rsidRPr="00000000" w14:paraId="00000183">
      <w:pPr>
        <w:spacing w:after="240" w:before="240" w:lineRule="auto"/>
        <w:jc w:val="both"/>
        <w:rPr/>
      </w:pPr>
      <w:r w:rsidDel="00000000" w:rsidR="00000000" w:rsidRPr="00000000">
        <w:rPr>
          <w:rtl w:val="0"/>
        </w:rPr>
      </w:r>
    </w:p>
    <w:p w:rsidR="00000000" w:rsidDel="00000000" w:rsidP="00000000" w:rsidRDefault="00000000" w:rsidRPr="00000000" w14:paraId="00000184">
      <w:pPr>
        <w:spacing w:after="240" w:before="240" w:lineRule="auto"/>
        <w:jc w:val="both"/>
        <w:rPr/>
      </w:pPr>
      <w:r w:rsidDel="00000000" w:rsidR="00000000" w:rsidRPr="00000000">
        <w:rPr>
          <w:rtl w:val="0"/>
        </w:rPr>
      </w:r>
    </w:p>
    <w:p w:rsidR="00000000" w:rsidDel="00000000" w:rsidP="00000000" w:rsidRDefault="00000000" w:rsidRPr="00000000" w14:paraId="00000185">
      <w:pPr>
        <w:spacing w:after="240" w:before="240" w:lineRule="auto"/>
        <w:jc w:val="both"/>
        <w:rPr/>
      </w:pPr>
      <w:r w:rsidDel="00000000" w:rsidR="00000000" w:rsidRPr="00000000">
        <w:rPr>
          <w:rtl w:val="0"/>
        </w:rPr>
      </w:r>
    </w:p>
    <w:p w:rsidR="00000000" w:rsidDel="00000000" w:rsidP="00000000" w:rsidRDefault="00000000" w:rsidRPr="00000000" w14:paraId="00000186">
      <w:pPr>
        <w:spacing w:after="240" w:before="240" w:lineRule="auto"/>
        <w:jc w:val="both"/>
        <w:rPr/>
      </w:pPr>
      <w:r w:rsidDel="00000000" w:rsidR="00000000" w:rsidRPr="00000000">
        <w:rPr>
          <w:rtl w:val="0"/>
        </w:rPr>
      </w:r>
    </w:p>
    <w:p w:rsidR="00000000" w:rsidDel="00000000" w:rsidP="00000000" w:rsidRDefault="00000000" w:rsidRPr="00000000" w14:paraId="00000187">
      <w:pPr>
        <w:spacing w:after="240" w:before="240" w:lineRule="auto"/>
        <w:jc w:val="both"/>
        <w:rPr/>
      </w:pPr>
      <w:r w:rsidDel="00000000" w:rsidR="00000000" w:rsidRPr="00000000">
        <w:rPr>
          <w:rtl w:val="0"/>
        </w:rPr>
      </w:r>
    </w:p>
    <w:p w:rsidR="00000000" w:rsidDel="00000000" w:rsidP="00000000" w:rsidRDefault="00000000" w:rsidRPr="00000000" w14:paraId="00000188">
      <w:pPr>
        <w:spacing w:after="240" w:before="240" w:lineRule="auto"/>
        <w:jc w:val="both"/>
        <w:rPr/>
      </w:pPr>
      <w:r w:rsidDel="00000000" w:rsidR="00000000" w:rsidRPr="00000000">
        <w:rPr>
          <w:rtl w:val="0"/>
        </w:rPr>
      </w:r>
    </w:p>
    <w:p w:rsidR="00000000" w:rsidDel="00000000" w:rsidP="00000000" w:rsidRDefault="00000000" w:rsidRPr="00000000" w14:paraId="00000189">
      <w:pPr>
        <w:spacing w:after="240" w:before="240" w:lineRule="auto"/>
        <w:jc w:val="both"/>
        <w:rPr/>
      </w:pPr>
      <w:r w:rsidDel="00000000" w:rsidR="00000000" w:rsidRPr="00000000">
        <w:rPr>
          <w:rtl w:val="0"/>
        </w:rPr>
      </w:r>
    </w:p>
    <w:p w:rsidR="00000000" w:rsidDel="00000000" w:rsidP="00000000" w:rsidRDefault="00000000" w:rsidRPr="00000000" w14:paraId="0000018A">
      <w:pPr>
        <w:spacing w:after="240" w:before="240" w:lineRule="auto"/>
        <w:jc w:val="both"/>
        <w:rPr/>
      </w:pPr>
      <w:r w:rsidDel="00000000" w:rsidR="00000000" w:rsidRPr="00000000">
        <w:rPr>
          <w:rtl w:val="0"/>
        </w:rPr>
        <w:t xml:space="preserve">As one of the key goals of the OSM Series 4 project was to improve the microsomal stability and solubility of the inherited MMV molecules, this data was obtained for a number of compounds of interest. The values for these properties were binned into “good,” “fair,” and “poor” categories in order to create a heat map, facilitating the assessment of each compound as a whole (</w:t>
      </w:r>
      <w:r w:rsidDel="00000000" w:rsidR="00000000" w:rsidRPr="00000000">
        <w:rPr>
          <w:b w:val="1"/>
          <w:rtl w:val="0"/>
        </w:rPr>
        <w:t xml:space="preserve">Table SX</w:t>
      </w:r>
      <w:r w:rsidDel="00000000" w:rsidR="00000000" w:rsidRPr="00000000">
        <w:rPr>
          <w:rtl w:val="0"/>
        </w:rPr>
        <w:t xml:space="preserve">).</w:t>
      </w:r>
    </w:p>
    <w:p w:rsidR="00000000" w:rsidDel="00000000" w:rsidP="00000000" w:rsidRDefault="00000000" w:rsidRPr="00000000" w14:paraId="0000018B">
      <w:pPr>
        <w:spacing w:after="240" w:before="240" w:lineRule="auto"/>
        <w:jc w:val="both"/>
        <w:rPr/>
      </w:pPr>
      <w:r w:rsidDel="00000000" w:rsidR="00000000" w:rsidRPr="00000000">
        <w:rPr>
          <w:rtl w:val="0"/>
        </w:rPr>
        <w:t xml:space="preserve">Microsomal clearance data for core-replacement analogs is shown in </w:t>
      </w:r>
      <w:r w:rsidDel="00000000" w:rsidR="00000000" w:rsidRPr="00000000">
        <w:rPr>
          <w:b w:val="1"/>
          <w:rtl w:val="0"/>
        </w:rPr>
        <w:t xml:space="preserve">Table X</w:t>
      </w:r>
      <w:r w:rsidDel="00000000" w:rsidR="00000000" w:rsidRPr="00000000">
        <w:rPr>
          <w:rtl w:val="0"/>
        </w:rPr>
        <w:t xml:space="preserve">. The original triazolopyrazine core, </w:t>
      </w:r>
      <w:r w:rsidDel="00000000" w:rsidR="00000000" w:rsidRPr="00000000">
        <w:rPr>
          <w:b w:val="1"/>
          <w:rtl w:val="0"/>
        </w:rPr>
        <w:t xml:space="preserve">1</w:t>
      </w:r>
      <w:r w:rsidDel="00000000" w:rsidR="00000000" w:rsidRPr="00000000">
        <w:rPr>
          <w:rtl w:val="0"/>
        </w:rPr>
        <w:t xml:space="preserve">, shows moderate HLM clearance but high clearance in rat liver microsomes. Switching to cores where one of the nitrogens of the triazole has been replaced by a -CH (</w:t>
      </w: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3</w:t>
      </w:r>
      <w:r w:rsidDel="00000000" w:rsidR="00000000" w:rsidRPr="00000000">
        <w:rPr>
          <w:rtl w:val="0"/>
        </w:rPr>
        <w:t xml:space="preserve">) results in much higher HLM clearance, although the RLM clearance of </w:t>
      </w:r>
      <w:r w:rsidDel="00000000" w:rsidR="00000000" w:rsidRPr="00000000">
        <w:rPr>
          <w:b w:val="1"/>
          <w:rtl w:val="0"/>
        </w:rPr>
        <w:t xml:space="preserve">3</w:t>
      </w:r>
      <w:r w:rsidDel="00000000" w:rsidR="00000000" w:rsidRPr="00000000">
        <w:rPr>
          <w:rtl w:val="0"/>
        </w:rPr>
        <w:t xml:space="preserve"> has been reduced significantly. A 6-substituted triazolopyrazine analog (</w:t>
      </w:r>
      <w:r w:rsidDel="00000000" w:rsidR="00000000" w:rsidRPr="00000000">
        <w:rPr>
          <w:b w:val="1"/>
          <w:rtl w:val="0"/>
        </w:rPr>
        <w:t xml:space="preserve">4</w:t>
      </w:r>
      <w:r w:rsidDel="00000000" w:rsidR="00000000" w:rsidRPr="00000000">
        <w:rPr>
          <w:rtl w:val="0"/>
        </w:rPr>
        <w:t xml:space="preserve">) shows low HLM but high RLM Cl</w:t>
      </w:r>
      <w:r w:rsidDel="00000000" w:rsidR="00000000" w:rsidRPr="00000000">
        <w:rPr>
          <w:vertAlign w:val="subscript"/>
          <w:rtl w:val="0"/>
        </w:rPr>
        <w:t xml:space="preserve">int</w:t>
      </w:r>
      <w:r w:rsidDel="00000000" w:rsidR="00000000" w:rsidRPr="00000000">
        <w:rPr>
          <w:rtl w:val="0"/>
        </w:rPr>
        <w:t xml:space="preserve">.</w:t>
      </w:r>
    </w:p>
    <w:tbl>
      <w:tblPr>
        <w:tblStyle w:val="Table4"/>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620"/>
        <w:gridCol w:w="1410"/>
        <w:gridCol w:w="885"/>
        <w:gridCol w:w="870"/>
        <w:gridCol w:w="870"/>
        <w:gridCol w:w="840"/>
        <w:tblGridChange w:id="0">
          <w:tblGrid>
            <w:gridCol w:w="855"/>
            <w:gridCol w:w="1620"/>
            <w:gridCol w:w="1410"/>
            <w:gridCol w:w="885"/>
            <w:gridCol w:w="870"/>
            <w:gridCol w:w="870"/>
            <w:gridCol w:w="840"/>
          </w:tblGrid>
        </w:tblGridChange>
      </w:tblGrid>
      <w:tr>
        <w:trPr>
          <w:trHeight w:val="60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jc w:val="center"/>
              <w:rPr/>
            </w:pPr>
            <w:r w:rsidDel="00000000" w:rsidR="00000000" w:rsidRPr="00000000">
              <w:rPr/>
              <w:drawing>
                <wp:inline distB="114300" distT="114300" distL="114300" distR="114300">
                  <wp:extent cx="4029075" cy="10668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029075" cy="1066800"/>
                          </a:xfrm>
                          <a:prstGeom prst="rect"/>
                          <a:ln/>
                        </pic:spPr>
                      </pic:pic>
                    </a:graphicData>
                  </a:graphic>
                </wp:inline>
              </w:drawing>
            </w:r>
            <w:r w:rsidDel="00000000" w:rsidR="00000000" w:rsidRPr="00000000">
              <w:rPr>
                <w:rtl w:val="0"/>
              </w:rPr>
            </w:r>
          </w:p>
        </w:tc>
      </w:tr>
      <w:tr>
        <w:trPr>
          <w:trHeight w:val="260" w:hRule="atLeast"/>
        </w:trPr>
        <w:tc>
          <w:tcPr>
            <w:vMerge w:val="restart"/>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jc w:val="center"/>
              <w:rPr>
                <w:b w:val="1"/>
                <w:sz w:val="20"/>
                <w:szCs w:val="20"/>
              </w:rPr>
            </w:pPr>
            <w:r w:rsidDel="00000000" w:rsidR="00000000" w:rsidRPr="00000000">
              <w:rPr>
                <w:b w:val="1"/>
                <w:sz w:val="20"/>
                <w:szCs w:val="20"/>
                <w:rtl w:val="0"/>
              </w:rPr>
              <w:t xml:space="preserve">Entry</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jc w:val="center"/>
              <w:rPr>
                <w:b w:val="1"/>
                <w:sz w:val="20"/>
                <w:szCs w:val="20"/>
              </w:rPr>
            </w:pPr>
            <w:r w:rsidDel="00000000" w:rsidR="00000000" w:rsidRPr="00000000">
              <w:rPr>
                <w:b w:val="1"/>
                <w:sz w:val="20"/>
                <w:szCs w:val="20"/>
                <w:rtl w:val="0"/>
              </w:rPr>
              <w:t xml:space="preserve">ID</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jc w:val="center"/>
              <w:rPr>
                <w:b w:val="1"/>
                <w:sz w:val="20"/>
                <w:szCs w:val="20"/>
              </w:rPr>
            </w:pPr>
            <w:r w:rsidDel="00000000" w:rsidR="00000000" w:rsidRPr="00000000">
              <w:rPr>
                <w:b w:val="1"/>
                <w:i w:val="1"/>
                <w:sz w:val="20"/>
                <w:szCs w:val="20"/>
                <w:rtl w:val="0"/>
              </w:rPr>
              <w:t xml:space="preserve">P. falciparum</w:t>
            </w:r>
            <w:r w:rsidDel="00000000" w:rsidR="00000000" w:rsidRPr="00000000">
              <w:rPr>
                <w:b w:val="1"/>
                <w:sz w:val="20"/>
                <w:szCs w:val="20"/>
                <w:rtl w:val="0"/>
              </w:rPr>
              <w:t xml:space="preserve">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jc w:val="center"/>
              <w:rPr>
                <w:b w:val="1"/>
                <w:sz w:val="20"/>
                <w:szCs w:val="20"/>
              </w:rPr>
            </w:pPr>
            <w:r w:rsidDel="00000000" w:rsidR="00000000" w:rsidRPr="00000000">
              <w:rPr>
                <w:b w:val="1"/>
                <w:sz w:val="20"/>
                <w:szCs w:val="20"/>
                <w:rtl w:val="0"/>
              </w:rPr>
              <w:t xml:space="preserve">Cl</w:t>
            </w:r>
            <w:r w:rsidDel="00000000" w:rsidR="00000000" w:rsidRPr="00000000">
              <w:rPr>
                <w:b w:val="1"/>
                <w:sz w:val="20"/>
                <w:szCs w:val="20"/>
                <w:vertAlign w:val="subscript"/>
                <w:rtl w:val="0"/>
              </w:rPr>
              <w:t xml:space="preserve">int</w:t>
            </w:r>
            <w:r w:rsidDel="00000000" w:rsidR="00000000" w:rsidRPr="00000000">
              <w:rPr>
                <w:b w:val="1"/>
                <w:sz w:val="20"/>
                <w:szCs w:val="20"/>
                <w:rtl w:val="0"/>
              </w:rPr>
              <w:t xml:space="preserve"> (μL/min/mg)</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vertAlign w:val="subscript"/>
                <w:rtl w:val="0"/>
              </w:rPr>
              <w:t xml:space="preserve">1/2</w:t>
            </w:r>
            <w:r w:rsidDel="00000000" w:rsidR="00000000" w:rsidRPr="00000000">
              <w:rPr>
                <w:b w:val="1"/>
                <w:sz w:val="20"/>
                <w:szCs w:val="20"/>
                <w:rtl w:val="0"/>
              </w:rPr>
              <w:t xml:space="preserve"> (min)</w:t>
            </w:r>
          </w:p>
        </w:tc>
      </w:tr>
      <w:tr>
        <w:trPr>
          <w:trHeight w:val="1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jc w:val="center"/>
              <w:rPr>
                <w:b w:val="1"/>
                <w:sz w:val="20"/>
                <w:szCs w:val="20"/>
              </w:rPr>
            </w:pPr>
            <w:r w:rsidDel="00000000" w:rsidR="00000000" w:rsidRPr="00000000">
              <w:rPr>
                <w:b w:val="1"/>
                <w:sz w:val="20"/>
                <w:szCs w:val="20"/>
                <w:rtl w:val="0"/>
              </w:rPr>
              <w:t xml:space="preserve">RLM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jc w:val="center"/>
              <w:rPr>
                <w:b w:val="1"/>
                <w:sz w:val="20"/>
                <w:szCs w:val="20"/>
              </w:rPr>
            </w:pPr>
            <w:r w:rsidDel="00000000" w:rsidR="00000000" w:rsidRPr="00000000">
              <w:rPr>
                <w:b w:val="1"/>
                <w:sz w:val="20"/>
                <w:szCs w:val="20"/>
                <w:rtl w:val="0"/>
              </w:rPr>
              <w:t xml:space="preserve">RLM</w:t>
            </w:r>
          </w:p>
        </w:tc>
      </w:tr>
      <w:tr>
        <w:trPr>
          <w:trHeight w:val="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jc w:val="center"/>
              <w:rPr>
                <w:sz w:val="20"/>
                <w:szCs w:val="20"/>
              </w:rPr>
            </w:pPr>
            <w:r w:rsidDel="00000000" w:rsidR="00000000" w:rsidRPr="00000000">
              <w:rPr>
                <w:sz w:val="20"/>
                <w:szCs w:val="20"/>
                <w:rtl w:val="0"/>
              </w:rPr>
              <w:t xml:space="preserve">MMV639565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jc w:val="center"/>
              <w:rPr>
                <w:sz w:val="20"/>
                <w:szCs w:val="20"/>
              </w:rPr>
            </w:pPr>
            <w:r w:rsidDel="00000000" w:rsidR="00000000" w:rsidRPr="00000000">
              <w:rPr>
                <w:sz w:val="20"/>
                <w:szCs w:val="20"/>
                <w:rtl w:val="0"/>
              </w:rPr>
              <w:t xml:space="preserve">0.038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jc w:val="center"/>
              <w:rPr>
                <w:sz w:val="20"/>
                <w:szCs w:val="20"/>
              </w:rPr>
            </w:pPr>
            <w:r w:rsidDel="00000000" w:rsidR="00000000" w:rsidRPr="00000000">
              <w:rPr>
                <w:sz w:val="20"/>
                <w:szCs w:val="20"/>
                <w:rtl w:val="0"/>
              </w:rPr>
              <w:t xml:space="preserve">70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jc w:val="center"/>
              <w:rPr>
                <w:i w:val="1"/>
                <w:sz w:val="20"/>
                <w:szCs w:val="20"/>
              </w:rPr>
            </w:pPr>
            <w:r w:rsidDel="00000000" w:rsidR="00000000" w:rsidRPr="00000000">
              <w:rPr>
                <w:i w:val="1"/>
                <w:sz w:val="20"/>
                <w:szCs w:val="20"/>
                <w:rtl w:val="0"/>
              </w:rPr>
              <w:t xml:space="preserve">nd</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jc w:val="center"/>
              <w:rPr>
                <w:sz w:val="20"/>
                <w:szCs w:val="20"/>
              </w:rPr>
            </w:pPr>
            <w:r w:rsidDel="00000000" w:rsidR="00000000" w:rsidRPr="00000000">
              <w:rPr>
                <w:sz w:val="20"/>
                <w:szCs w:val="20"/>
                <w:rtl w:val="0"/>
              </w:rPr>
              <w:t xml:space="preserve">MMV669846</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jc w:val="center"/>
              <w:rPr>
                <w:sz w:val="20"/>
                <w:szCs w:val="20"/>
              </w:rPr>
            </w:pPr>
            <w:r w:rsidDel="00000000" w:rsidR="00000000" w:rsidRPr="00000000">
              <w:rPr>
                <w:sz w:val="20"/>
                <w:szCs w:val="20"/>
                <w:rtl w:val="0"/>
              </w:rPr>
              <w:t xml:space="preserve">0.110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jc w:val="center"/>
              <w:rPr>
                <w:i w:val="1"/>
                <w:sz w:val="20"/>
                <w:szCs w:val="20"/>
              </w:rPr>
            </w:pPr>
            <w:r w:rsidDel="00000000" w:rsidR="00000000" w:rsidRPr="00000000">
              <w:rPr>
                <w:i w:val="1"/>
                <w:sz w:val="20"/>
                <w:szCs w:val="20"/>
                <w:rtl w:val="0"/>
              </w:rPr>
              <w:t xml:space="preserve">nd</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jc w:val="center"/>
              <w:rPr>
                <w:sz w:val="20"/>
                <w:szCs w:val="20"/>
              </w:rPr>
            </w:pPr>
            <w:r w:rsidDel="00000000" w:rsidR="00000000" w:rsidRPr="00000000">
              <w:rPr>
                <w:sz w:val="20"/>
                <w:szCs w:val="20"/>
                <w:rtl w:val="0"/>
              </w:rPr>
              <w:t xml:space="preserve">MMV670250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sz w:val="20"/>
                <w:szCs w:val="20"/>
              </w:rPr>
            </w:pPr>
            <w:r w:rsidDel="00000000" w:rsidR="00000000" w:rsidRPr="00000000">
              <w:rPr>
                <w:sz w:val="20"/>
                <w:szCs w:val="20"/>
                <w:rtl w:val="0"/>
              </w:rPr>
              <w:t xml:space="preserve">0.830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jc w:val="center"/>
              <w:rPr>
                <w:sz w:val="20"/>
                <w:szCs w:val="20"/>
              </w:rPr>
            </w:pPr>
            <w:r w:rsidDel="00000000" w:rsidR="00000000" w:rsidRPr="00000000">
              <w:rPr>
                <w:sz w:val="20"/>
                <w:szCs w:val="20"/>
                <w:rtl w:val="0"/>
              </w:rPr>
              <w:t xml:space="preserve">200</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center"/>
              <w:rPr>
                <w:sz w:val="20"/>
                <w:szCs w:val="20"/>
              </w:rPr>
            </w:pPr>
            <w:r w:rsidDel="00000000" w:rsidR="00000000" w:rsidRPr="00000000">
              <w:rPr>
                <w:sz w:val="20"/>
                <w:szCs w:val="20"/>
                <w:rtl w:val="0"/>
              </w:rPr>
              <w:t xml:space="preserve">4.3</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jc w:val="center"/>
              <w:rPr>
                <w:sz w:val="20"/>
                <w:szCs w:val="20"/>
              </w:rPr>
            </w:pPr>
            <w:r w:rsidDel="00000000" w:rsidR="00000000" w:rsidRPr="00000000">
              <w:rPr>
                <w:sz w:val="20"/>
                <w:szCs w:val="20"/>
                <w:rtl w:val="0"/>
              </w:rPr>
              <w:t xml:space="preserve">&gt;500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sz w:val="20"/>
                <w:szCs w:val="20"/>
              </w:rPr>
            </w:pPr>
            <w:r w:rsidDel="00000000" w:rsidR="00000000" w:rsidRPr="00000000">
              <w:rPr>
                <w:sz w:val="20"/>
                <w:szCs w:val="20"/>
                <w:rtl w:val="0"/>
              </w:rPr>
              <w:t xml:space="preserve">&lt;3</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jc w:val="center"/>
              <w:rPr>
                <w:sz w:val="20"/>
                <w:szCs w:val="20"/>
              </w:rPr>
            </w:pPr>
            <w:r w:rsidDel="00000000" w:rsidR="00000000" w:rsidRPr="00000000">
              <w:rPr>
                <w:sz w:val="20"/>
                <w:szCs w:val="20"/>
                <w:rtl w:val="0"/>
              </w:rPr>
              <w:t xml:space="preserve">MMV670945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jc w:val="center"/>
              <w:rPr>
                <w:sz w:val="20"/>
                <w:szCs w:val="20"/>
              </w:rPr>
            </w:pPr>
            <w:r w:rsidDel="00000000" w:rsidR="00000000" w:rsidRPr="00000000">
              <w:rPr>
                <w:sz w:val="20"/>
                <w:szCs w:val="20"/>
                <w:rtl w:val="0"/>
              </w:rPr>
              <w:t xml:space="preserve">0.034</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jc w:val="center"/>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jc w:val="center"/>
              <w:rPr>
                <w:i w:val="1"/>
                <w:sz w:val="20"/>
                <w:szCs w:val="20"/>
              </w:rPr>
            </w:pPr>
            <w:r w:rsidDel="00000000" w:rsidR="00000000" w:rsidRPr="00000000">
              <w:rPr>
                <w:i w:val="1"/>
                <w:sz w:val="20"/>
                <w:szCs w:val="20"/>
                <w:rtl w:val="0"/>
              </w:rPr>
              <w:t xml:space="preserve">nd</w:t>
            </w:r>
          </w:p>
        </w:tc>
      </w:tr>
    </w:tbl>
    <w:p w:rsidR="00000000" w:rsidDel="00000000" w:rsidP="00000000" w:rsidRDefault="00000000" w:rsidRPr="00000000" w14:paraId="000001BD">
      <w:pPr>
        <w:spacing w:after="240" w:before="240" w:lineRule="auto"/>
        <w:rPr>
          <w:sz w:val="20"/>
          <w:szCs w:val="20"/>
        </w:rPr>
      </w:pPr>
      <w:r w:rsidDel="00000000" w:rsidR="00000000" w:rsidRPr="00000000">
        <w:rPr>
          <w:b w:val="1"/>
          <w:sz w:val="20"/>
          <w:szCs w:val="20"/>
          <w:rtl w:val="0"/>
        </w:rPr>
        <w:t xml:space="preserve">Table X.</w:t>
      </w:r>
      <w:r w:rsidDel="00000000" w:rsidR="00000000" w:rsidRPr="00000000">
        <w:rPr>
          <w:sz w:val="20"/>
          <w:szCs w:val="20"/>
          <w:rtl w:val="0"/>
        </w:rPr>
        <w:t xml:space="preserve"> Clearance of core replacement analogs. Data inherited from MMV. </w:t>
      </w:r>
      <w:r w:rsidDel="00000000" w:rsidR="00000000" w:rsidRPr="00000000">
        <w:rPr>
          <w:i w:val="1"/>
          <w:sz w:val="20"/>
          <w:szCs w:val="20"/>
          <w:rtl w:val="0"/>
        </w:rPr>
        <w:t xml:space="preserve">nd</w:t>
      </w:r>
      <w:r w:rsidDel="00000000" w:rsidR="00000000" w:rsidRPr="00000000">
        <w:rPr>
          <w:sz w:val="20"/>
          <w:szCs w:val="20"/>
          <w:rtl w:val="0"/>
        </w:rPr>
        <w:t xml:space="preserve"> = no data.</w:t>
      </w:r>
    </w:p>
    <w:p w:rsidR="00000000" w:rsidDel="00000000" w:rsidP="00000000" w:rsidRDefault="00000000" w:rsidRPr="00000000" w14:paraId="000001BE">
      <w:pPr>
        <w:spacing w:after="240" w:before="240" w:lineRule="auto"/>
        <w:jc w:val="both"/>
        <w:rPr/>
      </w:pPr>
      <w:r w:rsidDel="00000000" w:rsidR="00000000" w:rsidRPr="00000000">
        <w:rPr>
          <w:rtl w:val="0"/>
        </w:rPr>
        <w:t xml:space="preserve">A variety of amides were also assessed for metabolic stability and solubility (</w:t>
      </w:r>
      <w:r w:rsidDel="00000000" w:rsidR="00000000" w:rsidRPr="00000000">
        <w:rPr>
          <w:b w:val="1"/>
          <w:rtl w:val="0"/>
        </w:rPr>
        <w:t xml:space="preserve">Table X</w:t>
      </w:r>
      <w:r w:rsidDel="00000000" w:rsidR="00000000" w:rsidRPr="00000000">
        <w:rPr>
          <w:rtl w:val="0"/>
        </w:rPr>
        <w:t xml:space="preserve">). In general, these compounds showed fair to poor clearance rates in human and rat or mouse liver microsomes. Some of the most stable compounds were the difluoroinated analog </w:t>
      </w:r>
      <w:r w:rsidDel="00000000" w:rsidR="00000000" w:rsidRPr="00000000">
        <w:rPr>
          <w:b w:val="1"/>
          <w:rtl w:val="0"/>
        </w:rPr>
        <w:t xml:space="preserve">2</w:t>
      </w:r>
      <w:r w:rsidDel="00000000" w:rsidR="00000000" w:rsidRPr="00000000">
        <w:rPr>
          <w:rtl w:val="0"/>
        </w:rPr>
        <w:t xml:space="preserve">, and the </w:t>
      </w:r>
      <w:r w:rsidDel="00000000" w:rsidR="00000000" w:rsidRPr="00000000">
        <w:rPr>
          <w:i w:val="1"/>
          <w:rtl w:val="0"/>
        </w:rPr>
        <w:t xml:space="preserve">para</w:t>
      </w:r>
      <w:r w:rsidDel="00000000" w:rsidR="00000000" w:rsidRPr="00000000">
        <w:rPr>
          <w:rtl w:val="0"/>
        </w:rPr>
        <w:t xml:space="preserve">-chloro analog </w:t>
      </w:r>
      <w:r w:rsidDel="00000000" w:rsidR="00000000" w:rsidRPr="00000000">
        <w:rPr>
          <w:b w:val="1"/>
          <w:rtl w:val="0"/>
        </w:rPr>
        <w:t xml:space="preserve">7</w:t>
      </w:r>
      <w:r w:rsidDel="00000000" w:rsidR="00000000" w:rsidRPr="00000000">
        <w:rPr>
          <w:rtl w:val="0"/>
        </w:rPr>
        <w:t xml:space="preserve">. Insertion of an amide linker was in some cases also beneficial to solubility while maintaining potency; for example, compounds </w:t>
      </w:r>
      <w:r w:rsidDel="00000000" w:rsidR="00000000" w:rsidRPr="00000000">
        <w:rPr>
          <w:b w:val="1"/>
          <w:rtl w:val="0"/>
        </w:rPr>
        <w:t xml:space="preserve">1</w:t>
      </w:r>
      <w:r w:rsidDel="00000000" w:rsidR="00000000" w:rsidRPr="00000000">
        <w:rPr>
          <w:rtl w:val="0"/>
        </w:rPr>
        <w:t xml:space="preserve"> and </w:t>
      </w:r>
      <w:r w:rsidDel="00000000" w:rsidR="00000000" w:rsidRPr="00000000">
        <w:rPr>
          <w:b w:val="1"/>
          <w:rtl w:val="0"/>
        </w:rPr>
        <w:t xml:space="preserve">6</w:t>
      </w:r>
      <w:r w:rsidDel="00000000" w:rsidR="00000000" w:rsidRPr="00000000">
        <w:rPr>
          <w:rtl w:val="0"/>
        </w:rPr>
        <w:t xml:space="preserve"> had solubility &gt;50 μM while showing activity at &lt;1 μM concentrations.</w:t>
      </w:r>
    </w:p>
    <w:tbl>
      <w:tblPr>
        <w:tblStyle w:val="Table5"/>
        <w:tblW w:w="85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665"/>
        <w:gridCol w:w="1350"/>
        <w:gridCol w:w="825"/>
        <w:gridCol w:w="885"/>
        <w:gridCol w:w="825"/>
        <w:gridCol w:w="885"/>
        <w:gridCol w:w="1260"/>
        <w:tblGridChange w:id="0">
          <w:tblGrid>
            <w:gridCol w:w="840"/>
            <w:gridCol w:w="1665"/>
            <w:gridCol w:w="1350"/>
            <w:gridCol w:w="825"/>
            <w:gridCol w:w="885"/>
            <w:gridCol w:w="825"/>
            <w:gridCol w:w="885"/>
            <w:gridCol w:w="1260"/>
          </w:tblGrid>
        </w:tblGridChange>
      </w:tblGrid>
      <w:tr>
        <w:trPr>
          <w:trHeight w:val="440" w:hRule="atLeast"/>
        </w:trPr>
        <w:tc>
          <w:tcPr>
            <w:gridSpan w:val="8"/>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sz w:val="20"/>
                <w:szCs w:val="20"/>
              </w:rPr>
            </w:pPr>
            <w:r w:rsidDel="00000000" w:rsidR="00000000" w:rsidRPr="00000000">
              <w:rPr>
                <w:sz w:val="20"/>
                <w:szCs w:val="20"/>
              </w:rPr>
              <w:drawing>
                <wp:inline distB="114300" distT="114300" distL="114300" distR="114300">
                  <wp:extent cx="4533900" cy="1619250"/>
                  <wp:effectExtent b="0" l="0" r="0" t="0"/>
                  <wp:docPr id="10"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533900" cy="1619250"/>
                          </a:xfrm>
                          <a:prstGeom prst="rect"/>
                          <a:ln/>
                        </pic:spPr>
                      </pic:pic>
                    </a:graphicData>
                  </a:graphic>
                </wp:inline>
              </w:drawing>
            </w:r>
            <w:r w:rsidDel="00000000" w:rsidR="00000000" w:rsidRPr="00000000">
              <w:rPr>
                <w:rtl w:val="0"/>
              </w:rPr>
            </w:r>
          </w:p>
        </w:tc>
      </w:tr>
      <w:tr>
        <w:trPr>
          <w:trHeight w:val="80" w:hRule="atLeast"/>
        </w:trPr>
        <w:tc>
          <w:tcPr>
            <w:vMerge w:val="restart"/>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jc w:val="center"/>
              <w:rPr>
                <w:b w:val="1"/>
                <w:sz w:val="20"/>
                <w:szCs w:val="20"/>
              </w:rPr>
            </w:pPr>
            <w:r w:rsidDel="00000000" w:rsidR="00000000" w:rsidRPr="00000000">
              <w:rPr>
                <w:b w:val="1"/>
                <w:sz w:val="20"/>
                <w:szCs w:val="20"/>
                <w:rtl w:val="0"/>
              </w:rPr>
              <w:t xml:space="preserve">Entry</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jc w:val="center"/>
              <w:rPr>
                <w:b w:val="1"/>
                <w:sz w:val="20"/>
                <w:szCs w:val="20"/>
              </w:rPr>
            </w:pPr>
            <w:r w:rsidDel="00000000" w:rsidR="00000000" w:rsidRPr="00000000">
              <w:rPr>
                <w:b w:val="1"/>
                <w:sz w:val="20"/>
                <w:szCs w:val="20"/>
                <w:rtl w:val="0"/>
              </w:rPr>
              <w:t xml:space="preserve">ID</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jc w:val="center"/>
              <w:rPr>
                <w:b w:val="1"/>
                <w:sz w:val="20"/>
                <w:szCs w:val="20"/>
              </w:rPr>
            </w:pPr>
            <w:r w:rsidDel="00000000" w:rsidR="00000000" w:rsidRPr="00000000">
              <w:rPr>
                <w:b w:val="1"/>
                <w:i w:val="1"/>
                <w:sz w:val="20"/>
                <w:szCs w:val="20"/>
                <w:rtl w:val="0"/>
              </w:rPr>
              <w:t xml:space="preserve">P. falciparum</w:t>
            </w:r>
            <w:r w:rsidDel="00000000" w:rsidR="00000000" w:rsidRPr="00000000">
              <w:rPr>
                <w:b w:val="1"/>
                <w:sz w:val="20"/>
                <w:szCs w:val="20"/>
                <w:rtl w:val="0"/>
              </w:rPr>
              <w:t xml:space="preserve">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jc w:val="center"/>
              <w:rPr>
                <w:b w:val="1"/>
                <w:sz w:val="20"/>
                <w:szCs w:val="20"/>
              </w:rPr>
            </w:pPr>
            <w:r w:rsidDel="00000000" w:rsidR="00000000" w:rsidRPr="00000000">
              <w:rPr>
                <w:b w:val="1"/>
                <w:sz w:val="20"/>
                <w:szCs w:val="20"/>
                <w:rtl w:val="0"/>
              </w:rPr>
              <w:t xml:space="preserve">Cl</w:t>
            </w:r>
            <w:r w:rsidDel="00000000" w:rsidR="00000000" w:rsidRPr="00000000">
              <w:rPr>
                <w:b w:val="1"/>
                <w:sz w:val="20"/>
                <w:szCs w:val="20"/>
                <w:vertAlign w:val="subscript"/>
                <w:rtl w:val="0"/>
              </w:rPr>
              <w:t xml:space="preserve">int</w:t>
            </w:r>
            <w:r w:rsidDel="00000000" w:rsidR="00000000" w:rsidRPr="00000000">
              <w:rPr>
                <w:b w:val="1"/>
                <w:sz w:val="20"/>
                <w:szCs w:val="20"/>
                <w:rtl w:val="0"/>
              </w:rPr>
              <w:t xml:space="preserve"> (μL/min/mg)</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vertAlign w:val="subscript"/>
                <w:rtl w:val="0"/>
              </w:rPr>
              <w:t xml:space="preserve">1/2</w:t>
            </w:r>
            <w:r w:rsidDel="00000000" w:rsidR="00000000" w:rsidRPr="00000000">
              <w:rPr>
                <w:b w:val="1"/>
                <w:sz w:val="20"/>
                <w:szCs w:val="20"/>
                <w:rtl w:val="0"/>
              </w:rPr>
              <w:t xml:space="preserve"> (min)</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jc w:val="center"/>
              <w:rPr>
                <w:b w:val="1"/>
                <w:sz w:val="20"/>
                <w:szCs w:val="20"/>
              </w:rPr>
            </w:pPr>
            <w:r w:rsidDel="00000000" w:rsidR="00000000" w:rsidRPr="00000000">
              <w:rPr>
                <w:b w:val="1"/>
                <w:sz w:val="20"/>
                <w:szCs w:val="20"/>
                <w:rtl w:val="0"/>
              </w:rPr>
              <w:t xml:space="preserve">Solubility</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jc w:val="center"/>
              <w:rPr>
                <w:b w:val="1"/>
                <w:sz w:val="20"/>
                <w:szCs w:val="20"/>
              </w:rPr>
            </w:pPr>
            <w:r w:rsidDel="00000000" w:rsidR="00000000" w:rsidRPr="00000000">
              <w:rPr>
                <w:b w:val="1"/>
                <w:sz w:val="20"/>
                <w:szCs w:val="20"/>
                <w:rtl w:val="0"/>
              </w:rPr>
              <w:t xml:space="preserve">RLM/</w:t>
            </w:r>
          </w:p>
          <w:p w:rsidR="00000000" w:rsidDel="00000000" w:rsidP="00000000" w:rsidRDefault="00000000" w:rsidRPr="00000000" w14:paraId="000001D4">
            <w:pPr>
              <w:spacing w:line="240" w:lineRule="auto"/>
              <w:jc w:val="center"/>
              <w:rPr>
                <w:b w:val="1"/>
                <w:sz w:val="20"/>
                <w:szCs w:val="20"/>
              </w:rPr>
            </w:pPr>
            <w:r w:rsidDel="00000000" w:rsidR="00000000" w:rsidRPr="00000000">
              <w:rPr>
                <w:b w:val="1"/>
                <w:sz w:val="20"/>
                <w:szCs w:val="20"/>
                <w:rtl w:val="0"/>
              </w:rPr>
              <w:t xml:space="preserve">MLM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jc w:val="center"/>
              <w:rPr>
                <w:b w:val="1"/>
                <w:sz w:val="20"/>
                <w:szCs w:val="20"/>
              </w:rPr>
            </w:pPr>
            <w:r w:rsidDel="00000000" w:rsidR="00000000" w:rsidRPr="00000000">
              <w:rPr>
                <w:b w:val="1"/>
                <w:sz w:val="20"/>
                <w:szCs w:val="20"/>
                <w:rtl w:val="0"/>
              </w:rPr>
              <w:t xml:space="preserve">RLM/</w:t>
            </w:r>
          </w:p>
          <w:p w:rsidR="00000000" w:rsidDel="00000000" w:rsidP="00000000" w:rsidRDefault="00000000" w:rsidRPr="00000000" w14:paraId="000001D7">
            <w:pPr>
              <w:spacing w:line="240" w:lineRule="auto"/>
              <w:jc w:val="center"/>
              <w:rPr>
                <w:b w:val="1"/>
                <w:sz w:val="20"/>
                <w:szCs w:val="20"/>
              </w:rPr>
            </w:pPr>
            <w:r w:rsidDel="00000000" w:rsidR="00000000" w:rsidRPr="00000000">
              <w:rPr>
                <w:b w:val="1"/>
                <w:sz w:val="20"/>
                <w:szCs w:val="20"/>
                <w:rtl w:val="0"/>
              </w:rPr>
              <w:t xml:space="preserve">MLM</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jc w:val="center"/>
              <w:rPr>
                <w:sz w:val="20"/>
                <w:szCs w:val="20"/>
                <w:vertAlign w:val="superscript"/>
              </w:rPr>
            </w:pPr>
            <w:r w:rsidDel="00000000" w:rsidR="00000000" w:rsidRPr="00000000">
              <w:rPr>
                <w:sz w:val="20"/>
                <w:szCs w:val="20"/>
                <w:rtl w:val="0"/>
              </w:rPr>
              <w:t xml:space="preserve">MMV668958</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jc w:val="center"/>
              <w:rPr>
                <w:sz w:val="20"/>
                <w:szCs w:val="20"/>
              </w:rPr>
            </w:pPr>
            <w:r w:rsidDel="00000000" w:rsidR="00000000" w:rsidRPr="00000000">
              <w:rPr>
                <w:sz w:val="20"/>
                <w:szCs w:val="20"/>
                <w:rtl w:val="0"/>
              </w:rPr>
              <w:t xml:space="preserve">0.250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jc w:val="center"/>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jc w:val="center"/>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jc w:val="center"/>
              <w:rPr>
                <w:sz w:val="20"/>
                <w:szCs w:val="20"/>
              </w:rPr>
            </w:pPr>
            <w:r w:rsidDel="00000000" w:rsidR="00000000" w:rsidRPr="00000000">
              <w:rPr>
                <w:sz w:val="20"/>
                <w:szCs w:val="20"/>
                <w:rtl w:val="0"/>
              </w:rPr>
              <w:t xml:space="preserve">54</w:t>
            </w:r>
          </w:p>
        </w:tc>
      </w:tr>
      <w:tr>
        <w:trPr>
          <w:trHeight w:val="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jc w:val="center"/>
              <w:rPr>
                <w:sz w:val="20"/>
                <w:szCs w:val="20"/>
                <w:vertAlign w:val="superscript"/>
              </w:rPr>
            </w:pPr>
            <w:r w:rsidDel="00000000" w:rsidR="00000000" w:rsidRPr="00000000">
              <w:rPr>
                <w:sz w:val="20"/>
                <w:szCs w:val="20"/>
                <w:rtl w:val="0"/>
              </w:rPr>
              <w:t xml:space="preserve">MMV669543</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jc w:val="center"/>
              <w:rPr>
                <w:sz w:val="20"/>
                <w:szCs w:val="20"/>
              </w:rPr>
            </w:pPr>
            <w:r w:rsidDel="00000000" w:rsidR="00000000" w:rsidRPr="00000000">
              <w:rPr>
                <w:sz w:val="20"/>
                <w:szCs w:val="20"/>
                <w:rtl w:val="0"/>
              </w:rPr>
              <w:t xml:space="preserve">0.276</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jc w:val="center"/>
              <w:rPr>
                <w:sz w:val="20"/>
                <w:szCs w:val="20"/>
              </w:rPr>
            </w:pPr>
            <w:r w:rsidDel="00000000" w:rsidR="00000000" w:rsidRPr="00000000">
              <w:rPr>
                <w:sz w:val="20"/>
                <w:szCs w:val="20"/>
                <w:rtl w:val="0"/>
              </w:rPr>
              <w:t xml:space="preserve">&lt;14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jc w:val="center"/>
              <w:rPr>
                <w:sz w:val="20"/>
                <w:szCs w:val="20"/>
              </w:rPr>
            </w:pPr>
            <w:r w:rsidDel="00000000" w:rsidR="00000000" w:rsidRPr="00000000">
              <w:rPr>
                <w:sz w:val="20"/>
                <w:szCs w:val="20"/>
                <w:rtl w:val="0"/>
              </w:rPr>
              <w:t xml:space="preserve">86</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jc w:val="center"/>
              <w:rPr>
                <w:sz w:val="20"/>
                <w:szCs w:val="20"/>
              </w:rPr>
            </w:pPr>
            <w:r w:rsidDel="00000000" w:rsidR="00000000" w:rsidRPr="00000000">
              <w:rPr>
                <w:sz w:val="20"/>
                <w:szCs w:val="20"/>
                <w:rtl w:val="0"/>
              </w:rPr>
              <w:t xml:space="preserve">&gt;120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jc w:val="center"/>
              <w:rPr>
                <w:i w:val="1"/>
                <w:sz w:val="20"/>
                <w:szCs w:val="20"/>
              </w:rPr>
            </w:pPr>
            <w:r w:rsidDel="00000000" w:rsidR="00000000" w:rsidRPr="00000000">
              <w:rPr>
                <w:i w:val="1"/>
                <w:sz w:val="20"/>
                <w:szCs w:val="20"/>
                <w:rtl w:val="0"/>
              </w:rPr>
              <w:t xml:space="preserve">nd</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jc w:val="center"/>
              <w:rPr>
                <w:sz w:val="20"/>
                <w:szCs w:val="20"/>
                <w:vertAlign w:val="superscript"/>
              </w:rPr>
            </w:pPr>
            <w:r w:rsidDel="00000000" w:rsidR="00000000" w:rsidRPr="00000000">
              <w:rPr>
                <w:sz w:val="20"/>
                <w:szCs w:val="20"/>
                <w:rtl w:val="0"/>
              </w:rPr>
              <w:t xml:space="preserve">MMV669542</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jc w:val="center"/>
              <w:rPr>
                <w:sz w:val="20"/>
                <w:szCs w:val="20"/>
              </w:rPr>
            </w:pPr>
            <w:r w:rsidDel="00000000" w:rsidR="00000000" w:rsidRPr="00000000">
              <w:rPr>
                <w:sz w:val="20"/>
                <w:szCs w:val="20"/>
                <w:rtl w:val="0"/>
              </w:rPr>
              <w:t xml:space="preserve">0.180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jc w:val="center"/>
              <w:rPr>
                <w:sz w:val="20"/>
                <w:szCs w:val="20"/>
              </w:rPr>
            </w:pPr>
            <w:r w:rsidDel="00000000" w:rsidR="00000000" w:rsidRPr="00000000">
              <w:rPr>
                <w:sz w:val="20"/>
                <w:szCs w:val="20"/>
                <w:rtl w:val="0"/>
              </w:rPr>
              <w:t xml:space="preserve">72</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jc w:val="center"/>
              <w:rPr>
                <w:sz w:val="20"/>
                <w:szCs w:val="20"/>
              </w:rPr>
            </w:pPr>
            <w:r w:rsidDel="00000000" w:rsidR="00000000" w:rsidRPr="00000000">
              <w:rPr>
                <w:sz w:val="20"/>
                <w:szCs w:val="20"/>
                <w:rtl w:val="0"/>
              </w:rPr>
              <w:t xml:space="preserve">290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jc w:val="center"/>
              <w:rPr>
                <w:sz w:val="20"/>
                <w:szCs w:val="20"/>
              </w:rPr>
            </w:pPr>
            <w:r w:rsidDel="00000000" w:rsidR="00000000" w:rsidRPr="00000000">
              <w:rPr>
                <w:sz w:val="20"/>
                <w:szCs w:val="20"/>
                <w:rtl w:val="0"/>
              </w:rPr>
              <w:t xml:space="preserve">13.6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EF">
            <w:pPr>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jc w:val="center"/>
              <w:rPr>
                <w:sz w:val="20"/>
                <w:szCs w:val="20"/>
              </w:rPr>
            </w:pPr>
            <w:r w:rsidDel="00000000" w:rsidR="00000000" w:rsidRPr="00000000">
              <w:rPr>
                <w:sz w:val="20"/>
                <w:szCs w:val="20"/>
                <w:rtl w:val="0"/>
              </w:rPr>
              <w:t xml:space="preserve">&lt;2.5 (pH 7.4)</w:t>
            </w:r>
          </w:p>
        </w:tc>
      </w:tr>
      <w:tr>
        <w:trPr>
          <w:trHeight w:val="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jc w:val="center"/>
              <w:rPr>
                <w:sz w:val="20"/>
                <w:szCs w:val="20"/>
                <w:vertAlign w:val="superscript"/>
              </w:rPr>
            </w:pPr>
            <w:r w:rsidDel="00000000" w:rsidR="00000000" w:rsidRPr="00000000">
              <w:rPr>
                <w:sz w:val="20"/>
                <w:szCs w:val="20"/>
                <w:rtl w:val="0"/>
              </w:rPr>
              <w:t xml:space="preserve">MMV669850</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jc w:val="center"/>
              <w:rPr>
                <w:sz w:val="20"/>
                <w:szCs w:val="20"/>
              </w:rPr>
            </w:pPr>
            <w:r w:rsidDel="00000000" w:rsidR="00000000" w:rsidRPr="00000000">
              <w:rPr>
                <w:sz w:val="20"/>
                <w:szCs w:val="20"/>
                <w:rtl w:val="0"/>
              </w:rPr>
              <w:t xml:space="preserve">0.652</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jc w:val="center"/>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jc w:val="center"/>
              <w:rPr>
                <w:sz w:val="20"/>
                <w:szCs w:val="20"/>
              </w:rPr>
            </w:pPr>
            <w:r w:rsidDel="00000000" w:rsidR="00000000" w:rsidRPr="00000000">
              <w:rPr>
                <w:sz w:val="20"/>
                <w:szCs w:val="20"/>
                <w:rtl w:val="0"/>
              </w:rPr>
              <w:t xml:space="preserve">53</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jc w:val="center"/>
              <w:rPr>
                <w:sz w:val="20"/>
                <w:szCs w:val="20"/>
              </w:rPr>
            </w:pPr>
            <w:r w:rsidDel="00000000" w:rsidR="00000000" w:rsidRPr="00000000">
              <w:rPr>
                <w:sz w:val="20"/>
                <w:szCs w:val="20"/>
                <w:rtl w:val="0"/>
              </w:rPr>
              <w:t xml:space="preserve">16.8</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jc w:val="center"/>
              <w:rPr>
                <w:sz w:val="20"/>
                <w:szCs w:val="20"/>
                <w:vertAlign w:val="superscript"/>
              </w:rPr>
            </w:pPr>
            <w:r w:rsidDel="00000000" w:rsidR="00000000" w:rsidRPr="00000000">
              <w:rPr>
                <w:sz w:val="20"/>
                <w:szCs w:val="20"/>
                <w:rtl w:val="0"/>
              </w:rPr>
              <w:t xml:space="preserve">MMV670767</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jc w:val="center"/>
              <w:rPr>
                <w:sz w:val="20"/>
                <w:szCs w:val="20"/>
              </w:rPr>
            </w:pPr>
            <w:r w:rsidDel="00000000" w:rsidR="00000000" w:rsidRPr="00000000">
              <w:rPr>
                <w:sz w:val="20"/>
                <w:szCs w:val="20"/>
                <w:rtl w:val="0"/>
              </w:rPr>
              <w:t xml:space="preserve">0.191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jc w:val="center"/>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jc w:val="center"/>
              <w:rPr>
                <w:sz w:val="20"/>
                <w:szCs w:val="20"/>
              </w:rPr>
            </w:pPr>
            <w:r w:rsidDel="00000000" w:rsidR="00000000" w:rsidRPr="00000000">
              <w:rPr>
                <w:sz w:val="20"/>
                <w:szCs w:val="20"/>
                <w:rtl w:val="0"/>
              </w:rPr>
              <w:t xml:space="preserve">64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jc w:val="center"/>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jc w:val="center"/>
              <w:rPr>
                <w:i w:val="1"/>
                <w:sz w:val="20"/>
                <w:szCs w:val="20"/>
              </w:rPr>
            </w:pPr>
            <w:r w:rsidDel="00000000" w:rsidR="00000000" w:rsidRPr="00000000">
              <w:rPr>
                <w:i w:val="1"/>
                <w:sz w:val="20"/>
                <w:szCs w:val="20"/>
                <w:rtl w:val="0"/>
              </w:rPr>
              <w:t xml:space="preserve">nd</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jc w:val="center"/>
              <w:rPr>
                <w:sz w:val="20"/>
                <w:szCs w:val="20"/>
                <w:vertAlign w:val="superscript"/>
              </w:rPr>
            </w:pPr>
            <w:r w:rsidDel="00000000" w:rsidR="00000000" w:rsidRPr="00000000">
              <w:rPr>
                <w:sz w:val="20"/>
                <w:szCs w:val="20"/>
                <w:rtl w:val="0"/>
              </w:rPr>
              <w:t xml:space="preserve">MMV670944</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jc w:val="center"/>
              <w:rPr>
                <w:sz w:val="20"/>
                <w:szCs w:val="20"/>
              </w:rPr>
            </w:pPr>
            <w:r w:rsidDel="00000000" w:rsidR="00000000" w:rsidRPr="00000000">
              <w:rPr>
                <w:sz w:val="20"/>
                <w:szCs w:val="20"/>
                <w:rtl w:val="0"/>
              </w:rPr>
              <w:t xml:space="preserve">0.140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jc w:val="center"/>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jc w:val="center"/>
              <w:rPr>
                <w:sz w:val="20"/>
                <w:szCs w:val="20"/>
              </w:rPr>
            </w:pPr>
            <w:r w:rsidDel="00000000" w:rsidR="00000000" w:rsidRPr="00000000">
              <w:rPr>
                <w:sz w:val="20"/>
                <w:szCs w:val="20"/>
                <w:rtl w:val="0"/>
              </w:rPr>
              <w:t xml:space="preserve">52</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jc w:val="center"/>
              <w:rPr>
                <w:sz w:val="20"/>
                <w:szCs w:val="20"/>
              </w:rPr>
            </w:pPr>
            <w:r w:rsidDel="00000000" w:rsidR="00000000" w:rsidRPr="00000000">
              <w:rPr>
                <w:sz w:val="20"/>
                <w:szCs w:val="20"/>
                <w:rtl w:val="0"/>
              </w:rPr>
              <w:t xml:space="preserve">105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jc w:val="center"/>
              <w:rPr>
                <w:sz w:val="20"/>
                <w:szCs w:val="20"/>
              </w:rPr>
            </w:pPr>
            <w:r w:rsidDel="00000000" w:rsidR="00000000" w:rsidRPr="00000000">
              <w:rPr>
                <w:sz w:val="20"/>
                <w:szCs w:val="20"/>
                <w:rtl w:val="0"/>
              </w:rPr>
              <w:t xml:space="preserve">&gt;200</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jc w:val="center"/>
              <w:rPr>
                <w:sz w:val="20"/>
                <w:szCs w:val="20"/>
                <w:vertAlign w:val="superscript"/>
              </w:rPr>
            </w:pPr>
            <w:r w:rsidDel="00000000" w:rsidR="00000000" w:rsidRPr="00000000">
              <w:rPr>
                <w:sz w:val="20"/>
                <w:szCs w:val="20"/>
                <w:rtl w:val="0"/>
              </w:rPr>
              <w:t xml:space="preserve">MMV670246</w:t>
            </w:r>
            <w:r w:rsidDel="00000000" w:rsidR="00000000" w:rsidRPr="00000000">
              <w:rPr>
                <w:sz w:val="20"/>
                <w:szCs w:val="20"/>
                <w:vertAlign w:val="superscript"/>
                <w:rtl w:val="0"/>
              </w:rPr>
              <w:t xml:space="preserve">b</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jc w:val="center"/>
              <w:rPr>
                <w:sz w:val="20"/>
                <w:szCs w:val="20"/>
              </w:rPr>
            </w:pPr>
            <w:r w:rsidDel="00000000" w:rsidR="00000000" w:rsidRPr="00000000">
              <w:rPr>
                <w:sz w:val="20"/>
                <w:szCs w:val="20"/>
                <w:rtl w:val="0"/>
              </w:rPr>
              <w:t xml:space="preserve">9.79</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jc w:val="center"/>
              <w:rPr>
                <w:sz w:val="20"/>
                <w:szCs w:val="20"/>
              </w:rPr>
            </w:pPr>
            <w:r w:rsidDel="00000000" w:rsidR="00000000" w:rsidRPr="00000000">
              <w:rPr>
                <w:sz w:val="20"/>
                <w:szCs w:val="20"/>
                <w:rtl w:val="0"/>
              </w:rPr>
              <w:t xml:space="preserve">164</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jc w:val="center"/>
              <w:rPr>
                <w:sz w:val="20"/>
                <w:szCs w:val="20"/>
              </w:rPr>
            </w:pPr>
            <w:r w:rsidDel="00000000" w:rsidR="00000000" w:rsidRPr="00000000">
              <w:rPr>
                <w:sz w:val="20"/>
                <w:szCs w:val="20"/>
                <w:rtl w:val="0"/>
              </w:rPr>
              <w:t xml:space="preserve">115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jc w:val="center"/>
              <w:rPr>
                <w:sz w:val="20"/>
                <w:szCs w:val="20"/>
              </w:rPr>
            </w:pPr>
            <w:r w:rsidDel="00000000" w:rsidR="00000000" w:rsidRPr="00000000">
              <w:rPr>
                <w:sz w:val="20"/>
                <w:szCs w:val="20"/>
                <w:rtl w:val="0"/>
              </w:rPr>
              <w:t xml:space="preserve">1.6-3.1</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center"/>
              <w:rPr>
                <w:sz w:val="20"/>
                <w:szCs w:val="20"/>
                <w:vertAlign w:val="superscript"/>
              </w:rPr>
            </w:pPr>
            <w:r w:rsidDel="00000000" w:rsidR="00000000" w:rsidRPr="00000000">
              <w:rPr>
                <w:sz w:val="20"/>
                <w:szCs w:val="20"/>
                <w:rtl w:val="0"/>
              </w:rPr>
              <w:t xml:space="preserve">MMV675718</w:t>
            </w:r>
            <w:r w:rsidDel="00000000" w:rsidR="00000000" w:rsidRPr="00000000">
              <w:rPr>
                <w:sz w:val="20"/>
                <w:szCs w:val="20"/>
                <w:vertAlign w:val="superscript"/>
                <w:rtl w:val="0"/>
              </w:rPr>
              <w:t xml:space="preserve">b</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jc w:val="center"/>
              <w:rPr>
                <w:sz w:val="20"/>
                <w:szCs w:val="20"/>
              </w:rPr>
            </w:pPr>
            <w:r w:rsidDel="00000000" w:rsidR="00000000" w:rsidRPr="00000000">
              <w:rPr>
                <w:sz w:val="20"/>
                <w:szCs w:val="20"/>
                <w:rtl w:val="0"/>
              </w:rPr>
              <w:t xml:space="preserve">4.19</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jc w:val="center"/>
              <w:rPr>
                <w:sz w:val="20"/>
                <w:szCs w:val="20"/>
              </w:rPr>
            </w:pPr>
            <w:r w:rsidDel="00000000" w:rsidR="00000000" w:rsidRPr="00000000">
              <w:rPr>
                <w:sz w:val="20"/>
                <w:szCs w:val="20"/>
                <w:rtl w:val="0"/>
              </w:rPr>
              <w:t xml:space="preserve">114</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jc w:val="center"/>
              <w:rPr>
                <w:sz w:val="20"/>
                <w:szCs w:val="20"/>
              </w:rPr>
            </w:pPr>
            <w:r w:rsidDel="00000000" w:rsidR="00000000" w:rsidRPr="00000000">
              <w:rPr>
                <w:sz w:val="20"/>
                <w:szCs w:val="20"/>
                <w:rtl w:val="0"/>
              </w:rPr>
              <w:t xml:space="preserve">166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jc w:val="center"/>
              <w:rPr>
                <w:sz w:val="20"/>
                <w:szCs w:val="20"/>
              </w:rPr>
            </w:pPr>
            <w:r w:rsidDel="00000000" w:rsidR="00000000" w:rsidRPr="00000000">
              <w:rPr>
                <w:sz w:val="20"/>
                <w:szCs w:val="20"/>
                <w:rtl w:val="0"/>
              </w:rPr>
              <w:t xml:space="preserve">12.5-25</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jc w:val="center"/>
              <w:rPr>
                <w:sz w:val="20"/>
                <w:szCs w:val="20"/>
                <w:vertAlign w:val="superscript"/>
              </w:rPr>
            </w:pPr>
            <w:r w:rsidDel="00000000" w:rsidR="00000000" w:rsidRPr="00000000">
              <w:rPr>
                <w:sz w:val="20"/>
                <w:szCs w:val="20"/>
                <w:rtl w:val="0"/>
              </w:rPr>
              <w:t xml:space="preserve">MMV675946</w:t>
            </w:r>
            <w:r w:rsidDel="00000000" w:rsidR="00000000" w:rsidRPr="00000000">
              <w:rPr>
                <w:sz w:val="20"/>
                <w:szCs w:val="20"/>
                <w:vertAlign w:val="superscript"/>
                <w:rtl w:val="0"/>
              </w:rPr>
              <w:t xml:space="preserve">b</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jc w:val="center"/>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jc w:val="center"/>
              <w:rPr>
                <w:sz w:val="20"/>
                <w:szCs w:val="20"/>
              </w:rPr>
            </w:pPr>
            <w:r w:rsidDel="00000000" w:rsidR="00000000" w:rsidRPr="00000000">
              <w:rPr>
                <w:sz w:val="20"/>
                <w:szCs w:val="20"/>
                <w:rtl w:val="0"/>
              </w:rPr>
              <w:t xml:space="preserve">90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jc w:val="cente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jc w:val="center"/>
              <w:rPr>
                <w:sz w:val="20"/>
                <w:szCs w:val="20"/>
              </w:rPr>
            </w:pPr>
            <w:r w:rsidDel="00000000" w:rsidR="00000000" w:rsidRPr="00000000">
              <w:rPr>
                <w:sz w:val="20"/>
                <w:szCs w:val="20"/>
                <w:rtl w:val="0"/>
              </w:rPr>
              <w:t xml:space="preserve">160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jc w:val="center"/>
              <w:rPr>
                <w:sz w:val="20"/>
                <w:szCs w:val="20"/>
              </w:rPr>
            </w:pPr>
            <w:r w:rsidDel="00000000" w:rsidR="00000000" w:rsidRPr="00000000">
              <w:rPr>
                <w:sz w:val="20"/>
                <w:szCs w:val="20"/>
                <w:rtl w:val="0"/>
              </w:rPr>
              <w:t xml:space="preserve">3.1-6.3</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line="240" w:lineRule="auto"/>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line="240" w:lineRule="auto"/>
              <w:jc w:val="center"/>
              <w:rPr>
                <w:sz w:val="20"/>
                <w:szCs w:val="20"/>
                <w:vertAlign w:val="superscript"/>
              </w:rPr>
            </w:pPr>
            <w:r w:rsidDel="00000000" w:rsidR="00000000" w:rsidRPr="00000000">
              <w:rPr>
                <w:sz w:val="20"/>
                <w:szCs w:val="20"/>
                <w:rtl w:val="0"/>
              </w:rPr>
              <w:t xml:space="preserve">MMV675947</w:t>
            </w:r>
            <w:r w:rsidDel="00000000" w:rsidR="00000000" w:rsidRPr="00000000">
              <w:rPr>
                <w:sz w:val="20"/>
                <w:szCs w:val="20"/>
                <w:vertAlign w:val="superscript"/>
                <w:rtl w:val="0"/>
              </w:rPr>
              <w:t xml:space="preserve">b</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jc w:val="center"/>
              <w:rPr>
                <w:sz w:val="20"/>
                <w:szCs w:val="20"/>
              </w:rPr>
            </w:pPr>
            <w:r w:rsidDel="00000000" w:rsidR="00000000" w:rsidRPr="00000000">
              <w:rPr>
                <w:sz w:val="20"/>
                <w:szCs w:val="20"/>
                <w:rtl w:val="0"/>
              </w:rPr>
              <w:t xml:space="preserve">0.970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jc w:val="center"/>
              <w:rPr>
                <w:sz w:val="20"/>
                <w:szCs w:val="20"/>
              </w:rPr>
            </w:pPr>
            <w:r w:rsidDel="00000000" w:rsidR="00000000" w:rsidRPr="00000000">
              <w:rPr>
                <w:sz w:val="20"/>
                <w:szCs w:val="20"/>
                <w:rtl w:val="0"/>
              </w:rPr>
              <w:t xml:space="preserve">201</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jc w:val="center"/>
              <w:rPr>
                <w:sz w:val="20"/>
                <w:szCs w:val="20"/>
              </w:rPr>
            </w:pPr>
            <w:r w:rsidDel="00000000" w:rsidR="00000000" w:rsidRPr="00000000">
              <w:rPr>
                <w:sz w:val="20"/>
                <w:szCs w:val="20"/>
                <w:rtl w:val="0"/>
              </w:rPr>
              <w:t xml:space="preserve">360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jc w:val="center"/>
              <w:rPr>
                <w:sz w:val="20"/>
                <w:szCs w:val="20"/>
              </w:rPr>
            </w:pPr>
            <w:r w:rsidDel="00000000" w:rsidR="00000000" w:rsidRPr="00000000">
              <w:rPr>
                <w:sz w:val="20"/>
                <w:szCs w:val="20"/>
                <w:rtl w:val="0"/>
              </w:rPr>
              <w:t xml:space="preserve">3.1-6.3</w:t>
            </w:r>
          </w:p>
        </w:tc>
      </w:tr>
    </w:tbl>
    <w:p w:rsidR="00000000" w:rsidDel="00000000" w:rsidP="00000000" w:rsidRDefault="00000000" w:rsidRPr="00000000" w14:paraId="00000229">
      <w:pPr>
        <w:spacing w:after="240" w:before="240" w:lineRule="auto"/>
        <w:rPr>
          <w:sz w:val="20"/>
          <w:szCs w:val="20"/>
        </w:rPr>
      </w:pPr>
      <w:r w:rsidDel="00000000" w:rsidR="00000000" w:rsidRPr="00000000">
        <w:rPr>
          <w:b w:val="1"/>
          <w:sz w:val="20"/>
          <w:szCs w:val="20"/>
          <w:rtl w:val="0"/>
        </w:rPr>
        <w:t xml:space="preserve">Table X.</w:t>
      </w:r>
      <w:r w:rsidDel="00000000" w:rsidR="00000000" w:rsidRPr="00000000">
        <w:rPr>
          <w:sz w:val="20"/>
          <w:szCs w:val="20"/>
          <w:rtl w:val="0"/>
        </w:rPr>
        <w:t xml:space="preserve"> Clearance and solubility data of amide analogs. </w:t>
      </w:r>
      <w:r w:rsidDel="00000000" w:rsidR="00000000" w:rsidRPr="00000000">
        <w:rPr>
          <w:sz w:val="20"/>
          <w:szCs w:val="20"/>
          <w:vertAlign w:val="superscript"/>
          <w:rtl w:val="0"/>
        </w:rPr>
        <w:t xml:space="preserve">a</w:t>
      </w:r>
      <w:r w:rsidDel="00000000" w:rsidR="00000000" w:rsidRPr="00000000">
        <w:rPr>
          <w:sz w:val="20"/>
          <w:szCs w:val="20"/>
          <w:rtl w:val="0"/>
        </w:rPr>
        <w:t xml:space="preserve">Data inherited from MMV: Solubility measured at pH 6.8 in units of </w:t>
      </w:r>
      <w:r w:rsidDel="00000000" w:rsidR="00000000" w:rsidRPr="00000000">
        <w:rPr>
          <w:sz w:val="20"/>
          <w:szCs w:val="20"/>
          <w:highlight w:val="yellow"/>
          <w:rtl w:val="0"/>
        </w:rPr>
        <w:t xml:space="preserve">μM</w:t>
      </w:r>
      <w:r w:rsidDel="00000000" w:rsidR="00000000" w:rsidRPr="00000000">
        <w:rPr>
          <w:sz w:val="20"/>
          <w:szCs w:val="20"/>
          <w:rtl w:val="0"/>
        </w:rPr>
        <w:t xml:space="preserve">; RLM Cl</w:t>
      </w:r>
      <w:r w:rsidDel="00000000" w:rsidR="00000000" w:rsidRPr="00000000">
        <w:rPr>
          <w:sz w:val="20"/>
          <w:szCs w:val="20"/>
          <w:vertAlign w:val="subscript"/>
          <w:rtl w:val="0"/>
        </w:rPr>
        <w:t xml:space="preserve">int</w:t>
      </w:r>
      <w:r w:rsidDel="00000000" w:rsidR="00000000" w:rsidRPr="00000000">
        <w:rPr>
          <w:sz w:val="20"/>
          <w:szCs w:val="20"/>
          <w:rtl w:val="0"/>
        </w:rPr>
        <w:t xml:space="preserve">. </w:t>
      </w:r>
      <w:r w:rsidDel="00000000" w:rsidR="00000000" w:rsidRPr="00000000">
        <w:rPr>
          <w:sz w:val="20"/>
          <w:szCs w:val="20"/>
          <w:vertAlign w:val="superscript"/>
          <w:rtl w:val="0"/>
        </w:rPr>
        <w:t xml:space="preserve">b</w:t>
      </w:r>
      <w:r w:rsidDel="00000000" w:rsidR="00000000" w:rsidRPr="00000000">
        <w:rPr>
          <w:sz w:val="20"/>
          <w:szCs w:val="20"/>
          <w:rtl w:val="0"/>
        </w:rPr>
        <w:t xml:space="preserve">Data obtained from Monash University: Solubility measured at pH 6.5 in units of mg/mL; MLM Cl</w:t>
      </w:r>
      <w:r w:rsidDel="00000000" w:rsidR="00000000" w:rsidRPr="00000000">
        <w:rPr>
          <w:sz w:val="20"/>
          <w:szCs w:val="20"/>
          <w:vertAlign w:val="subscript"/>
          <w:rtl w:val="0"/>
        </w:rPr>
        <w:t xml:space="preserve">int</w:t>
      </w:r>
      <w:r w:rsidDel="00000000" w:rsidR="00000000" w:rsidRPr="00000000">
        <w:rPr>
          <w:sz w:val="20"/>
          <w:szCs w:val="20"/>
          <w:rtl w:val="0"/>
        </w:rPr>
        <w:t xml:space="preserve">.</w:t>
      </w:r>
      <w:r w:rsidDel="00000000" w:rsidR="00000000" w:rsidRPr="00000000">
        <w:rPr>
          <w:i w:val="1"/>
          <w:sz w:val="20"/>
          <w:szCs w:val="20"/>
          <w:rtl w:val="0"/>
        </w:rPr>
        <w:t xml:space="preserve"> nd</w:t>
      </w:r>
      <w:r w:rsidDel="00000000" w:rsidR="00000000" w:rsidRPr="00000000">
        <w:rPr>
          <w:sz w:val="20"/>
          <w:szCs w:val="20"/>
          <w:rtl w:val="0"/>
        </w:rPr>
        <w:t xml:space="preserve"> = no data.</w:t>
      </w:r>
    </w:p>
    <w:p w:rsidR="00000000" w:rsidDel="00000000" w:rsidP="00000000" w:rsidRDefault="00000000" w:rsidRPr="00000000" w14:paraId="0000022A">
      <w:pPr>
        <w:spacing w:after="240" w:before="240" w:lineRule="auto"/>
        <w:jc w:val="both"/>
        <w:rPr/>
      </w:pPr>
      <w:r w:rsidDel="00000000" w:rsidR="00000000" w:rsidRPr="00000000">
        <w:rPr>
          <w:rtl w:val="0"/>
        </w:rPr>
        <w:t xml:space="preserve">Finally, compounds with variation in the linker region of the 5-position substituent were evaluated as well (</w:t>
      </w:r>
      <w:r w:rsidDel="00000000" w:rsidR="00000000" w:rsidRPr="00000000">
        <w:rPr>
          <w:b w:val="1"/>
          <w:rtl w:val="0"/>
        </w:rPr>
        <w:t xml:space="preserve">Table X</w:t>
      </w:r>
      <w:r w:rsidDel="00000000" w:rsidR="00000000" w:rsidRPr="00000000">
        <w:rPr>
          <w:rtl w:val="0"/>
        </w:rPr>
        <w:t xml:space="preserve">). Although these compounds showed a range of metabolic stabilities when evaluated against human liver microsomes, they were uniformly highly cleared by mouse liver microsomes. </w:t>
      </w:r>
      <w:r w:rsidDel="00000000" w:rsidR="00000000" w:rsidRPr="00000000">
        <w:rPr>
          <w:highlight w:val="yellow"/>
          <w:rtl w:val="0"/>
        </w:rPr>
        <w:t xml:space="preserve">[Why?]</w:t>
      </w:r>
      <w:r w:rsidDel="00000000" w:rsidR="00000000" w:rsidRPr="00000000">
        <w:rPr>
          <w:rtl w:val="0"/>
        </w:rPr>
        <w:t xml:space="preserve"> Compounds most stable to HLM clearance include the methylated compound </w:t>
      </w:r>
      <w:r w:rsidDel="00000000" w:rsidR="00000000" w:rsidRPr="00000000">
        <w:rPr>
          <w:b w:val="1"/>
          <w:rtl w:val="0"/>
        </w:rPr>
        <w:t xml:space="preserve">1</w:t>
      </w:r>
      <w:r w:rsidDel="00000000" w:rsidR="00000000" w:rsidRPr="00000000">
        <w:rPr>
          <w:rtl w:val="0"/>
        </w:rPr>
        <w:t xml:space="preserve">, the hydroxy compounds </w:t>
      </w: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12</w:t>
      </w:r>
      <w:r w:rsidDel="00000000" w:rsidR="00000000" w:rsidRPr="00000000">
        <w:rPr>
          <w:rtl w:val="0"/>
        </w:rPr>
        <w:t xml:space="preserve"> and </w:t>
      </w:r>
      <w:r w:rsidDel="00000000" w:rsidR="00000000" w:rsidRPr="00000000">
        <w:rPr>
          <w:b w:val="1"/>
          <w:rtl w:val="0"/>
        </w:rPr>
        <w:t xml:space="preserve">13</w:t>
      </w:r>
      <w:r w:rsidDel="00000000" w:rsidR="00000000" w:rsidRPr="00000000">
        <w:rPr>
          <w:rtl w:val="0"/>
        </w:rPr>
        <w:t xml:space="preserve">, and the carboxylic acid </w:t>
      </w:r>
      <w:r w:rsidDel="00000000" w:rsidR="00000000" w:rsidRPr="00000000">
        <w:rPr>
          <w:b w:val="1"/>
          <w:rtl w:val="0"/>
        </w:rPr>
        <w:t xml:space="preserve">13</w:t>
      </w:r>
      <w:r w:rsidDel="00000000" w:rsidR="00000000" w:rsidRPr="00000000">
        <w:rPr>
          <w:rtl w:val="0"/>
        </w:rPr>
        <w:t xml:space="preserve">. Introduction of a hydroxy group on the linker also led to improved solubility, with diol </w:t>
      </w:r>
      <w:r w:rsidDel="00000000" w:rsidR="00000000" w:rsidRPr="00000000">
        <w:rPr>
          <w:b w:val="1"/>
          <w:rtl w:val="0"/>
        </w:rPr>
        <w:t xml:space="preserve">12</w:t>
      </w:r>
      <w:r w:rsidDel="00000000" w:rsidR="00000000" w:rsidRPr="00000000">
        <w:rPr>
          <w:rtl w:val="0"/>
        </w:rPr>
        <w:t xml:space="preserve"> being one of the most soluble compounds of the series.</w:t>
      </w:r>
    </w:p>
    <w:tbl>
      <w:tblPr>
        <w:tblStyle w:val="Table6"/>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695"/>
        <w:gridCol w:w="1410"/>
        <w:gridCol w:w="870"/>
        <w:gridCol w:w="930"/>
        <w:gridCol w:w="885"/>
        <w:gridCol w:w="885"/>
        <w:gridCol w:w="1350"/>
        <w:tblGridChange w:id="0">
          <w:tblGrid>
            <w:gridCol w:w="870"/>
            <w:gridCol w:w="1695"/>
            <w:gridCol w:w="1410"/>
            <w:gridCol w:w="870"/>
            <w:gridCol w:w="930"/>
            <w:gridCol w:w="885"/>
            <w:gridCol w:w="885"/>
            <w:gridCol w:w="1350"/>
          </w:tblGrid>
        </w:tblGridChange>
      </w:tblGrid>
      <w:tr>
        <w:trPr>
          <w:trHeight w:val="440" w:hRule="atLeast"/>
        </w:trPr>
        <w:tc>
          <w:tcPr>
            <w:gridSpan w:val="8"/>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jc w:val="center"/>
              <w:rPr>
                <w:sz w:val="20"/>
                <w:szCs w:val="20"/>
              </w:rPr>
            </w:pPr>
            <w:r w:rsidDel="00000000" w:rsidR="00000000" w:rsidRPr="00000000">
              <w:rPr>
                <w:sz w:val="20"/>
                <w:szCs w:val="20"/>
              </w:rPr>
              <w:drawing>
                <wp:inline distB="114300" distT="114300" distL="114300" distR="114300">
                  <wp:extent cx="5514975" cy="2451100"/>
                  <wp:effectExtent b="0" l="0" r="0" t="0"/>
                  <wp:docPr id="1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514975" cy="2451100"/>
                          </a:xfrm>
                          <a:prstGeom prst="rect"/>
                          <a:ln/>
                        </pic:spPr>
                      </pic:pic>
                    </a:graphicData>
                  </a:graphic>
                </wp:inline>
              </w:drawing>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jc w:val="center"/>
              <w:rPr>
                <w:b w:val="1"/>
                <w:sz w:val="20"/>
                <w:szCs w:val="20"/>
              </w:rPr>
            </w:pPr>
            <w:r w:rsidDel="00000000" w:rsidR="00000000" w:rsidRPr="00000000">
              <w:rPr>
                <w:b w:val="1"/>
                <w:sz w:val="20"/>
                <w:szCs w:val="20"/>
                <w:rtl w:val="0"/>
              </w:rPr>
              <w:t xml:space="preserve">Entry</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jc w:val="center"/>
              <w:rPr>
                <w:b w:val="1"/>
                <w:sz w:val="20"/>
                <w:szCs w:val="20"/>
              </w:rPr>
            </w:pPr>
            <w:r w:rsidDel="00000000" w:rsidR="00000000" w:rsidRPr="00000000">
              <w:rPr>
                <w:b w:val="1"/>
                <w:sz w:val="20"/>
                <w:szCs w:val="20"/>
                <w:rtl w:val="0"/>
              </w:rPr>
              <w:t xml:space="preserve">ID</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jc w:val="center"/>
              <w:rPr>
                <w:b w:val="1"/>
                <w:sz w:val="20"/>
                <w:szCs w:val="20"/>
              </w:rPr>
            </w:pPr>
            <w:r w:rsidDel="00000000" w:rsidR="00000000" w:rsidRPr="00000000">
              <w:rPr>
                <w:b w:val="1"/>
                <w:i w:val="1"/>
                <w:sz w:val="20"/>
                <w:szCs w:val="20"/>
                <w:rtl w:val="0"/>
              </w:rPr>
              <w:t xml:space="preserve">P. falciparum</w:t>
            </w:r>
            <w:r w:rsidDel="00000000" w:rsidR="00000000" w:rsidRPr="00000000">
              <w:rPr>
                <w:b w:val="1"/>
                <w:sz w:val="20"/>
                <w:szCs w:val="20"/>
                <w:rtl w:val="0"/>
              </w:rPr>
              <w:t xml:space="preserve"> EC</w:t>
            </w:r>
            <w:r w:rsidDel="00000000" w:rsidR="00000000" w:rsidRPr="00000000">
              <w:rPr>
                <w:b w:val="1"/>
                <w:sz w:val="20"/>
                <w:szCs w:val="20"/>
                <w:vertAlign w:val="subscript"/>
                <w:rtl w:val="0"/>
              </w:rPr>
              <w:t xml:space="preserve">50</w:t>
            </w:r>
            <w:r w:rsidDel="00000000" w:rsidR="00000000" w:rsidRPr="00000000">
              <w:rPr>
                <w:b w:val="1"/>
                <w:sz w:val="20"/>
                <w:szCs w:val="20"/>
                <w:rtl w:val="0"/>
              </w:rPr>
              <w:t xml:space="preserve"> (μM)</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jc w:val="center"/>
              <w:rPr>
                <w:b w:val="1"/>
                <w:sz w:val="20"/>
                <w:szCs w:val="20"/>
              </w:rPr>
            </w:pPr>
            <w:r w:rsidDel="00000000" w:rsidR="00000000" w:rsidRPr="00000000">
              <w:rPr>
                <w:b w:val="1"/>
                <w:sz w:val="20"/>
                <w:szCs w:val="20"/>
                <w:rtl w:val="0"/>
              </w:rPr>
              <w:t xml:space="preserve">Cl</w:t>
            </w:r>
            <w:r w:rsidDel="00000000" w:rsidR="00000000" w:rsidRPr="00000000">
              <w:rPr>
                <w:b w:val="1"/>
                <w:sz w:val="20"/>
                <w:szCs w:val="20"/>
                <w:vertAlign w:val="subscript"/>
                <w:rtl w:val="0"/>
              </w:rPr>
              <w:t xml:space="preserve">int</w:t>
            </w:r>
            <w:r w:rsidDel="00000000" w:rsidR="00000000" w:rsidRPr="00000000">
              <w:rPr>
                <w:b w:val="1"/>
                <w:sz w:val="20"/>
                <w:szCs w:val="20"/>
                <w:rtl w:val="0"/>
              </w:rPr>
              <w:t xml:space="preserve"> (μL/min/mg)</w:t>
            </w:r>
          </w:p>
        </w:tc>
        <w:tc>
          <w:tcPr>
            <w:gridSpan w:val="2"/>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vertAlign w:val="subscript"/>
                <w:rtl w:val="0"/>
              </w:rPr>
              <w:t xml:space="preserve">1/2</w:t>
            </w:r>
            <w:r w:rsidDel="00000000" w:rsidR="00000000" w:rsidRPr="00000000">
              <w:rPr>
                <w:b w:val="1"/>
                <w:sz w:val="20"/>
                <w:szCs w:val="20"/>
                <w:rtl w:val="0"/>
              </w:rPr>
              <w:t xml:space="preserve"> (min)</w:t>
            </w:r>
          </w:p>
        </w:tc>
        <w:tc>
          <w:tcPr>
            <w:vMerge w:val="restart"/>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jc w:val="center"/>
              <w:rPr>
                <w:b w:val="1"/>
                <w:sz w:val="20"/>
                <w:szCs w:val="20"/>
              </w:rPr>
            </w:pPr>
            <w:r w:rsidDel="00000000" w:rsidR="00000000" w:rsidRPr="00000000">
              <w:rPr>
                <w:b w:val="1"/>
                <w:sz w:val="20"/>
                <w:szCs w:val="20"/>
                <w:rtl w:val="0"/>
              </w:rPr>
              <w:t xml:space="preserve">Solubility (μg/mL)</w:t>
            </w:r>
          </w:p>
        </w:tc>
      </w:tr>
      <w:tr>
        <w:trPr>
          <w:trHeight w:val="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jc w:val="center"/>
              <w:rPr>
                <w:b w:val="1"/>
                <w:sz w:val="20"/>
                <w:szCs w:val="20"/>
              </w:rPr>
            </w:pPr>
            <w:r w:rsidDel="00000000" w:rsidR="00000000" w:rsidRPr="00000000">
              <w:rPr>
                <w:b w:val="1"/>
                <w:sz w:val="20"/>
                <w:szCs w:val="20"/>
                <w:rtl w:val="0"/>
              </w:rPr>
              <w:t xml:space="preserve">MLM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jc w:val="center"/>
              <w:rPr>
                <w:b w:val="1"/>
                <w:sz w:val="20"/>
                <w:szCs w:val="20"/>
              </w:rPr>
            </w:pPr>
            <w:r w:rsidDel="00000000" w:rsidR="00000000" w:rsidRPr="00000000">
              <w:rPr>
                <w:b w:val="1"/>
                <w:sz w:val="20"/>
                <w:szCs w:val="20"/>
                <w:rtl w:val="0"/>
              </w:rPr>
              <w:t xml:space="preserve">HLM</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jc w:val="center"/>
              <w:rPr>
                <w:b w:val="1"/>
                <w:sz w:val="20"/>
                <w:szCs w:val="20"/>
              </w:rPr>
            </w:pPr>
            <w:r w:rsidDel="00000000" w:rsidR="00000000" w:rsidRPr="00000000">
              <w:rPr>
                <w:b w:val="1"/>
                <w:sz w:val="20"/>
                <w:szCs w:val="20"/>
                <w:rtl w:val="0"/>
              </w:rPr>
              <w:t xml:space="preserve">MLM</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jc w:val="center"/>
              <w:rPr>
                <w:sz w:val="20"/>
                <w:szCs w:val="20"/>
              </w:rPr>
            </w:pPr>
            <w:r w:rsidDel="00000000" w:rsidR="00000000" w:rsidRPr="00000000">
              <w:rPr>
                <w:sz w:val="20"/>
                <w:szCs w:val="20"/>
                <w:rtl w:val="0"/>
              </w:rPr>
              <w:t xml:space="preserve">MMV670947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jc w:val="center"/>
              <w:rPr>
                <w:sz w:val="20"/>
                <w:szCs w:val="20"/>
              </w:rPr>
            </w:pPr>
            <w:r w:rsidDel="00000000" w:rsidR="00000000" w:rsidRPr="00000000">
              <w:rPr>
                <w:sz w:val="20"/>
                <w:szCs w:val="20"/>
                <w:rtl w:val="0"/>
              </w:rPr>
              <w:t xml:space="preserve">0.024</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jc w:val="center"/>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jc w:val="center"/>
              <w:rPr>
                <w:i w:val="1"/>
                <w:sz w:val="20"/>
                <w:szCs w:val="20"/>
              </w:rPr>
            </w:pPr>
            <w:r w:rsidDel="00000000" w:rsidR="00000000" w:rsidRPr="00000000">
              <w:rPr>
                <w:i w:val="1"/>
                <w:sz w:val="20"/>
                <w:szCs w:val="20"/>
                <w:rtl w:val="0"/>
              </w:rPr>
              <w:t xml:space="preserve">nd</w:t>
            </w:r>
          </w:p>
        </w:tc>
      </w:tr>
      <w:tr>
        <w:trPr>
          <w:trHeight w:val="2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jc w:val="center"/>
              <w:rPr>
                <w:sz w:val="20"/>
                <w:szCs w:val="20"/>
              </w:rPr>
            </w:pPr>
            <w:r w:rsidDel="00000000" w:rsidR="00000000" w:rsidRPr="00000000">
              <w:rPr>
                <w:sz w:val="20"/>
                <w:szCs w:val="20"/>
                <w:rtl w:val="0"/>
              </w:rPr>
              <w:t xml:space="preserve">MMV672727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jc w:val="center"/>
              <w:rPr>
                <w:sz w:val="20"/>
                <w:szCs w:val="20"/>
              </w:rPr>
            </w:pPr>
            <w:r w:rsidDel="00000000" w:rsidR="00000000" w:rsidRPr="00000000">
              <w:rPr>
                <w:sz w:val="20"/>
                <w:szCs w:val="20"/>
                <w:rtl w:val="0"/>
              </w:rPr>
              <w:t xml:space="preserve">0.123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jc w:val="center"/>
              <w:rPr>
                <w:sz w:val="20"/>
                <w:szCs w:val="20"/>
              </w:rPr>
            </w:pPr>
            <w:r w:rsidDel="00000000" w:rsidR="00000000" w:rsidRPr="00000000">
              <w:rPr>
                <w:sz w:val="20"/>
                <w:szCs w:val="20"/>
                <w:rtl w:val="0"/>
              </w:rPr>
              <w:t xml:space="preserve">273</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jc w:val="center"/>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jc w:val="center"/>
              <w:rPr>
                <w:sz w:val="20"/>
                <w:szCs w:val="20"/>
              </w:rPr>
            </w:pPr>
            <w:r w:rsidDel="00000000" w:rsidR="00000000" w:rsidRPr="00000000">
              <w:rPr>
                <w:sz w:val="20"/>
                <w:szCs w:val="20"/>
                <w:rtl w:val="0"/>
              </w:rPr>
              <w:t xml:space="preserve">6.3-12.5</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center"/>
              <w:rPr>
                <w:sz w:val="20"/>
                <w:szCs w:val="20"/>
              </w:rPr>
            </w:pPr>
            <w:r w:rsidDel="00000000" w:rsidR="00000000" w:rsidRPr="00000000">
              <w:rPr>
                <w:sz w:val="20"/>
                <w:szCs w:val="20"/>
                <w:rtl w:val="0"/>
              </w:rPr>
              <w:t xml:space="preserve">MMV672687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sz w:val="20"/>
                <w:szCs w:val="20"/>
              </w:rPr>
            </w:pPr>
            <w:r w:rsidDel="00000000" w:rsidR="00000000" w:rsidRPr="00000000">
              <w:rPr>
                <w:sz w:val="20"/>
                <w:szCs w:val="20"/>
                <w:rtl w:val="0"/>
              </w:rPr>
              <w:t xml:space="preserve">0.070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center"/>
              <w:rPr>
                <w:sz w:val="20"/>
                <w:szCs w:val="20"/>
              </w:rPr>
            </w:pPr>
            <w:r w:rsidDel="00000000" w:rsidR="00000000" w:rsidRPr="00000000">
              <w:rPr>
                <w:sz w:val="20"/>
                <w:szCs w:val="20"/>
                <w:rtl w:val="0"/>
              </w:rPr>
              <w:t xml:space="preserve">38</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jc w:val="center"/>
              <w:rPr>
                <w:sz w:val="20"/>
                <w:szCs w:val="20"/>
              </w:rPr>
            </w:pPr>
            <w:r w:rsidDel="00000000" w:rsidR="00000000" w:rsidRPr="00000000">
              <w:rPr>
                <w:sz w:val="20"/>
                <w:szCs w:val="20"/>
                <w:rtl w:val="0"/>
              </w:rPr>
              <w:t xml:space="preserve">170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jc w:val="center"/>
              <w:rPr>
                <w:sz w:val="20"/>
                <w:szCs w:val="20"/>
              </w:rPr>
            </w:pPr>
            <w:r w:rsidDel="00000000" w:rsidR="00000000" w:rsidRPr="00000000">
              <w:rPr>
                <w:sz w:val="20"/>
                <w:szCs w:val="20"/>
                <w:rtl w:val="0"/>
              </w:rPr>
              <w:t xml:space="preserve">12.5-25</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jc w:val="center"/>
              <w:rPr>
                <w:sz w:val="20"/>
                <w:szCs w:val="20"/>
              </w:rPr>
            </w:pPr>
            <w:r w:rsidDel="00000000" w:rsidR="00000000" w:rsidRPr="00000000">
              <w:rPr>
                <w:sz w:val="20"/>
                <w:szCs w:val="20"/>
                <w:rtl w:val="0"/>
              </w:rPr>
              <w:t xml:space="preserve">MMV672723</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jc w:val="center"/>
              <w:rPr>
                <w:sz w:val="20"/>
                <w:szCs w:val="20"/>
              </w:rPr>
            </w:pPr>
            <w:r w:rsidDel="00000000" w:rsidR="00000000" w:rsidRPr="00000000">
              <w:rPr>
                <w:sz w:val="20"/>
                <w:szCs w:val="20"/>
                <w:rtl w:val="0"/>
              </w:rPr>
              <w:t xml:space="preserve">0.101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jc w:val="center"/>
              <w:rPr>
                <w:sz w:val="20"/>
                <w:szCs w:val="20"/>
              </w:rPr>
            </w:pPr>
            <w:r w:rsidDel="00000000" w:rsidR="00000000" w:rsidRPr="00000000">
              <w:rPr>
                <w:sz w:val="20"/>
                <w:szCs w:val="20"/>
                <w:rtl w:val="0"/>
              </w:rPr>
              <w:t xml:space="preserve">94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jc w:val="center"/>
              <w:rPr>
                <w:sz w:val="20"/>
                <w:szCs w:val="20"/>
              </w:rPr>
            </w:pPr>
            <w:r w:rsidDel="00000000" w:rsidR="00000000" w:rsidRPr="00000000">
              <w:rPr>
                <w:sz w:val="20"/>
                <w:szCs w:val="20"/>
                <w:rtl w:val="0"/>
              </w:rPr>
              <w:t xml:space="preserve">12.5-25</w:t>
            </w:r>
          </w:p>
        </w:tc>
      </w:tr>
      <w:tr>
        <w:trPr>
          <w:trHeight w:val="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jc w:val="center"/>
              <w:rPr>
                <w:sz w:val="20"/>
                <w:szCs w:val="20"/>
              </w:rPr>
            </w:pPr>
            <w:r w:rsidDel="00000000" w:rsidR="00000000" w:rsidRPr="00000000">
              <w:rPr>
                <w:sz w:val="20"/>
                <w:szCs w:val="20"/>
                <w:rtl w:val="0"/>
              </w:rPr>
              <w:t xml:space="preserve">MMV670438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jc w:val="center"/>
              <w:rPr>
                <w:sz w:val="20"/>
                <w:szCs w:val="20"/>
              </w:rPr>
            </w:pPr>
            <w:r w:rsidDel="00000000" w:rsidR="00000000" w:rsidRPr="00000000">
              <w:rPr>
                <w:sz w:val="20"/>
                <w:szCs w:val="20"/>
                <w:rtl w:val="0"/>
              </w:rPr>
              <w:t xml:space="preserve">0.483</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jc w:val="center"/>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jc w:val="center"/>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jc w:val="center"/>
              <w:rPr>
                <w:sz w:val="20"/>
                <w:szCs w:val="20"/>
              </w:rPr>
            </w:pPr>
            <w:r w:rsidDel="00000000" w:rsidR="00000000" w:rsidRPr="00000000">
              <w:rPr>
                <w:sz w:val="20"/>
                <w:szCs w:val="20"/>
                <w:rtl w:val="0"/>
              </w:rPr>
              <w:t xml:space="preserve">53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jc w:val="cente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jc w:val="center"/>
              <w:rPr>
                <w:sz w:val="20"/>
                <w:szCs w:val="20"/>
              </w:rPr>
            </w:pPr>
            <w:r w:rsidDel="00000000" w:rsidR="00000000" w:rsidRPr="00000000">
              <w:rPr>
                <w:sz w:val="20"/>
                <w:szCs w:val="20"/>
                <w:rtl w:val="0"/>
              </w:rPr>
              <w:t xml:space="preserve">12.5-25</w:t>
            </w:r>
          </w:p>
        </w:tc>
      </w:tr>
      <w:tr>
        <w:trPr>
          <w:trHeight w:val="1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jc w:val="center"/>
              <w:rPr>
                <w:sz w:val="20"/>
                <w:szCs w:val="20"/>
              </w:rPr>
            </w:pPr>
            <w:r w:rsidDel="00000000" w:rsidR="00000000" w:rsidRPr="00000000">
              <w:rPr>
                <w:sz w:val="20"/>
                <w:szCs w:val="20"/>
                <w:rtl w:val="0"/>
              </w:rPr>
              <w:t xml:space="preserve">MMV671651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jc w:val="center"/>
              <w:rPr>
                <w:sz w:val="20"/>
                <w:szCs w:val="20"/>
              </w:rPr>
            </w:pPr>
            <w:r w:rsidDel="00000000" w:rsidR="00000000" w:rsidRPr="00000000">
              <w:rPr>
                <w:sz w:val="20"/>
                <w:szCs w:val="20"/>
                <w:rtl w:val="0"/>
              </w:rPr>
              <w:t xml:space="preserve">0.279</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jc w:val="center"/>
              <w:rPr>
                <w:sz w:val="20"/>
                <w:szCs w:val="20"/>
              </w:rPr>
            </w:pPr>
            <w:r w:rsidDel="00000000" w:rsidR="00000000" w:rsidRPr="00000000">
              <w:rPr>
                <w:sz w:val="20"/>
                <w:szCs w:val="20"/>
                <w:rtl w:val="0"/>
              </w:rPr>
              <w:t xml:space="preserve">41</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jc w:val="center"/>
              <w:rPr>
                <w:sz w:val="20"/>
                <w:szCs w:val="20"/>
              </w:rPr>
            </w:pPr>
            <w:r w:rsidDel="00000000" w:rsidR="00000000" w:rsidRPr="00000000">
              <w:rPr>
                <w:sz w:val="20"/>
                <w:szCs w:val="20"/>
                <w:rtl w:val="0"/>
              </w:rPr>
              <w:t xml:space="preserve">77</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jc w:val="center"/>
              <w:rPr>
                <w:sz w:val="20"/>
                <w:szCs w:val="20"/>
              </w:rPr>
            </w:pPr>
            <w:r w:rsidDel="00000000" w:rsidR="00000000" w:rsidRPr="00000000">
              <w:rPr>
                <w:sz w:val="20"/>
                <w:szCs w:val="20"/>
                <w:rtl w:val="0"/>
              </w:rPr>
              <w:t xml:space="preserve">42</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jc w:val="center"/>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jc w:val="center"/>
              <w:rPr>
                <w:sz w:val="20"/>
                <w:szCs w:val="20"/>
              </w:rPr>
            </w:pPr>
            <w:r w:rsidDel="00000000" w:rsidR="00000000" w:rsidRPr="00000000">
              <w:rPr>
                <w:sz w:val="20"/>
                <w:szCs w:val="20"/>
                <w:rtl w:val="0"/>
              </w:rPr>
              <w:t xml:space="preserve">6.3-12.5</w:t>
            </w:r>
          </w:p>
        </w:tc>
      </w:tr>
      <w:tr>
        <w:trPr>
          <w:trHeight w:val="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jc w:val="center"/>
              <w:rPr>
                <w:sz w:val="20"/>
                <w:szCs w:val="20"/>
              </w:rPr>
            </w:pPr>
            <w:r w:rsidDel="00000000" w:rsidR="00000000" w:rsidRPr="00000000">
              <w:rPr>
                <w:sz w:val="20"/>
                <w:szCs w:val="20"/>
                <w:rtl w:val="0"/>
              </w:rPr>
              <w:t xml:space="preserve">MMV897763</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jc w:val="center"/>
              <w:rPr>
                <w:sz w:val="20"/>
                <w:szCs w:val="20"/>
              </w:rPr>
            </w:pPr>
            <w:r w:rsidDel="00000000" w:rsidR="00000000" w:rsidRPr="00000000">
              <w:rPr>
                <w:sz w:val="20"/>
                <w:szCs w:val="20"/>
                <w:rtl w:val="0"/>
              </w:rPr>
              <w:t xml:space="preserve">0.190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jc w:val="center"/>
              <w:rPr>
                <w:sz w:val="20"/>
                <w:szCs w:val="20"/>
              </w:rPr>
            </w:pPr>
            <w:r w:rsidDel="00000000" w:rsidR="00000000" w:rsidRPr="00000000">
              <w:rPr>
                <w:sz w:val="20"/>
                <w:szCs w:val="20"/>
                <w:rtl w:val="0"/>
              </w:rPr>
              <w:t xml:space="preserve">264</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jc w:val="center"/>
              <w:rPr>
                <w:sz w:val="20"/>
                <w:szCs w:val="20"/>
              </w:rPr>
            </w:pPr>
            <w:r w:rsidDel="00000000" w:rsidR="00000000" w:rsidRPr="00000000">
              <w:rPr>
                <w:sz w:val="20"/>
                <w:szCs w:val="20"/>
                <w:rtl w:val="0"/>
              </w:rPr>
              <w:t xml:space="preserve">478</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jc w:val="center"/>
              <w:rPr>
                <w:sz w:val="20"/>
                <w:szCs w:val="20"/>
              </w:rPr>
            </w:pPr>
            <w:r w:rsidDel="00000000" w:rsidR="00000000" w:rsidRPr="00000000">
              <w:rPr>
                <w:sz w:val="20"/>
                <w:szCs w:val="20"/>
                <w:rtl w:val="0"/>
              </w:rPr>
              <w:t xml:space="preserve">6.3-12.5</w:t>
            </w:r>
          </w:p>
        </w:tc>
      </w:tr>
      <w:tr>
        <w:trPr>
          <w:trHeight w:val="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jc w:val="center"/>
              <w:rPr>
                <w:sz w:val="20"/>
                <w:szCs w:val="20"/>
              </w:rPr>
            </w:pPr>
            <w:r w:rsidDel="00000000" w:rsidR="00000000" w:rsidRPr="00000000">
              <w:rPr>
                <w:sz w:val="20"/>
                <w:szCs w:val="20"/>
                <w:rtl w:val="0"/>
              </w:rPr>
              <w:t xml:space="preserve">MMV897698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jc w:val="center"/>
              <w:rPr>
                <w:sz w:val="20"/>
                <w:szCs w:val="20"/>
              </w:rPr>
            </w:pPr>
            <w:r w:rsidDel="00000000" w:rsidR="00000000" w:rsidRPr="00000000">
              <w:rPr>
                <w:sz w:val="20"/>
                <w:szCs w:val="20"/>
                <w:rtl w:val="0"/>
              </w:rPr>
              <w:t xml:space="preserve">0.362</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jc w:val="center"/>
              <w:rPr>
                <w:sz w:val="20"/>
                <w:szCs w:val="20"/>
              </w:rPr>
            </w:pPr>
            <w:r w:rsidDel="00000000" w:rsidR="00000000" w:rsidRPr="00000000">
              <w:rPr>
                <w:sz w:val="20"/>
                <w:szCs w:val="20"/>
                <w:rtl w:val="0"/>
              </w:rPr>
              <w:t xml:space="preserve">66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center"/>
              <w:rPr>
                <w:sz w:val="20"/>
                <w:szCs w:val="20"/>
              </w:rPr>
            </w:pPr>
            <w:r w:rsidDel="00000000" w:rsidR="00000000" w:rsidRPr="00000000">
              <w:rPr>
                <w:sz w:val="20"/>
                <w:szCs w:val="20"/>
                <w:rtl w:val="0"/>
              </w:rPr>
              <w:t xml:space="preserve">262</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center"/>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jc w:val="center"/>
              <w:rPr>
                <w:sz w:val="20"/>
                <w:szCs w:val="20"/>
              </w:rPr>
            </w:pPr>
            <w:r w:rsidDel="00000000" w:rsidR="00000000" w:rsidRPr="00000000">
              <w:rPr>
                <w:sz w:val="20"/>
                <w:szCs w:val="20"/>
                <w:rtl w:val="0"/>
              </w:rPr>
              <w:t xml:space="preserve">6.3-12.5</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jc w:val="center"/>
              <w:rPr>
                <w:sz w:val="20"/>
                <w:szCs w:val="20"/>
              </w:rPr>
            </w:pPr>
            <w:r w:rsidDel="00000000" w:rsidR="00000000" w:rsidRPr="00000000">
              <w:rPr>
                <w:sz w:val="20"/>
                <w:szCs w:val="20"/>
                <w:rtl w:val="0"/>
              </w:rPr>
              <w:t xml:space="preserve">MMV688896</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center"/>
              <w:rPr>
                <w:sz w:val="20"/>
                <w:szCs w:val="20"/>
              </w:rPr>
            </w:pPr>
            <w:r w:rsidDel="00000000" w:rsidR="00000000" w:rsidRPr="00000000">
              <w:rPr>
                <w:sz w:val="20"/>
                <w:szCs w:val="20"/>
                <w:rtl w:val="0"/>
              </w:rPr>
              <w:t xml:space="preserve">0.360</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center"/>
              <w:rPr>
                <w:sz w:val="20"/>
                <w:szCs w:val="20"/>
              </w:rPr>
            </w:pPr>
            <w:r w:rsidDel="00000000" w:rsidR="00000000" w:rsidRPr="00000000">
              <w:rPr>
                <w:sz w:val="20"/>
                <w:szCs w:val="20"/>
                <w:rtl w:val="0"/>
              </w:rPr>
              <w:t xml:space="preserve">278</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center"/>
              <w:rPr>
                <w:sz w:val="20"/>
                <w:szCs w:val="20"/>
              </w:rPr>
            </w:pPr>
            <w:r w:rsidDel="00000000" w:rsidR="00000000" w:rsidRPr="00000000">
              <w:rPr>
                <w:sz w:val="20"/>
                <w:szCs w:val="20"/>
                <w:rtl w:val="0"/>
              </w:rPr>
              <w:t xml:space="preserve">246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center"/>
              <w:rPr>
                <w:sz w:val="20"/>
                <w:szCs w:val="20"/>
              </w:rPr>
            </w:pPr>
            <w:r w:rsidDel="00000000" w:rsidR="00000000" w:rsidRPr="00000000">
              <w:rPr>
                <w:sz w:val="20"/>
                <w:szCs w:val="20"/>
                <w:rtl w:val="0"/>
              </w:rPr>
              <w:t xml:space="preserve">25-50</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jc w:val="center"/>
              <w:rPr>
                <w:sz w:val="20"/>
                <w:szCs w:val="20"/>
              </w:rPr>
            </w:pPr>
            <w:r w:rsidDel="00000000" w:rsidR="00000000" w:rsidRPr="00000000">
              <w:rPr>
                <w:sz w:val="20"/>
                <w:szCs w:val="20"/>
                <w:rtl w:val="0"/>
              </w:rPr>
              <w:t xml:space="preserve">MMV693155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jc w:val="center"/>
              <w:rPr>
                <w:sz w:val="20"/>
                <w:szCs w:val="20"/>
              </w:rPr>
            </w:pPr>
            <w:r w:rsidDel="00000000" w:rsidR="00000000" w:rsidRPr="00000000">
              <w:rPr>
                <w:sz w:val="20"/>
                <w:szCs w:val="20"/>
                <w:rtl w:val="0"/>
              </w:rPr>
              <w:t xml:space="preserve">0.134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center"/>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center"/>
              <w:rPr>
                <w:sz w:val="20"/>
                <w:szCs w:val="20"/>
              </w:rPr>
            </w:pPr>
            <w:r w:rsidDel="00000000" w:rsidR="00000000" w:rsidRPr="00000000">
              <w:rPr>
                <w:sz w:val="20"/>
                <w:szCs w:val="20"/>
                <w:rtl w:val="0"/>
              </w:rPr>
              <w:t xml:space="preserve">121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jc w:val="center"/>
              <w:rPr>
                <w:sz w:val="20"/>
                <w:szCs w:val="20"/>
              </w:rPr>
            </w:pPr>
            <w:r w:rsidDel="00000000" w:rsidR="00000000" w:rsidRPr="00000000">
              <w:rPr>
                <w:sz w:val="20"/>
                <w:szCs w:val="20"/>
                <w:rtl w:val="0"/>
              </w:rPr>
              <w:t xml:space="preserve">73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cente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jc w:val="center"/>
              <w:rPr>
                <w:sz w:val="20"/>
                <w:szCs w:val="20"/>
              </w:rPr>
            </w:pPr>
            <w:r w:rsidDel="00000000" w:rsidR="00000000" w:rsidRPr="00000000">
              <w:rPr>
                <w:sz w:val="20"/>
                <w:szCs w:val="20"/>
                <w:rtl w:val="0"/>
              </w:rPr>
              <w:t xml:space="preserve">12.5-25</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jc w:val="center"/>
              <w:rPr>
                <w:sz w:val="20"/>
                <w:szCs w:val="20"/>
              </w:rPr>
            </w:pPr>
            <w:r w:rsidDel="00000000" w:rsidR="00000000" w:rsidRPr="00000000">
              <w:rPr>
                <w:sz w:val="20"/>
                <w:szCs w:val="20"/>
                <w:rtl w:val="0"/>
              </w:rPr>
              <w:t xml:space="preserve">MMV1579336</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jc w:val="center"/>
              <w:rPr>
                <w:sz w:val="20"/>
                <w:szCs w:val="20"/>
              </w:rPr>
            </w:pPr>
            <w:r w:rsidDel="00000000" w:rsidR="00000000" w:rsidRPr="00000000">
              <w:rPr>
                <w:sz w:val="20"/>
                <w:szCs w:val="20"/>
                <w:rtl w:val="0"/>
              </w:rPr>
              <w:t xml:space="preserve">3.88</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jc w:val="center"/>
              <w:rPr>
                <w:sz w:val="20"/>
                <w:szCs w:val="20"/>
              </w:rPr>
            </w:pPr>
            <w:r w:rsidDel="00000000" w:rsidR="00000000" w:rsidRPr="00000000">
              <w:rPr>
                <w:sz w:val="20"/>
                <w:szCs w:val="20"/>
                <w:rtl w:val="0"/>
              </w:rPr>
              <w:t xml:space="preserve">&lt;7</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jc w:val="center"/>
              <w:rPr>
                <w:sz w:val="20"/>
                <w:szCs w:val="20"/>
              </w:rPr>
            </w:pPr>
            <w:r w:rsidDel="00000000" w:rsidR="00000000" w:rsidRPr="00000000">
              <w:rPr>
                <w:sz w:val="20"/>
                <w:szCs w:val="20"/>
                <w:rtl w:val="0"/>
              </w:rPr>
              <w:t xml:space="preserve">&lt;7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jc w:val="center"/>
              <w:rPr>
                <w:sz w:val="20"/>
                <w:szCs w:val="20"/>
              </w:rPr>
            </w:pPr>
            <w:r w:rsidDel="00000000" w:rsidR="00000000" w:rsidRPr="00000000">
              <w:rPr>
                <w:sz w:val="20"/>
                <w:szCs w:val="20"/>
                <w:rtl w:val="0"/>
              </w:rPr>
              <w:t xml:space="preserve">&gt;255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jc w:val="center"/>
              <w:rPr>
                <w:sz w:val="20"/>
                <w:szCs w:val="20"/>
              </w:rPr>
            </w:pPr>
            <w:r w:rsidDel="00000000" w:rsidR="00000000" w:rsidRPr="00000000">
              <w:rPr>
                <w:sz w:val="20"/>
                <w:szCs w:val="20"/>
                <w:rtl w:val="0"/>
              </w:rPr>
              <w:t xml:space="preserve">&gt;255</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jc w:val="center"/>
              <w:rPr>
                <w:sz w:val="20"/>
                <w:szCs w:val="20"/>
              </w:rPr>
            </w:pPr>
            <w:r w:rsidDel="00000000" w:rsidR="00000000" w:rsidRPr="00000000">
              <w:rPr>
                <w:sz w:val="20"/>
                <w:szCs w:val="20"/>
                <w:rtl w:val="0"/>
              </w:rPr>
              <w:t xml:space="preserve">25-50</w:t>
            </w:r>
          </w:p>
        </w:tc>
      </w:tr>
      <w:tr>
        <w:trPr>
          <w:trHeight w:val="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sz w:val="20"/>
                <w:szCs w:val="20"/>
              </w:rPr>
            </w:pPr>
            <w:r w:rsidDel="00000000" w:rsidR="00000000" w:rsidRPr="00000000">
              <w:rPr>
                <w:sz w:val="20"/>
                <w:szCs w:val="20"/>
                <w:rtl w:val="0"/>
              </w:rPr>
              <w:t xml:space="preserve">MMV1581295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jc w:val="center"/>
              <w:rPr>
                <w:sz w:val="20"/>
                <w:szCs w:val="20"/>
              </w:rPr>
            </w:pPr>
            <w:r w:rsidDel="00000000" w:rsidR="00000000" w:rsidRPr="00000000">
              <w:rPr>
                <w:sz w:val="20"/>
                <w:szCs w:val="20"/>
                <w:rtl w:val="0"/>
              </w:rPr>
              <w:t xml:space="preserve">42</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jc w:val="center"/>
              <w:rPr>
                <w:sz w:val="20"/>
                <w:szCs w:val="20"/>
              </w:rPr>
            </w:pPr>
            <w:r w:rsidDel="00000000" w:rsidR="00000000" w:rsidRPr="00000000">
              <w:rPr>
                <w:sz w:val="20"/>
                <w:szCs w:val="20"/>
                <w:rtl w:val="0"/>
              </w:rPr>
              <w:t xml:space="preserve">116</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jc w:val="center"/>
              <w:rPr>
                <w:sz w:val="20"/>
                <w:szCs w:val="20"/>
              </w:rPr>
            </w:pPr>
            <w:r w:rsidDel="00000000" w:rsidR="00000000" w:rsidRPr="00000000">
              <w:rPr>
                <w:sz w:val="20"/>
                <w:szCs w:val="20"/>
                <w:rtl w:val="0"/>
              </w:rPr>
              <w:t xml:space="preserve">41</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jc w:val="center"/>
              <w:rPr>
                <w:sz w:val="20"/>
                <w:szCs w:val="20"/>
              </w:rPr>
            </w:pPr>
            <w:r w:rsidDel="00000000" w:rsidR="00000000" w:rsidRPr="00000000">
              <w:rPr>
                <w:sz w:val="20"/>
                <w:szCs w:val="20"/>
                <w:rtl w:val="0"/>
              </w:rPr>
              <w:t xml:space="preserve">50-100</w:t>
            </w:r>
          </w:p>
        </w:tc>
      </w:tr>
      <w:tr>
        <w:trPr>
          <w:trHeight w:val="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jc w:val="center"/>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jc w:val="center"/>
              <w:rPr>
                <w:sz w:val="20"/>
                <w:szCs w:val="20"/>
              </w:rPr>
            </w:pPr>
            <w:r w:rsidDel="00000000" w:rsidR="00000000" w:rsidRPr="00000000">
              <w:rPr>
                <w:sz w:val="20"/>
                <w:szCs w:val="20"/>
                <w:rtl w:val="0"/>
              </w:rPr>
              <w:t xml:space="preserve">MMV897708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jc w:val="center"/>
              <w:rPr>
                <w:sz w:val="20"/>
                <w:szCs w:val="20"/>
              </w:rPr>
            </w:pPr>
            <w:r w:rsidDel="00000000" w:rsidR="00000000" w:rsidRPr="00000000">
              <w:rPr>
                <w:sz w:val="20"/>
                <w:szCs w:val="20"/>
                <w:rtl w:val="0"/>
              </w:rPr>
              <w:t xml:space="preserve">0.800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jc w:val="center"/>
              <w:rPr>
                <w:sz w:val="20"/>
                <w:szCs w:val="20"/>
              </w:rPr>
            </w:pPr>
            <w:r w:rsidDel="00000000" w:rsidR="00000000" w:rsidRPr="00000000">
              <w:rPr>
                <w:sz w:val="20"/>
                <w:szCs w:val="20"/>
                <w:rtl w:val="0"/>
              </w:rPr>
              <w:t xml:space="preserve">64</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jc w:val="center"/>
              <w:rPr>
                <w:sz w:val="20"/>
                <w:szCs w:val="20"/>
              </w:rPr>
            </w:pPr>
            <w:r w:rsidDel="00000000" w:rsidR="00000000" w:rsidRPr="00000000">
              <w:rPr>
                <w:sz w:val="20"/>
                <w:szCs w:val="20"/>
                <w:rtl w:val="0"/>
              </w:rPr>
              <w:t xml:space="preserve">177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jc w:val="center"/>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center"/>
              <w:rPr>
                <w:sz w:val="20"/>
                <w:szCs w:val="20"/>
              </w:rPr>
            </w:pPr>
            <w:r w:rsidDel="00000000" w:rsidR="00000000" w:rsidRPr="00000000">
              <w:rPr>
                <w:sz w:val="20"/>
                <w:szCs w:val="20"/>
                <w:rtl w:val="0"/>
              </w:rPr>
              <w:t xml:space="preserve">25-50</w:t>
            </w:r>
          </w:p>
        </w:tc>
      </w:tr>
      <w:tr>
        <w:trPr>
          <w:trHeight w:val="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cente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center"/>
              <w:rPr>
                <w:sz w:val="20"/>
                <w:szCs w:val="20"/>
              </w:rPr>
            </w:pPr>
            <w:r w:rsidDel="00000000" w:rsidR="00000000" w:rsidRPr="00000000">
              <w:rPr>
                <w:sz w:val="20"/>
                <w:szCs w:val="20"/>
                <w:rtl w:val="0"/>
              </w:rPr>
              <w:t xml:space="preserve">MMV897709</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center"/>
              <w:rPr>
                <w:sz w:val="20"/>
                <w:szCs w:val="20"/>
              </w:rPr>
            </w:pPr>
            <w:r w:rsidDel="00000000" w:rsidR="00000000" w:rsidRPr="00000000">
              <w:rPr>
                <w:sz w:val="20"/>
                <w:szCs w:val="20"/>
                <w:rtl w:val="0"/>
              </w:rPr>
              <w:t xml:space="preserve">0.150</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center"/>
              <w:rPr>
                <w:sz w:val="20"/>
                <w:szCs w:val="20"/>
              </w:rPr>
            </w:pPr>
            <w:r w:rsidDel="00000000" w:rsidR="00000000" w:rsidRPr="00000000">
              <w:rPr>
                <w:sz w:val="20"/>
                <w:szCs w:val="20"/>
                <w:rtl w:val="0"/>
              </w:rPr>
              <w:t xml:space="preserve">159</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center"/>
              <w:rPr>
                <w:sz w:val="20"/>
                <w:szCs w:val="20"/>
              </w:rPr>
            </w:pPr>
            <w:r w:rsidDel="00000000" w:rsidR="00000000" w:rsidRPr="00000000">
              <w:rPr>
                <w:sz w:val="20"/>
                <w:szCs w:val="20"/>
                <w:rtl w:val="0"/>
              </w:rPr>
              <w:t xml:space="preserve">12.5-25</w:t>
            </w:r>
          </w:p>
        </w:tc>
      </w:tr>
      <w:tr>
        <w:trPr>
          <w:trHeight w:val="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jc w:val="center"/>
              <w:rPr>
                <w:sz w:val="20"/>
                <w:szCs w:val="20"/>
                <w:vertAlign w:val="superscript"/>
              </w:rPr>
            </w:pPr>
            <w:r w:rsidDel="00000000" w:rsidR="00000000" w:rsidRPr="00000000">
              <w:rPr>
                <w:sz w:val="20"/>
                <w:szCs w:val="20"/>
                <w:rtl w:val="0"/>
              </w:rPr>
              <w:t xml:space="preserve">MMV670652</w:t>
            </w:r>
            <w:r w:rsidDel="00000000" w:rsidR="00000000" w:rsidRPr="00000000">
              <w:rPr>
                <w:sz w:val="20"/>
                <w:szCs w:val="20"/>
                <w:vertAlign w:val="superscript"/>
                <w:rtl w:val="0"/>
              </w:rPr>
              <w:t xml:space="preserve">a</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jc w:val="center"/>
              <w:rPr>
                <w:sz w:val="20"/>
                <w:szCs w:val="20"/>
              </w:rPr>
            </w:pPr>
            <w:r w:rsidDel="00000000" w:rsidR="00000000" w:rsidRPr="00000000">
              <w:rPr>
                <w:sz w:val="20"/>
                <w:szCs w:val="20"/>
                <w:rtl w:val="0"/>
              </w:rPr>
              <w:t xml:space="preserve">0.017</w:t>
            </w:r>
          </w:p>
        </w:tc>
        <w:tc>
          <w:tcPr>
            <w:tcBorders>
              <w:top w:color="000000" w:space="0" w:sz="0" w:val="nil"/>
              <w:left w:color="000000" w:space="0" w:sz="0" w:val="nil"/>
              <w:bottom w:color="000000" w:space="0" w:sz="8" w:val="single"/>
              <w:right w:color="000000" w:space="0" w:sz="8" w:val="single"/>
            </w:tcBorders>
            <w:shd w:fill="b2de82"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jc w:val="center"/>
              <w:rPr>
                <w:sz w:val="20"/>
                <w:szCs w:val="20"/>
              </w:rPr>
            </w:pPr>
            <w:r w:rsidDel="00000000" w:rsidR="00000000" w:rsidRPr="00000000">
              <w:rPr>
                <w:sz w:val="20"/>
                <w:szCs w:val="20"/>
                <w:rtl w:val="0"/>
              </w:rPr>
              <w:t xml:space="preserve">&lt;8</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jc w:val="center"/>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jc w:val="center"/>
              <w:rPr>
                <w:i w:val="1"/>
                <w:sz w:val="20"/>
                <w:szCs w:val="20"/>
              </w:rPr>
            </w:pPr>
            <w:r w:rsidDel="00000000" w:rsidR="00000000" w:rsidRPr="00000000">
              <w:rPr>
                <w:i w:val="1"/>
                <w:sz w:val="20"/>
                <w:szCs w:val="20"/>
                <w:rtl w:val="0"/>
              </w:rPr>
              <w:t xml:space="preserv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center"/>
              <w:rPr>
                <w:i w:val="1"/>
                <w:sz w:val="20"/>
                <w:szCs w:val="20"/>
              </w:rPr>
            </w:pPr>
            <w:r w:rsidDel="00000000" w:rsidR="00000000" w:rsidRPr="00000000">
              <w:rPr>
                <w:i w:val="1"/>
                <w:sz w:val="20"/>
                <w:szCs w:val="20"/>
                <w:rtl w:val="0"/>
              </w:rPr>
              <w:t xml:space="preserve">nd</w:t>
            </w:r>
          </w:p>
        </w:tc>
      </w:tr>
      <w:tr>
        <w:trPr>
          <w:trHeight w:val="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jc w:val="center"/>
              <w:rPr>
                <w:sz w:val="20"/>
                <w:szCs w:val="20"/>
              </w:rPr>
            </w:pPr>
            <w:r w:rsidDel="00000000" w:rsidR="00000000" w:rsidRPr="00000000">
              <w:rPr>
                <w:sz w:val="20"/>
                <w:szCs w:val="20"/>
                <w:rtl w:val="0"/>
              </w:rPr>
              <w:t xml:space="preserve">MMV897707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jc w:val="center"/>
              <w:rPr>
                <w:sz w:val="20"/>
                <w:szCs w:val="20"/>
              </w:rPr>
            </w:pPr>
            <w:r w:rsidDel="00000000" w:rsidR="00000000" w:rsidRPr="00000000">
              <w:rPr>
                <w:sz w:val="20"/>
                <w:szCs w:val="20"/>
                <w:rtl w:val="0"/>
              </w:rPr>
              <w:t xml:space="preserve">&gt;10</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jc w:val="center"/>
              <w:rPr>
                <w:sz w:val="20"/>
                <w:szCs w:val="20"/>
              </w:rPr>
            </w:pPr>
            <w:r w:rsidDel="00000000" w:rsidR="00000000" w:rsidRPr="00000000">
              <w:rPr>
                <w:sz w:val="20"/>
                <w:szCs w:val="20"/>
                <w:rtl w:val="0"/>
              </w:rPr>
              <w:t xml:space="preserve">104</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jc w:val="center"/>
              <w:rPr>
                <w:sz w:val="20"/>
                <w:szCs w:val="20"/>
              </w:rPr>
            </w:pPr>
            <w:r w:rsidDel="00000000" w:rsidR="00000000" w:rsidRPr="00000000">
              <w:rPr>
                <w:sz w:val="20"/>
                <w:szCs w:val="20"/>
                <w:rtl w:val="0"/>
              </w:rPr>
              <w:t xml:space="preserve">213</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shd w:fill="ffa7a7"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jc w:val="center"/>
              <w:rPr>
                <w:sz w:val="20"/>
                <w:szCs w:val="20"/>
              </w:rPr>
            </w:pPr>
            <w:r w:rsidDel="00000000" w:rsidR="00000000" w:rsidRPr="00000000">
              <w:rPr>
                <w:sz w:val="20"/>
                <w:szCs w:val="20"/>
                <w:rtl w:val="0"/>
              </w:rPr>
              <w:t xml:space="preserve">12.5-25</w:t>
            </w:r>
          </w:p>
        </w:tc>
      </w:tr>
    </w:tbl>
    <w:p w:rsidR="00000000" w:rsidDel="00000000" w:rsidP="00000000" w:rsidRDefault="00000000" w:rsidRPr="00000000" w14:paraId="000002C3">
      <w:pPr>
        <w:spacing w:after="240" w:before="240" w:line="240" w:lineRule="auto"/>
        <w:rPr/>
      </w:pPr>
      <w:r w:rsidDel="00000000" w:rsidR="00000000" w:rsidRPr="00000000">
        <w:rPr>
          <w:b w:val="1"/>
          <w:sz w:val="20"/>
          <w:szCs w:val="20"/>
          <w:rtl w:val="0"/>
        </w:rPr>
        <w:t xml:space="preserve">Table X.</w:t>
      </w:r>
      <w:r w:rsidDel="00000000" w:rsidR="00000000" w:rsidRPr="00000000">
        <w:rPr>
          <w:sz w:val="20"/>
          <w:szCs w:val="20"/>
          <w:rtl w:val="0"/>
        </w:rPr>
        <w:t xml:space="preserve"> Clearance and solubility data of selected analogs. Solubility measured at pH 6.5. </w:t>
      </w:r>
      <w:r w:rsidDel="00000000" w:rsidR="00000000" w:rsidRPr="00000000">
        <w:rPr>
          <w:sz w:val="20"/>
          <w:szCs w:val="20"/>
          <w:vertAlign w:val="superscript"/>
          <w:rtl w:val="0"/>
        </w:rPr>
        <w:t xml:space="preserve">a</w:t>
      </w:r>
      <w:r w:rsidDel="00000000" w:rsidR="00000000" w:rsidRPr="00000000">
        <w:rPr>
          <w:sz w:val="20"/>
          <w:szCs w:val="20"/>
          <w:rtl w:val="0"/>
        </w:rPr>
        <w:t xml:space="preserve">Data inherited from MMV; RLM Cl</w:t>
      </w:r>
      <w:r w:rsidDel="00000000" w:rsidR="00000000" w:rsidRPr="00000000">
        <w:rPr>
          <w:sz w:val="20"/>
          <w:szCs w:val="20"/>
          <w:vertAlign w:val="subscript"/>
          <w:rtl w:val="0"/>
        </w:rPr>
        <w:t xml:space="preserve">int</w:t>
      </w:r>
      <w:r w:rsidDel="00000000" w:rsidR="00000000" w:rsidRPr="00000000">
        <w:rPr>
          <w:sz w:val="20"/>
          <w:szCs w:val="20"/>
          <w:rtl w:val="0"/>
        </w:rPr>
        <w:t xml:space="preserve"> measured instead of MLM. </w:t>
      </w:r>
      <w:r w:rsidDel="00000000" w:rsidR="00000000" w:rsidRPr="00000000">
        <w:rPr>
          <w:i w:val="1"/>
          <w:sz w:val="20"/>
          <w:szCs w:val="20"/>
          <w:rtl w:val="0"/>
        </w:rPr>
        <w:t xml:space="preserve">nd</w:t>
      </w:r>
      <w:r w:rsidDel="00000000" w:rsidR="00000000" w:rsidRPr="00000000">
        <w:rPr>
          <w:sz w:val="20"/>
          <w:szCs w:val="20"/>
          <w:rtl w:val="0"/>
        </w:rPr>
        <w:t xml:space="preserve"> = no data.</w:t>
      </w: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spacing w:line="240" w:lineRule="auto"/>
        <w:jc w:val="both"/>
        <w:rPr/>
      </w:pPr>
      <w:r w:rsidDel="00000000" w:rsidR="00000000" w:rsidRPr="00000000">
        <w:rPr>
          <w:rtl w:val="0"/>
        </w:rPr>
      </w:r>
    </w:p>
    <w:sectPr>
      <w:footerReference r:id="rId42"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rPr>
  </w:style>
  <w:style w:type="paragraph" w:styleId="Heading2">
    <w:name w:val="heading 2"/>
    <w:basedOn w:val="Normal"/>
    <w:next w:val="Normal"/>
    <w:pPr>
      <w:keepNext w:val="1"/>
      <w:keepLines w:val="1"/>
    </w:pPr>
    <w:rPr>
      <w:i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image" Target="media/image10.png"/><Relationship Id="rId22" Type="http://schemas.openxmlformats.org/officeDocument/2006/relationships/hyperlink" Target="https://github.com/OpenSourceMalaria/Series4/issues/16" TargetMode="External"/><Relationship Id="rId21" Type="http://schemas.openxmlformats.org/officeDocument/2006/relationships/hyperlink" Target="https://github.com/OpenSourceMalaria/Series4/wiki/Mechanism-of-Action%3A-Possible-PfATP4-Activity-Deduced-from-Parasite-Ion-Regulation-Assays" TargetMode="External"/><Relationship Id="rId24" Type="http://schemas.openxmlformats.org/officeDocument/2006/relationships/image" Target="media/image6.png"/><Relationship Id="rId23" Type="http://schemas.openxmlformats.org/officeDocument/2006/relationships/hyperlink" Target="http://malaria.ourexperiment.org/biological_data/11448/pos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samawsfl@protonmail.com" TargetMode="External"/><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hyperlink" Target="http://malaria.ourexperiment.org/triazolopyrazine_se/8912"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OpenSourceMalaria/Series4/issues/4" TargetMode="External"/><Relationship Id="rId7" Type="http://schemas.openxmlformats.org/officeDocument/2006/relationships/hyperlink" Target="https://github.com/OpenSourceMalaria/OSMSeries4Paper1" TargetMode="External"/><Relationship Id="rId8" Type="http://schemas.openxmlformats.org/officeDocument/2006/relationships/hyperlink" Target="mailto:matthew.todd@sydney.edu.au" TargetMode="External"/><Relationship Id="rId31" Type="http://schemas.openxmlformats.org/officeDocument/2006/relationships/image" Target="media/image17.png"/><Relationship Id="rId30" Type="http://schemas.openxmlformats.org/officeDocument/2006/relationships/hyperlink" Target="https://github.com/OpenSourceMalaria/OSM_To_Do_List/issues/147" TargetMode="External"/><Relationship Id="rId11" Type="http://schemas.openxmlformats.org/officeDocument/2006/relationships/image" Target="media/image7.png"/><Relationship Id="rId33" Type="http://schemas.openxmlformats.org/officeDocument/2006/relationships/hyperlink" Target="https://github.com/OpenSourceMalaria/OSM_To_Do_List/issues/397" TargetMode="External"/><Relationship Id="rId10" Type="http://schemas.openxmlformats.org/officeDocument/2006/relationships/image" Target="media/image9.png"/><Relationship Id="rId32" Type="http://schemas.openxmlformats.org/officeDocument/2006/relationships/hyperlink" Target="https://github.com/OpenSourceMalaria/Series4/issues/4" TargetMode="External"/><Relationship Id="rId13" Type="http://schemas.openxmlformats.org/officeDocument/2006/relationships/image" Target="media/image13.png"/><Relationship Id="rId35" Type="http://schemas.openxmlformats.org/officeDocument/2006/relationships/hyperlink" Target="https://github.com/OpenSourceMalaria/Series4/wiki/Potency-vs.-Resistant-Strains" TargetMode="External"/><Relationship Id="rId12" Type="http://schemas.openxmlformats.org/officeDocument/2006/relationships/hyperlink" Target="https://www.mmv.org/research-development/information-scientists" TargetMode="External"/><Relationship Id="rId34" Type="http://schemas.openxmlformats.org/officeDocument/2006/relationships/hyperlink" Target="https://github.com/OpenSourceMalaria/Series4/issues/12" TargetMode="External"/><Relationship Id="rId15" Type="http://schemas.openxmlformats.org/officeDocument/2006/relationships/image" Target="media/image15.png"/><Relationship Id="rId37" Type="http://schemas.openxmlformats.org/officeDocument/2006/relationships/hyperlink" Target="http://www.jbc.org/content/185/2/499.citation" TargetMode="External"/><Relationship Id="rId14" Type="http://schemas.openxmlformats.org/officeDocument/2006/relationships/image" Target="media/image8.png"/><Relationship Id="rId36" Type="http://schemas.openxmlformats.org/officeDocument/2006/relationships/hyperlink" Target="http://dx.doi.org/10.21228/M8C10N" TargetMode="External"/><Relationship Id="rId17" Type="http://schemas.openxmlformats.org/officeDocument/2006/relationships/image" Target="media/image12.png"/><Relationship Id="rId39" Type="http://schemas.openxmlformats.org/officeDocument/2006/relationships/image" Target="media/image2.png"/><Relationship Id="rId16" Type="http://schemas.openxmlformats.org/officeDocument/2006/relationships/image" Target="media/image4.png"/><Relationship Id="rId38" Type="http://schemas.openxmlformats.org/officeDocument/2006/relationships/hyperlink" Target="https://www.who.int/malaria/publications/world-malaria-report-2017/en/" TargetMode="External"/><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Issue>93</b:Issue>
    <b:Volume>18</b:Volume>
    <b:Month>March</b:Month>
    <b:Day>22</b:Day>
    <b:Year>2019</b:Year>
    <b:Pages>1-21</b:Pages>
    <b:SourceType>JournalArticle</b:SourceType>
    <b:URL>https://doi.org/10.1186/s12936-019-2724-z</b:URL>
    <b:Title>The past, present and future of anti-malarial medicines</b:Title>
    <b:StandardNumber>10.1186/s12936-019-2724-z</b:StandardNumber>
    <b:JournalName>Malaria Journal</b:JournalName>
    <b:Gdcea>{"AccessedType":"Website"}</b:Gdcea>
    <b:Author>
      <b:Author>
        <b:NameList>
          <b:Person>
            <b:First>Edwin</b:First>
            <b:Middle>G</b:Middle>
            <b:Last>Tse</b:Last>
          </b:Person>
          <b:Person>
            <b:First>Marat</b:First>
            <b:Last>Korsik</b:Last>
          </b:Person>
          <b:Person>
            <b:First>Matthew</b:First>
            <b:Middle>H</b:Middle>
            <b:Last>Todd</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