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82D" w:rsidRPr="00F1382D" w:rsidRDefault="00F1382D" w:rsidP="00F1382D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</w:pPr>
      <w:r w:rsidRPr="00F1382D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3-(4-Chlorophenyl)-5-((3</w:t>
      </w:r>
      <w:proofErr w:type="gramStart"/>
      <w:r w:rsidRPr="00F1382D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,4</w:t>
      </w:r>
      <w:proofErr w:type="gramEnd"/>
      <w:r w:rsidRPr="00F1382D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-difluorobenzyl)oxy)-[1,2,4]triazolo[4,3-a]pyrazine, OSM-S-259</w:t>
      </w:r>
    </w:p>
    <w:p w:rsidR="00F1382D" w:rsidRPr="00F1382D" w:rsidRDefault="00F1382D" w:rsidP="00F1382D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noProof/>
          <w:spacing w:val="0"/>
          <w:kern w:val="0"/>
          <w:sz w:val="22"/>
          <w:szCs w:val="22"/>
          <w:highlight w:val="magenta"/>
          <w:lang w:val="en-US"/>
        </w:rPr>
      </w:pPr>
      <w:r w:rsidRPr="00F1382D">
        <w:rPr>
          <w:rFonts w:ascii="Times New Roman" w:eastAsia="MS Mincho" w:hAnsi="Times New Roman" w:cs="Times New Roman"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4951F457" wp14:editId="68177CF4">
            <wp:extent cx="1219200" cy="1490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82D" w:rsidRPr="00F1382D" w:rsidRDefault="00F1382D" w:rsidP="00F1382D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AU"/>
        </w:rPr>
      </w:pP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AU"/>
        </w:rPr>
        <w:t>Representative Example: http://malaria.ourexperiment.org/uri/68a</w:t>
      </w:r>
    </w:p>
    <w:p w:rsidR="00F1382D" w:rsidRPr="00F1382D" w:rsidRDefault="00F1382D" w:rsidP="00F1382D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AU"/>
        </w:rPr>
      </w:pP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Prepared according to General Procedure </w:t>
      </w:r>
      <w:r w:rsidRPr="00F1382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AU"/>
        </w:rPr>
        <w:t>D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from: </w:t>
      </w:r>
      <w:r w:rsidRPr="00F1382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AU"/>
        </w:rPr>
        <w:t>OSM-S-2</w:t>
      </w:r>
      <w:bookmarkStart w:id="0" w:name="_GoBack"/>
      <w:bookmarkEnd w:id="0"/>
      <w:r w:rsidRPr="00F1382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AU"/>
        </w:rPr>
        <w:t>20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(154 mg, 0.58 </w:t>
      </w:r>
      <w:proofErr w:type="spellStart"/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mmol</w:t>
      </w:r>
      <w:proofErr w:type="spellEnd"/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, 1.0 equiv.), </w:t>
      </w:r>
      <w:r w:rsidRPr="00F1382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AU"/>
        </w:rPr>
        <w:t>OSM-S-XXX</w:t>
      </w:r>
      <w:r w:rsidRPr="00F1382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AU"/>
        </w:rPr>
        <w:t xml:space="preserve"> 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(80 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μ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L, 100 mg, 0.69 </w:t>
      </w:r>
      <w:proofErr w:type="spellStart"/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mmol</w:t>
      </w:r>
      <w:proofErr w:type="spellEnd"/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, 1.2 equiv.), KOH (110 mg, 2.00 </w:t>
      </w:r>
      <w:proofErr w:type="spellStart"/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mmol</w:t>
      </w:r>
      <w:proofErr w:type="spellEnd"/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, 3.4 equiv.) and 18-crown-6 (18 mg, 0.07 </w:t>
      </w:r>
      <w:proofErr w:type="spellStart"/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mmol</w:t>
      </w:r>
      <w:proofErr w:type="spellEnd"/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, 0.12 equiv.); 40 ˚C, 1.25 h; purified by automated flash chromatography over silica (</w:t>
      </w:r>
      <w:proofErr w:type="spellStart"/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Biotage</w:t>
      </w:r>
      <w:proofErr w:type="spellEnd"/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</w:t>
      </w:r>
      <w:proofErr w:type="spellStart"/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Isolera</w:t>
      </w:r>
      <w:proofErr w:type="spellEnd"/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, 30–100% </w:t>
      </w:r>
      <w:proofErr w:type="spellStart"/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EtOAc</w:t>
      </w:r>
      <w:proofErr w:type="spellEnd"/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in hexanes) to give the title compound as fluffy white needles (86 mg, 38%); </w:t>
      </w:r>
      <w:proofErr w:type="spellStart"/>
      <w:r w:rsidRPr="00F1382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AU"/>
        </w:rPr>
        <w:t>m.p</w:t>
      </w:r>
      <w:proofErr w:type="spellEnd"/>
      <w:r w:rsidRPr="00F1382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AU"/>
        </w:rPr>
        <w:t>.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181–182 °C; </w:t>
      </w:r>
      <w:r w:rsidRPr="00F1382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AU"/>
        </w:rPr>
        <w:t xml:space="preserve">IR </w:t>
      </w:r>
      <w:proofErr w:type="spellStart"/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ν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AU"/>
        </w:rPr>
        <w:t>max</w:t>
      </w:r>
      <w:proofErr w:type="spellEnd"/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(film)/cm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AU"/>
        </w:rPr>
        <w:t>-1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3070, 1612, 1509, 1303; </w:t>
      </w:r>
      <w:r w:rsidRPr="00F1382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AU"/>
        </w:rPr>
        <w:t>1</w:t>
      </w:r>
      <w:r w:rsidRPr="00F1382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AU"/>
        </w:rPr>
        <w:t>H NMR</w:t>
      </w:r>
      <w:r w:rsidRPr="00F1382D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AU"/>
        </w:rPr>
        <w:t xml:space="preserve"> 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(500 MHz; DMSO-d</w:t>
      </w:r>
      <w:r w:rsidRPr="00F1382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vertAlign w:val="subscript"/>
          <w:lang w:val="en-AU"/>
        </w:rPr>
        <w:t>6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)</w:t>
      </w:r>
      <w:r w:rsidRPr="00F1382D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AU"/>
        </w:rPr>
        <w:t xml:space="preserve"> 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δ: 9.11 (1H, s), 7.67 (1H, s), 7.66–7.64 (2H, m), 7.36–7.33 (2H, m), 7.13–7.05 (3H, m), 5.29 (2H, s); </w:t>
      </w:r>
      <w:r w:rsidRPr="00F1382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AU"/>
        </w:rPr>
        <w:t>13</w:t>
      </w:r>
      <w:r w:rsidRPr="00F1382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AU"/>
        </w:rPr>
        <w:t>C NMR</w:t>
      </w:r>
      <w:r w:rsidRPr="00F1382D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AU"/>
        </w:rPr>
        <w:t xml:space="preserve"> 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(126 MHz; DMSO-d</w:t>
      </w:r>
      <w:r w:rsidRPr="00F1382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vertAlign w:val="subscript"/>
          <w:lang w:val="en-AU"/>
        </w:rPr>
        <w:t>6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)</w:t>
      </w:r>
      <w:r w:rsidRPr="00F1382D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AU"/>
        </w:rPr>
        <w:t xml:space="preserve"> 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δ: 147.4, 145.4, 143.8, 135.4, 134.6, 132.4, 127.4, 126.7, 131.7 (2C), 125.4 (2C), 117.4, 117.3, 109.2, 70.9; </w:t>
      </w:r>
      <w:r w:rsidRPr="00F1382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AU"/>
        </w:rPr>
        <w:t>m/z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(APCI+) 373 [M+H]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AU"/>
        </w:rPr>
        <w:t>+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; </w:t>
      </w:r>
      <w:r w:rsidRPr="00F1382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AU"/>
        </w:rPr>
        <w:t>HRMS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(APCI+) found 373.06609 [M+H]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AU"/>
        </w:rPr>
        <w:t>+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, C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AU"/>
        </w:rPr>
        <w:t>18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H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AU"/>
        </w:rPr>
        <w:t>12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ClF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AU"/>
        </w:rPr>
        <w:t>2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N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AU"/>
        </w:rPr>
        <w:t>4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O requires 373.06622.</w:t>
      </w:r>
    </w:p>
    <w:p w:rsidR="00F1382D" w:rsidRPr="00F1382D" w:rsidRDefault="00F1382D" w:rsidP="00F1382D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</w:pP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>Part 1 of this procedure was adapted from a procedure developed by Ms Katrina Badiola.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AU"/>
        </w:rPr>
        <w:fldChar w:fldCharType="begin"/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AU"/>
        </w:rPr>
        <w:instrText xml:space="preserve"> ADDIN EN.CITE &lt;EndNote&gt;&lt;Cite&gt;&lt;Author&gt;Badiola&lt;/Author&gt;&lt;Year&gt;2013&lt;/Year&gt;&lt;RecNum&gt;58&lt;/RecNum&gt;&lt;DisplayText&gt;&lt;style face="superscript"&gt;78&lt;/style&gt;&lt;/DisplayText&gt;&lt;record&gt;&lt;rec-number&gt;58&lt;/rec-number&gt;&lt;foreign-keys&gt;&lt;key app="EN" db-id="vaf9pt29qtxwt0e952v550ejrpvfw2asfdsw" timestamp="1414724006"&gt;58&lt;/key&gt;&lt;/foreign-keys&gt;&lt;ref-type name="Blog"&gt;56&lt;/ref-type&gt;&lt;contributors&gt;&lt;authors&gt;&lt;author&gt;Katrina Badiola&lt;/author&gt;&lt;/authors&gt;&lt;/contributors&gt;&lt;titles&gt;&lt;title&gt;NaBH4 mediated reduction to give 2,3-dihydrobenzob-1,4-dioxin-6-ylmethanol KAB83-2&lt;/title&gt;&lt;/titles&gt;&lt;dates&gt;&lt;year&gt;2013&lt;/year&gt;&lt;/dates&gt;&lt;urls&gt;&lt;related-urls&gt;&lt;url&gt;http://118.138.241.43/spiros/1231/NaBH4mediated_reduction_to_give_23dihydrobenzob14dioxin6ylmethanol_KAB832.html&lt;/url&gt;&lt;/related-urls&gt;&lt;/urls&gt;&lt;electronic-resource-num&gt;118.138.241.43&lt;/electronic-resource-num&gt;&lt;/record&gt;&lt;/Cite&gt;&lt;/EndNote&gt;</w:instrTex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AU"/>
        </w:rPr>
        <w:fldChar w:fldCharType="separate"/>
      </w:r>
      <w:r w:rsidRPr="00F1382D">
        <w:rPr>
          <w:rFonts w:ascii="Times New Roman" w:eastAsia="MS Mincho" w:hAnsi="Times New Roman" w:cs="Times New Roman"/>
          <w:noProof/>
          <w:spacing w:val="0"/>
          <w:kern w:val="0"/>
          <w:sz w:val="22"/>
          <w:szCs w:val="22"/>
          <w:highlight w:val="magenta"/>
          <w:vertAlign w:val="superscript"/>
          <w:lang w:val="en-AU"/>
        </w:rPr>
        <w:t>78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AU"/>
        </w:rPr>
        <w:fldChar w:fldCharType="end"/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 xml:space="preserve"> To a dry flask was added 3</w:t>
      </w:r>
      <w:proofErr w:type="gramStart"/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>,4</w:t>
      </w:r>
      <w:proofErr w:type="gramEnd"/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 xml:space="preserve">-difluorobenzaldehyde (0.4 mL, 520 mg, 3.7 </w:t>
      </w:r>
      <w:proofErr w:type="spellStart"/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>mmol</w:t>
      </w:r>
      <w:proofErr w:type="spellEnd"/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 xml:space="preserve">, 1.0 equiv.) and tetrahydrofuran (10 mL). The mixture was cooled in an ice bath (0 °C) under argon. Sodium borohydride (500 mg, 13.0 </w:t>
      </w:r>
      <w:proofErr w:type="spellStart"/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>mmol</w:t>
      </w:r>
      <w:proofErr w:type="spellEnd"/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 xml:space="preserve">, 3.5 equiv.) was added carefully in portions. The reaction mixture was stirred for 15 min on ice before warming to room temperature and stirring for a further 25 min. The solution was adjusted to pH 7 with hydrochloric acid (1 M) and extracted with dichloromethane (3 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US"/>
        </w:rPr>
        <w:t>×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 xml:space="preserve"> 15 mL). The combined organic fractions were dried (MgSO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vertAlign w:val="subscript"/>
          <w:lang w:val="en-AU"/>
        </w:rPr>
        <w:t>4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 xml:space="preserve">) and concentrated under reduced pressure and dried </w:t>
      </w:r>
      <w:r w:rsidRPr="00F1382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highlight w:val="magenta"/>
          <w:lang w:val="en-AU"/>
        </w:rPr>
        <w:t>in vacuo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 xml:space="preserve"> to give the crude material ((3</w:t>
      </w:r>
      <w:proofErr w:type="gramStart"/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>,4</w:t>
      </w:r>
      <w:proofErr w:type="gramEnd"/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 xml:space="preserve">-difluorophenyl)methanol) as a pale yellow oil (620 mg, 116%). The identity of the crude material was verified by 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vertAlign w:val="superscript"/>
          <w:lang w:val="en-AU"/>
        </w:rPr>
        <w:t>1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>H NMR (CDCl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vertAlign w:val="subscript"/>
          <w:lang w:val="en-AU"/>
        </w:rPr>
        <w:t>3</w:t>
      </w:r>
      <w:r w:rsidRPr="00F1382D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lang w:val="en-AU"/>
        </w:rPr>
        <w:t xml:space="preserve">) and carried through to the next step without purification. </w:t>
      </w:r>
    </w:p>
    <w:p w:rsidR="00F1382D" w:rsidRPr="00F1382D" w:rsidRDefault="00F1382D" w:rsidP="00F1382D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</w:pPr>
      <w:proofErr w:type="spellStart"/>
      <w:r w:rsidRPr="00F1382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  <w:t>ClC</w:t>
      </w:r>
      <w:proofErr w:type="spellEnd"/>
      <w:r w:rsidRPr="00F1382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  <w:t>(C=C1</w:t>
      </w:r>
      <w:proofErr w:type="gramStart"/>
      <w:r w:rsidRPr="00F1382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  <w:t>)=</w:t>
      </w:r>
      <w:proofErr w:type="gramEnd"/>
      <w:r w:rsidRPr="00F1382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  <w:t>CC=C1C2=NN=C3C=NC=C(OCC4=CC=C(F)C(F)=C4)N32</w:t>
      </w:r>
    </w:p>
    <w:p w:rsidR="00F1382D" w:rsidRPr="00F1382D" w:rsidRDefault="00F1382D" w:rsidP="00F1382D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</w:pPr>
      <w:r w:rsidRPr="00F1382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  <w:t>InChI=1S/C18H11ClF2N4O/c19-13-4-2-12(3-5-13)18-24-23-16-8-22-9-17(25(16)18)26-10-11-1-6-14(20)15(21)7-11/h1-9H</w:t>
      </w:r>
      <w:proofErr w:type="gramStart"/>
      <w:r w:rsidRPr="00F1382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  <w:t>,10H2</w:t>
      </w:r>
      <w:proofErr w:type="gramEnd"/>
    </w:p>
    <w:p w:rsidR="00920EED" w:rsidRDefault="00920EED"/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82D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F1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8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82D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8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82D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2017-08-15T03:49:00Z</dcterms:created>
  <dcterms:modified xsi:type="dcterms:W3CDTF">2017-08-15T03:49:00Z</dcterms:modified>
</cp:coreProperties>
</file>