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32" w:rsidRPr="00950D32" w:rsidRDefault="00950D32" w:rsidP="00950D3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50D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</w:t>
      </w:r>
      <w:proofErr w:type="spellStart"/>
      <w:r w:rsidRPr="00950D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Benzylsulfonyl</w:t>
      </w:r>
      <w:proofErr w:type="spellEnd"/>
      <w:r w:rsidRPr="00950D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)-6-chloropyrazine, </w:t>
      </w:r>
      <w:r w:rsidRPr="00950D3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950D32" w:rsidRPr="00950D32" w:rsidRDefault="00950D32" w:rsidP="00950D3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50D32" w:rsidRPr="00950D32" w:rsidRDefault="00950D32" w:rsidP="00950D3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50D32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38633D8" wp14:editId="6E7FB68A">
            <wp:extent cx="1484358" cy="766230"/>
            <wp:effectExtent l="0" t="0" r="0" b="0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58" cy="7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2" w:rsidRPr="00950D32" w:rsidRDefault="00950D32" w:rsidP="00950D32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highlight w:val="magenta"/>
          <w:lang w:val="en-AU"/>
        </w:rPr>
      </w:pPr>
    </w:p>
    <w:p w:rsidR="00950D32" w:rsidRPr="00950D32" w:rsidRDefault="00950D32" w:rsidP="00950D32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950D32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http://bit.ly/2kxy3zm</w:t>
      </w:r>
    </w:p>
    <w:p w:rsidR="00950D32" w:rsidRPr="00950D32" w:rsidRDefault="00950D32" w:rsidP="00950D32">
      <w:pPr>
        <w:spacing w:line="360" w:lineRule="auto"/>
        <w:ind w:left="6" w:hanging="6"/>
        <w:mirrorIndents w:val="0"/>
        <w:outlineLvl w:val="0"/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</w:pP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Sodium hydride (1.60 g, 67.1 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was added to benzyl 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mercaptan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(8 mL, 67.1 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(64 mL). The mixture was heated to reflux for 1 h, then cooled to 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a solution of 2</w:t>
      </w:r>
      <w:proofErr w:type="gram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,6</w:t>
      </w:r>
      <w:proofErr w:type="gram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-dichloropyrazine (10.0 g, 67.1 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(64 mL) was added. The mixture was heated to reflux for 24 h, cooled to </w:t>
      </w:r>
      <w:proofErr w:type="spellStart"/>
      <w:proofErr w:type="gram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then washed with water (80 mL). The organic layer was separated, dried (Na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), filtered and concentrated under reduced pressure to give the crude sulfide as a yellow liquid (16.9 g, &gt;100%). The crude product (4.91 g, 20.7 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acetic acid (50 mL) was added to a solution of potassium permanganate (3.5 g) in water (28 mL) and the mixture was stirred at </w:t>
      </w:r>
      <w:proofErr w:type="spellStart"/>
      <w:proofErr w:type="gram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for 1 h. The mixture was adjusted to pH 7 with NH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OH solution (40 mL) then filtered, extracted with CHCl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(3 x 100 mL), dried (Na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), filtered and concentrated under reduced pressure to give a cloudy yellow liquid (3.14 g, 56%); purified by automated flash chromatography on silica (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6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950D32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75% ethyl acetate in hexanes) to give the title compound as a large white crystals (1.31 g, 24%); </w:t>
      </w:r>
      <w:proofErr w:type="spellStart"/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IR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1334, 1119;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 NMR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(300 MHz, CDCl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8.85 (1H, s), 8.79 (1H, s), 7.54–7.05 (5H, m), 4,65 (2H, s); 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13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 NMR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(75 MHz, CDCl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151.20, 149.31, 148.73, 141.40, 131.18, 129.41, 129.11, 126.39, 58.98; 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  <w:t xml:space="preserve">m/z 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  <w:t>(ESI+) 290.97 [</w:t>
      </w:r>
      <w:proofErr w:type="spellStart"/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  <w:t>M+Na</w:t>
      </w:r>
      <w:proofErr w:type="spellEnd"/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  <w:t>]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vertAlign w:val="superscript"/>
          <w:lang w:val="en-AU"/>
        </w:rPr>
        <w:t>+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  <w:t xml:space="preserve"> 100%, 558.93 [2M+Na]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vertAlign w:val="superscript"/>
          <w:lang w:val="en-AU"/>
        </w:rPr>
        <w:t>+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  <w:t xml:space="preserve"> 74%;</w:t>
      </w:r>
      <w:r w:rsidRPr="00950D32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HRMS</w:t>
      </w:r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(ESI+) found 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290.99692</w:t>
      </w:r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[</w:t>
      </w:r>
      <w:proofErr w:type="spellStart"/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M+Na</w:t>
      </w:r>
      <w:proofErr w:type="spellEnd"/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]</w:t>
      </w:r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, 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C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11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H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9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ClN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2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O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2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SNa</w:t>
      </w:r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950D32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290.99652</w:t>
      </w:r>
      <w:r w:rsidRPr="00950D32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950D32" w:rsidRPr="00950D32" w:rsidRDefault="00950D32" w:rsidP="00950D3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50D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950D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950D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CC2=CC=CC=C2)(=O)=O)=CN=C1</w:t>
      </w:r>
    </w:p>
    <w:p w:rsidR="00950D32" w:rsidRPr="00950D32" w:rsidRDefault="00950D32" w:rsidP="00950D32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50D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InChI=1S/C11H9ClN2O2S/c12-10-6-13-7-11(14-10)17(15</w:t>
      </w:r>
      <w:proofErr w:type="gramStart"/>
      <w:r w:rsidRPr="00950D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,16</w:t>
      </w:r>
      <w:proofErr w:type="gramEnd"/>
      <w:r w:rsidRPr="00950D3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)8-9-4-2-1-3-5-9/h1-7H,8H2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32"/>
    <w:rsid w:val="002E408A"/>
    <w:rsid w:val="00326A75"/>
    <w:rsid w:val="003604C6"/>
    <w:rsid w:val="0037323D"/>
    <w:rsid w:val="003D5DE5"/>
    <w:rsid w:val="005E08DD"/>
    <w:rsid w:val="00705066"/>
    <w:rsid w:val="00920EED"/>
    <w:rsid w:val="00950D32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3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3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2017-08-14T23:45:00Z</dcterms:created>
  <dcterms:modified xsi:type="dcterms:W3CDTF">2017-08-14T23:46:00Z</dcterms:modified>
</cp:coreProperties>
</file>