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4B" w:rsidRPr="0052364B" w:rsidRDefault="0052364B" w:rsidP="0052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2-(3</w:t>
      </w:r>
      <w:proofErr w:type="gramStart"/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-Difluorophenyl)-2-((</w:t>
      </w:r>
      <w:proofErr w:type="spellStart"/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trimethylsilyl</w:t>
      </w:r>
      <w:proofErr w:type="spellEnd"/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)oxy)acetonitrile, OSM-S-226</w:t>
      </w:r>
    </w:p>
    <w:p w:rsidR="0052364B" w:rsidRPr="0052364B" w:rsidRDefault="0052364B" w:rsidP="0052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52364B" w:rsidRPr="0052364B" w:rsidRDefault="0052364B" w:rsidP="0052364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2364B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A0ADEC9" wp14:editId="7E11963D">
            <wp:extent cx="1041400" cy="72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4B" w:rsidRPr="0052364B" w:rsidRDefault="0052364B" w:rsidP="0052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52364B" w:rsidRPr="0052364B" w:rsidRDefault="0052364B" w:rsidP="0052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http://malaria.ourexperiment.org/uri/486</w:t>
      </w:r>
    </w:p>
    <w:p w:rsidR="0052364B" w:rsidRPr="0052364B" w:rsidRDefault="0052364B" w:rsidP="0052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Freshly dried zinc chloride (0.96 g, 7.00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 was weighed into an oven-dried flask under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Ar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and 3,4-difluorobenzaldehyde (1.00 g, 7.00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in CH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 (6 mL) was added at 0 ˚C.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Trimethylsilyl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cyanide (0.70 g, 0.90 mL, 7.00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was added at 0 ˚C and the reaction mixture stirred in an ice bath for 30 min before being allowed to warm to </w:t>
      </w:r>
      <w:proofErr w:type="spellStart"/>
      <w:proofErr w:type="gram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rt</w:t>
      </w:r>
      <w:proofErr w:type="spellEnd"/>
      <w:proofErr w:type="gram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whilst stirring overnight. The reaction mixture was poured over water (12 mL), extracted with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 × 20 mL), dried (MgSO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filtered and evaporated to give the crude title compound as a straw </w:t>
      </w:r>
      <w:proofErr w:type="spell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coloured</w:t>
      </w:r>
      <w:proofErr w:type="spell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oil (1.38 g, 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%) containing a 0.1:1:0.4 mixture of starting material: 2-(3,4-difluorophenyl)-2-hydroxyacetonitrile: </w:t>
      </w:r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OSM-S-266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. The oil was used as crude in the next reaction; </w:t>
      </w:r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52364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(200 MHz, CDCl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</w:t>
      </w:r>
      <w:r w:rsidRPr="0052364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lang w:val="en-US"/>
        </w:rPr>
        <w:t xml:space="preserve"> 7.44–7.18 (3H, m),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5.54 (1H, s), 0.25 (3H, s).</w:t>
      </w:r>
    </w:p>
    <w:p w:rsidR="0052364B" w:rsidRPr="0052364B" w:rsidRDefault="0052364B" w:rsidP="0052364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2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52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52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F)C=C(C(C#N)O[Si](C)(C)C)C=C1</w:t>
      </w:r>
    </w:p>
    <w:p w:rsidR="0052364B" w:rsidRPr="0052364B" w:rsidRDefault="0052364B" w:rsidP="0052364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2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InChI=1S/C11H13F2NOSi/c1-16(2</w:t>
      </w:r>
      <w:proofErr w:type="gramStart"/>
      <w:r w:rsidRPr="0052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,3</w:t>
      </w:r>
      <w:proofErr w:type="gramEnd"/>
      <w:r w:rsidRPr="0052364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)15-11(7-14)8-4-5-9(12)10(13)6-8/h4-6,11H,1-3H3</w:t>
      </w:r>
    </w:p>
    <w:p w:rsidR="0052364B" w:rsidRPr="0052364B" w:rsidRDefault="0052364B" w:rsidP="0052364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proofErr w:type="gramStart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Data in accordance with CRO briefing document.</w:t>
      </w:r>
      <w:proofErr w:type="gramEnd"/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endnoteReference w:id="1"/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Procedure adapted from the literature.</w:t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endnoteReference w:id="2"/>
      </w:r>
      <w:r w:rsidRPr="0052364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930" w:rsidRDefault="000A3930" w:rsidP="0052364B">
      <w:pPr>
        <w:spacing w:line="240" w:lineRule="auto"/>
      </w:pPr>
      <w:r>
        <w:separator/>
      </w:r>
    </w:p>
  </w:endnote>
  <w:endnote w:type="continuationSeparator" w:id="0">
    <w:p w:rsidR="000A3930" w:rsidRDefault="000A3930" w:rsidP="0052364B">
      <w:pPr>
        <w:spacing w:line="240" w:lineRule="auto"/>
      </w:pPr>
      <w:r>
        <w:continuationSeparator/>
      </w:r>
    </w:p>
  </w:endnote>
  <w:endnote w:id="1">
    <w:p w:rsidR="0052364B" w:rsidRPr="00633A3D" w:rsidRDefault="0052364B" w:rsidP="0052364B">
      <w:pPr>
        <w:pStyle w:val="EndnoteText"/>
        <w:spacing w:line="360" w:lineRule="auto"/>
        <w:rPr>
          <w:rFonts w:ascii="Times New Roman" w:hAnsi="Times New Roman" w:cs="Times New Roman"/>
        </w:rPr>
      </w:pPr>
      <w:r w:rsidRPr="00633A3D">
        <w:rPr>
          <w:rStyle w:val="EndnoteReference"/>
          <w:rFonts w:ascii="Times New Roman" w:hAnsi="Times New Roman" w:cs="Times New Roman"/>
        </w:rPr>
        <w:endnoteRef/>
      </w:r>
      <w:r w:rsidRPr="00633A3D">
        <w:rPr>
          <w:rFonts w:ascii="Times New Roman" w:hAnsi="Times New Roman" w:cs="Times New Roman"/>
        </w:rPr>
        <w:t xml:space="preserve"> </w:t>
      </w:r>
      <w:r w:rsidRPr="00633A3D">
        <w:rPr>
          <w:rFonts w:ascii="Times New Roman" w:hAnsi="Times New Roman" w:cs="Times New Roman"/>
          <w:highlight w:val="magenta"/>
        </w:rPr>
        <w:t>CRO Briefing Document Link</w:t>
      </w:r>
    </w:p>
  </w:endnote>
  <w:endnote w:id="2">
    <w:p w:rsidR="0052364B" w:rsidRDefault="0052364B" w:rsidP="0052364B">
      <w:pPr>
        <w:spacing w:line="360" w:lineRule="auto"/>
        <w:ind w:right="-7"/>
        <w:textAlignment w:val="baseline"/>
        <w:outlineLvl w:val="0"/>
      </w:pPr>
      <w:r w:rsidRPr="00633A3D">
        <w:rPr>
          <w:rStyle w:val="EndnoteReference"/>
          <w:rFonts w:ascii="Times New Roman" w:hAnsi="Times New Roman" w:cs="Times New Roman"/>
        </w:rPr>
        <w:endnoteRef/>
      </w:r>
      <w:r w:rsidRPr="00633A3D">
        <w:rPr>
          <w:rFonts w:ascii="Times New Roman" w:hAnsi="Times New Roman" w:cs="Times New Roman"/>
        </w:rPr>
        <w:t xml:space="preserve"> </w:t>
      </w:r>
      <w:proofErr w:type="spellStart"/>
      <w:r w:rsidRPr="00633A3D">
        <w:rPr>
          <w:rFonts w:ascii="Times New Roman" w:hAnsi="Times New Roman" w:cs="Times New Roman"/>
        </w:rPr>
        <w:t>Massolini</w:t>
      </w:r>
      <w:proofErr w:type="spellEnd"/>
      <w:r w:rsidRPr="00633A3D">
        <w:rPr>
          <w:rFonts w:ascii="Times New Roman" w:hAnsi="Times New Roman" w:cs="Times New Roman"/>
        </w:rPr>
        <w:t xml:space="preserve"> G, </w:t>
      </w:r>
      <w:proofErr w:type="spellStart"/>
      <w:r w:rsidRPr="00633A3D">
        <w:rPr>
          <w:rFonts w:ascii="Times New Roman" w:hAnsi="Times New Roman" w:cs="Times New Roman"/>
        </w:rPr>
        <w:t>Fracchiolla</w:t>
      </w:r>
      <w:proofErr w:type="spellEnd"/>
      <w:r w:rsidRPr="00633A3D">
        <w:rPr>
          <w:rFonts w:ascii="Times New Roman" w:hAnsi="Times New Roman" w:cs="Times New Roman"/>
        </w:rPr>
        <w:t xml:space="preserve"> G, </w:t>
      </w:r>
      <w:proofErr w:type="spellStart"/>
      <w:r w:rsidRPr="00633A3D">
        <w:rPr>
          <w:rFonts w:ascii="Times New Roman" w:hAnsi="Times New Roman" w:cs="Times New Roman"/>
        </w:rPr>
        <w:t>Calleri</w:t>
      </w:r>
      <w:proofErr w:type="spellEnd"/>
      <w:r w:rsidRPr="00633A3D">
        <w:rPr>
          <w:rFonts w:ascii="Times New Roman" w:hAnsi="Times New Roman" w:cs="Times New Roman"/>
        </w:rPr>
        <w:t xml:space="preserve"> E, Carbonara G, </w:t>
      </w:r>
      <w:proofErr w:type="spellStart"/>
      <w:r w:rsidRPr="00633A3D">
        <w:rPr>
          <w:rFonts w:ascii="Times New Roman" w:hAnsi="Times New Roman" w:cs="Times New Roman"/>
        </w:rPr>
        <w:t>Temporini</w:t>
      </w:r>
      <w:proofErr w:type="spellEnd"/>
      <w:r w:rsidRPr="00633A3D">
        <w:rPr>
          <w:rFonts w:ascii="Times New Roman" w:hAnsi="Times New Roman" w:cs="Times New Roman"/>
        </w:rPr>
        <w:t xml:space="preserve"> C, </w:t>
      </w:r>
      <w:proofErr w:type="spellStart"/>
      <w:r w:rsidRPr="00633A3D">
        <w:rPr>
          <w:rFonts w:ascii="Times New Roman" w:hAnsi="Times New Roman" w:cs="Times New Roman"/>
        </w:rPr>
        <w:t>Lavecchia</w:t>
      </w:r>
      <w:proofErr w:type="spellEnd"/>
      <w:r w:rsidRPr="00633A3D">
        <w:rPr>
          <w:rFonts w:ascii="Times New Roman" w:hAnsi="Times New Roman" w:cs="Times New Roman"/>
        </w:rPr>
        <w:t xml:space="preserve"> A, </w:t>
      </w:r>
      <w:proofErr w:type="spellStart"/>
      <w:r w:rsidRPr="00633A3D">
        <w:rPr>
          <w:rFonts w:ascii="Times New Roman" w:hAnsi="Times New Roman" w:cs="Times New Roman"/>
        </w:rPr>
        <w:t>Cosconati</w:t>
      </w:r>
      <w:proofErr w:type="spellEnd"/>
      <w:r w:rsidRPr="00633A3D">
        <w:rPr>
          <w:rFonts w:ascii="Times New Roman" w:hAnsi="Times New Roman" w:cs="Times New Roman"/>
        </w:rPr>
        <w:t xml:space="preserve"> S, Novellino E, </w:t>
      </w:r>
      <w:proofErr w:type="spellStart"/>
      <w:r w:rsidRPr="00633A3D">
        <w:rPr>
          <w:rFonts w:ascii="Times New Roman" w:hAnsi="Times New Roman" w:cs="Times New Roman"/>
        </w:rPr>
        <w:t>Loiodice</w:t>
      </w:r>
      <w:proofErr w:type="spellEnd"/>
      <w:r w:rsidRPr="00633A3D">
        <w:rPr>
          <w:rFonts w:ascii="Times New Roman" w:hAnsi="Times New Roman" w:cs="Times New Roman"/>
        </w:rPr>
        <w:t xml:space="preserve"> F (2006) </w:t>
      </w:r>
      <w:r w:rsidRPr="00633A3D">
        <w:rPr>
          <w:rFonts w:ascii="Times New Roman" w:eastAsia="Times New Roman" w:hAnsi="Times New Roman" w:cs="Times New Roman"/>
          <w:bCs/>
          <w:color w:val="000000"/>
          <w:kern w:val="36"/>
          <w:bdr w:val="none" w:sz="0" w:space="0" w:color="auto" w:frame="1"/>
          <w:lang w:val="en-AU"/>
        </w:rPr>
        <w:t xml:space="preserve">Elucidation of the enantioselective recognition mechanism of a penicillin G </w:t>
      </w:r>
      <w:proofErr w:type="spellStart"/>
      <w:r w:rsidRPr="00633A3D">
        <w:rPr>
          <w:rFonts w:ascii="Times New Roman" w:eastAsia="Times New Roman" w:hAnsi="Times New Roman" w:cs="Times New Roman"/>
          <w:bCs/>
          <w:color w:val="000000"/>
          <w:kern w:val="36"/>
          <w:bdr w:val="none" w:sz="0" w:space="0" w:color="auto" w:frame="1"/>
          <w:lang w:val="en-AU"/>
        </w:rPr>
        <w:t>acylase</w:t>
      </w:r>
      <w:proofErr w:type="spellEnd"/>
      <w:r w:rsidRPr="00633A3D">
        <w:rPr>
          <w:rFonts w:ascii="Times New Roman" w:eastAsia="Times New Roman" w:hAnsi="Times New Roman" w:cs="Times New Roman"/>
          <w:bCs/>
          <w:color w:val="000000"/>
          <w:kern w:val="36"/>
          <w:bdr w:val="none" w:sz="0" w:space="0" w:color="auto" w:frame="1"/>
          <w:lang w:val="en-AU"/>
        </w:rPr>
        <w:t xml:space="preserve">-based chiral stationary phase towards a series of 2-aryloxy-2-arylacetic acids. </w:t>
      </w:r>
      <w:r w:rsidRPr="00633A3D">
        <w:rPr>
          <w:rFonts w:ascii="Times New Roman" w:eastAsia="Times New Roman" w:hAnsi="Times New Roman" w:cs="Times New Roman"/>
          <w:bCs/>
          <w:i/>
          <w:color w:val="000000"/>
          <w:kern w:val="36"/>
          <w:bdr w:val="none" w:sz="0" w:space="0" w:color="auto" w:frame="1"/>
          <w:lang w:val="en-AU"/>
        </w:rPr>
        <w:t>Chirality</w:t>
      </w:r>
      <w:r w:rsidRPr="00633A3D">
        <w:rPr>
          <w:rFonts w:ascii="Times New Roman" w:eastAsia="Times New Roman" w:hAnsi="Times New Roman" w:cs="Times New Roman"/>
          <w:bCs/>
          <w:color w:val="000000"/>
          <w:kern w:val="36"/>
          <w:bdr w:val="none" w:sz="0" w:space="0" w:color="auto" w:frame="1"/>
          <w:lang w:val="en-AU"/>
        </w:rPr>
        <w:t>, 18:633–643. (</w:t>
      </w:r>
      <w:r w:rsidRPr="00633A3D">
        <w:rPr>
          <w:rFonts w:ascii="Times New Roman" w:hAnsi="Times New Roman" w:cs="Times New Roman"/>
        </w:rPr>
        <w:t>10.1002/chir.20300)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930" w:rsidRDefault="000A3930" w:rsidP="0052364B">
      <w:pPr>
        <w:spacing w:line="240" w:lineRule="auto"/>
      </w:pPr>
      <w:r>
        <w:separator/>
      </w:r>
    </w:p>
  </w:footnote>
  <w:footnote w:type="continuationSeparator" w:id="0">
    <w:p w:rsidR="000A3930" w:rsidRDefault="000A3930" w:rsidP="005236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4B"/>
    <w:rsid w:val="000A3930"/>
    <w:rsid w:val="002E408A"/>
    <w:rsid w:val="00326A75"/>
    <w:rsid w:val="003604C6"/>
    <w:rsid w:val="0037323D"/>
    <w:rsid w:val="003D5DE5"/>
    <w:rsid w:val="0052364B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364B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364B"/>
    <w:rPr>
      <w:rFonts w:ascii="PermianSlabSerifTypeface" w:hAnsi="PermianSlabSerifTypeface"/>
      <w:spacing w:val="-5"/>
      <w:kern w:val="16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5236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4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364B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364B"/>
    <w:rPr>
      <w:rFonts w:ascii="PermianSlabSerifTypeface" w:hAnsi="PermianSlabSerifTypeface"/>
      <w:spacing w:val="-5"/>
      <w:kern w:val="16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5236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6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4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2017-08-15T00:49:00Z</dcterms:created>
  <dcterms:modified xsi:type="dcterms:W3CDTF">2017-08-15T00:49:00Z</dcterms:modified>
</cp:coreProperties>
</file>