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B1" w:rsidRPr="00EB1AB1" w:rsidRDefault="00EB1AB1" w:rsidP="00EB1A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EB1A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Methyl 2-methoxy-2-phenylacetate,</w:t>
      </w:r>
      <w:r w:rsidRPr="00EB1AB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EB1A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OSM-S-337</w:t>
      </w:r>
    </w:p>
    <w:p w:rsidR="00EB1AB1" w:rsidRPr="00EB1AB1" w:rsidRDefault="00EB1AB1" w:rsidP="00EB1A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</w:p>
    <w:p w:rsidR="00EB1AB1" w:rsidRPr="00EB1AB1" w:rsidRDefault="00EB1AB1" w:rsidP="00EB1AB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highlight w:val="green"/>
          <w:lang w:val="en-US"/>
        </w:rPr>
      </w:pPr>
      <w:r w:rsidRPr="00EB1AB1">
        <w:rPr>
          <w:rFonts w:ascii="Times New Roman" w:eastAsia="MS Mincho" w:hAnsi="Times New Roman" w:cs="Times New Roman"/>
          <w:b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AA5DAC3" wp14:editId="07C6437C">
            <wp:extent cx="1092200" cy="660400"/>
            <wp:effectExtent l="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B1" w:rsidRPr="00EB1AB1" w:rsidRDefault="00EB1AB1" w:rsidP="00EB1AB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green"/>
          <w:lang w:val="en-US"/>
        </w:rPr>
      </w:pPr>
    </w:p>
    <w:p w:rsidR="00EB1AB1" w:rsidRPr="00EB1AB1" w:rsidRDefault="00EB1AB1" w:rsidP="00EB1AB1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shd w:val="clear" w:color="auto" w:fill="FFFFFF"/>
          <w:lang w:val="en-US"/>
        </w:rPr>
        <w:t xml:space="preserve"> </w:t>
      </w:r>
      <w:hyperlink r:id="rId9" w:history="1">
        <w:r w:rsidRPr="00EB1AB1">
          <w:rPr>
            <w:rFonts w:ascii="Times New Roman" w:eastAsia="Times New Roman" w:hAnsi="Times New Roman" w:cs="Times New Roman"/>
            <w:spacing w:val="0"/>
            <w:kern w:val="0"/>
            <w:sz w:val="22"/>
            <w:szCs w:val="22"/>
            <w:u w:val="single"/>
            <w:shd w:val="clear" w:color="auto" w:fill="FFFFFF"/>
            <w:lang w:val="en-AU"/>
          </w:rPr>
          <w:t>http://malaria.ourexperiment.org/uri/6cc</w:t>
        </w:r>
      </w:hyperlink>
    </w:p>
    <w:p w:rsidR="00EB1AB1" w:rsidRPr="00EB1AB1" w:rsidRDefault="00EB1AB1" w:rsidP="00EB1A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FF0000"/>
          <w:spacing w:val="0"/>
          <w:kern w:val="0"/>
          <w:sz w:val="22"/>
          <w:szCs w:val="22"/>
          <w:lang w:val="en-US"/>
        </w:rPr>
      </w:pPr>
      <w:r w:rsidRPr="00EB1A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OSM-S-336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(500 mg, 3.01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, 1 equiv.) was dissolved in DMF (6 mL) under Ar. Cs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2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CO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3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 (980 mg, 3.01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 equiv.) was added and the reaction mixture was stirred at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rt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for 10 min.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MeI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(0.2 mL, 3.31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1.1 equiv.) was added and the reaction stirred at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rt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for 20 h. The reaction mixture was diluted with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EtOAc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(12 mL) and washed with water (5 x 8 mL). Combined aqueous layers were washed withe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EtOAc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(10 mL) and then combined organic layers were washed with brine (6 mL), dried (MgSO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4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), filtered and evaporated to give a crude orange oil (560 mg) which was 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purified by automated flash chromatography (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15-100%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colourless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oil (242 mg, 1.34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45%); </w:t>
      </w:r>
      <w:r w:rsidRPr="00EB1A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EB1A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EB1AB1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XX; </w:t>
      </w:r>
      <w:r w:rsidRPr="00EB1AB1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vertAlign w:val="superscript"/>
          <w:lang w:val="en-AU"/>
        </w:rPr>
        <w:t>1</w:t>
      </w:r>
      <w:r w:rsidRPr="00EB1AB1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AU"/>
        </w:rPr>
        <w:t>H NMR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 (400 MHz, CDCl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3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) δ: 7.46–7.42 (2H, m), 7.40–7.33 (3H, m), 4.78 (1H, s), 3.72 (3H, s), 3.41 (3H, s); </w:t>
      </w:r>
      <w:r w:rsidRPr="00EB1AB1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vertAlign w:val="superscript"/>
          <w:lang w:val="en-AU"/>
        </w:rPr>
        <w:t>13</w:t>
      </w:r>
      <w:r w:rsidRPr="00EB1AB1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AU"/>
        </w:rPr>
        <w:t>C NMR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 (126 MHz, CDCl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3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) δ: 171.1, 136.2, 128.8, 128.7, 127.2, 82.6, 57.4, 52.3;</w:t>
      </w:r>
      <w:r w:rsidRPr="00EB1A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EB1A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EB1AB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EB1AB1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EB1AB1" w:rsidRPr="00EB1AB1" w:rsidRDefault="00EB1AB1" w:rsidP="00EB1AB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OC)C(OC)C1=CC=CC=C1</w:t>
      </w:r>
    </w:p>
    <w:p w:rsidR="00EB1AB1" w:rsidRPr="00EB1AB1" w:rsidRDefault="00EB1AB1" w:rsidP="00EB1AB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</w:t>
      </w:r>
      <w:proofErr w:type="spellEnd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=1S/C10H12O3/c1-12-9(10(11)13-2)8-6-4-3-5-7-8/h3-7</w:t>
      </w:r>
      <w:proofErr w:type="gramStart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,9H,1</w:t>
      </w:r>
      <w:proofErr w:type="gramEnd"/>
      <w:r w:rsidRPr="00EB1A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</w:t>
      </w:r>
    </w:p>
    <w:p w:rsidR="00EB1AB1" w:rsidRPr="00EB1AB1" w:rsidRDefault="00EB1AB1" w:rsidP="00EB1A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Preparation adapted from the literature.</w:t>
      </w:r>
      <w:r w:rsidRPr="00EB1A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endnoteReference w:id="1"/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B19" w:rsidRDefault="00392B19" w:rsidP="00EB1AB1">
      <w:pPr>
        <w:spacing w:line="240" w:lineRule="auto"/>
      </w:pPr>
      <w:r>
        <w:separator/>
      </w:r>
    </w:p>
  </w:endnote>
  <w:endnote w:type="continuationSeparator" w:id="0">
    <w:p w:rsidR="00392B19" w:rsidRDefault="00392B19" w:rsidP="00EB1AB1">
      <w:pPr>
        <w:spacing w:line="240" w:lineRule="auto"/>
      </w:pPr>
      <w:r>
        <w:continuationSeparator/>
      </w:r>
    </w:p>
  </w:endnote>
  <w:endnote w:id="1">
    <w:p w:rsidR="00EB1AB1" w:rsidRDefault="00EB1AB1" w:rsidP="00EB1AB1">
      <w:pPr>
        <w:pStyle w:val="NormalWeb"/>
        <w:shd w:val="clear" w:color="auto" w:fill="FFFFFF"/>
      </w:pPr>
      <w:r>
        <w:rPr>
          <w:rStyle w:val="EndnoteReference"/>
        </w:rPr>
        <w:endnoteRef/>
      </w:r>
      <w:r>
        <w:t xml:space="preserve"> </w:t>
      </w:r>
      <w:proofErr w:type="spellStart"/>
      <w:r w:rsidRPr="00055997">
        <w:t>Dueno</w:t>
      </w:r>
      <w:proofErr w:type="spellEnd"/>
      <w:r>
        <w:t xml:space="preserve"> EE</w:t>
      </w:r>
      <w:r w:rsidRPr="00055997">
        <w:t>, Chu</w:t>
      </w:r>
      <w:r>
        <w:t xml:space="preserve"> F</w:t>
      </w:r>
      <w:r w:rsidRPr="00055997">
        <w:t>, Kim</w:t>
      </w:r>
      <w:r>
        <w:t xml:space="preserve"> S-I</w:t>
      </w:r>
      <w:r w:rsidRPr="00055997">
        <w:t>, </w:t>
      </w:r>
      <w:r>
        <w:t>J</w:t>
      </w:r>
      <w:r w:rsidRPr="00055997">
        <w:t>ung</w:t>
      </w:r>
      <w:r>
        <w:t xml:space="preserve"> KW (1999), </w:t>
      </w:r>
      <w:proofErr w:type="spellStart"/>
      <w:r w:rsidRPr="00055997">
        <w:t>Cesium</w:t>
      </w:r>
      <w:proofErr w:type="spellEnd"/>
      <w:r w:rsidRPr="00055997">
        <w:t xml:space="preserve"> promoted O-alkylation of alcohols for the efficient ether synthesi</w:t>
      </w:r>
      <w:r>
        <w:t xml:space="preserve">s, </w:t>
      </w:r>
      <w:r>
        <w:rPr>
          <w:i/>
        </w:rPr>
        <w:t>Tetrahedron</w:t>
      </w:r>
      <w:r>
        <w:t>, 40:1843</w:t>
      </w:r>
      <w:r>
        <w:softHyphen/>
      </w:r>
      <w:r>
        <w:softHyphen/>
      </w:r>
      <w:r>
        <w:softHyphen/>
      </w:r>
      <w:r>
        <w:softHyphen/>
        <w:t>–1846</w:t>
      </w:r>
      <w:r w:rsidRPr="00055997">
        <w:rPr>
          <w:i/>
        </w:rPr>
        <w:t>. (</w:t>
      </w:r>
      <w:r w:rsidRPr="00055997">
        <w:rPr>
          <w:rStyle w:val="Emphasis"/>
          <w:i w:val="0"/>
          <w:color w:val="000000"/>
        </w:rPr>
        <w:t>10.1016/S0040-4039(99)00083-0)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B19" w:rsidRDefault="00392B19" w:rsidP="00EB1AB1">
      <w:pPr>
        <w:spacing w:line="240" w:lineRule="auto"/>
      </w:pPr>
      <w:r>
        <w:separator/>
      </w:r>
    </w:p>
  </w:footnote>
  <w:footnote w:type="continuationSeparator" w:id="0">
    <w:p w:rsidR="00392B19" w:rsidRDefault="00392B19" w:rsidP="00EB1A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B1"/>
    <w:rsid w:val="002E408A"/>
    <w:rsid w:val="00326A75"/>
    <w:rsid w:val="003604C6"/>
    <w:rsid w:val="0037323D"/>
    <w:rsid w:val="00392B19"/>
    <w:rsid w:val="003D5DE5"/>
    <w:rsid w:val="005E08DD"/>
    <w:rsid w:val="00705066"/>
    <w:rsid w:val="00920EED"/>
    <w:rsid w:val="00D70342"/>
    <w:rsid w:val="00D77D1F"/>
    <w:rsid w:val="00DE63A2"/>
    <w:rsid w:val="00E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1AB1"/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EB1AB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B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1AB1"/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EB1AB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B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laria.ourexperiment.org/uri/6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2017-08-15T00:54:00Z</dcterms:created>
  <dcterms:modified xsi:type="dcterms:W3CDTF">2017-08-15T00:54:00Z</dcterms:modified>
</cp:coreProperties>
</file>