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D46" w:rsidRDefault="005257A8" w:rsidP="009C2D1A">
      <w:pPr>
        <w:pStyle w:val="Heading1"/>
        <w:jc w:val="center"/>
        <w:rPr>
          <w:u w:val="single"/>
        </w:rPr>
      </w:pPr>
      <w:r>
        <w:rPr>
          <w:u w:val="single"/>
        </w:rPr>
        <w:t>Data report</w:t>
      </w:r>
    </w:p>
    <w:p w:rsidR="005257A8" w:rsidRPr="005257A8" w:rsidRDefault="00A4418E" w:rsidP="005257A8">
      <w:pPr>
        <w:pStyle w:val="Heading1"/>
        <w:jc w:val="center"/>
      </w:pPr>
      <w:r>
        <w:t xml:space="preserve">- Swiss TPH - </w:t>
      </w:r>
    </w:p>
    <w:p w:rsidR="007E3D46" w:rsidRDefault="007E3D46" w:rsidP="009C2D1A">
      <w:pPr>
        <w:pStyle w:val="Heading2"/>
      </w:pPr>
      <w:r w:rsidRPr="007E3D46">
        <w:t>Testing Center:</w:t>
      </w:r>
    </w:p>
    <w:p w:rsidR="00A4418E" w:rsidRDefault="00A4418E" w:rsidP="00A4418E">
      <w:r>
        <w:t>Swiss T</w:t>
      </w:r>
      <w:r w:rsidR="005A3F7F">
        <w:t>ropical and Public Health Institute (Swiss TPH)</w:t>
      </w:r>
    </w:p>
    <w:p w:rsidR="005A3F7F" w:rsidRDefault="005A3F7F" w:rsidP="00A4418E">
      <w:r w:rsidRPr="006F391E">
        <w:t xml:space="preserve">Socinstrasse </w:t>
      </w:r>
      <w:r w:rsidR="006F391E" w:rsidRPr="006F391E">
        <w:t>57</w:t>
      </w:r>
    </w:p>
    <w:p w:rsidR="005A3F7F" w:rsidRDefault="005A3F7F" w:rsidP="00A4418E">
      <w:r>
        <w:t>4002 Basel</w:t>
      </w:r>
    </w:p>
    <w:p w:rsidR="005A3F7F" w:rsidRPr="00A4418E" w:rsidRDefault="005A3F7F" w:rsidP="00A4418E">
      <w:r>
        <w:t>Switzerland</w:t>
      </w:r>
    </w:p>
    <w:p w:rsidR="007E3D46" w:rsidRPr="00031D43" w:rsidRDefault="007E3D46" w:rsidP="009C2D1A">
      <w:pPr>
        <w:pStyle w:val="Heading2"/>
        <w:rPr>
          <w:rFonts w:eastAsia="Calibri"/>
        </w:rPr>
      </w:pPr>
      <w:r w:rsidRPr="007E3D46">
        <w:t>Person of contact:</w:t>
      </w:r>
    </w:p>
    <w:p w:rsidR="009C2D1A" w:rsidRPr="00A4418E" w:rsidRDefault="00A4418E" w:rsidP="009C2D1A">
      <w:pPr>
        <w:rPr>
          <w:lang w:val="de-CH"/>
        </w:rPr>
      </w:pPr>
      <w:r w:rsidRPr="00A4418E">
        <w:rPr>
          <w:lang w:val="de-CH"/>
        </w:rPr>
        <w:t>Sergio Wittlin</w:t>
      </w:r>
    </w:p>
    <w:p w:rsidR="00517ABD" w:rsidRPr="00A4418E" w:rsidRDefault="00A4418E" w:rsidP="009C2D1A">
      <w:pPr>
        <w:rPr>
          <w:lang w:val="de-CH"/>
        </w:rPr>
      </w:pPr>
      <w:r w:rsidRPr="00A4418E">
        <w:rPr>
          <w:lang w:val="de-CH"/>
        </w:rPr>
        <w:t>Tel +41-61-284-8136</w:t>
      </w:r>
    </w:p>
    <w:p w:rsidR="009C2D1A" w:rsidRPr="00A4418E" w:rsidRDefault="007E164E" w:rsidP="009C2D1A">
      <w:pPr>
        <w:rPr>
          <w:rStyle w:val="Hyperlink"/>
          <w:color w:val="auto"/>
          <w:lang w:val="de-CH"/>
        </w:rPr>
      </w:pPr>
      <w:r>
        <w:rPr>
          <w:lang w:val="de-CH"/>
        </w:rPr>
        <w:t>s</w:t>
      </w:r>
      <w:r w:rsidR="00A4418E" w:rsidRPr="00A4418E">
        <w:rPr>
          <w:lang w:val="de-CH"/>
        </w:rPr>
        <w:t>ergio.wittlin@unibas.ch</w:t>
      </w:r>
    </w:p>
    <w:p w:rsidR="006E3DEF" w:rsidRDefault="006E3DEF" w:rsidP="006E3DEF">
      <w:pPr>
        <w:pStyle w:val="Heading2"/>
        <w:rPr>
          <w:rStyle w:val="Hyperlink"/>
          <w:color w:val="4F81BD"/>
        </w:rPr>
      </w:pPr>
      <w:r w:rsidRPr="006E3DEF">
        <w:rPr>
          <w:rStyle w:val="Hyperlink"/>
          <w:color w:val="4F81BD"/>
        </w:rPr>
        <w:t>Team</w:t>
      </w:r>
    </w:p>
    <w:p w:rsidR="004F7767" w:rsidRPr="004F7767" w:rsidRDefault="004F7767" w:rsidP="006E3DEF">
      <w:pPr>
        <w:rPr>
          <w:b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F7767" w:rsidTr="004F7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F7767" w:rsidRPr="004F7767" w:rsidRDefault="004F7767" w:rsidP="006E3DEF">
            <w:pPr>
              <w:rPr>
                <w:b w:val="0"/>
                <w:lang w:val="en-GB"/>
              </w:rPr>
            </w:pPr>
            <w:r w:rsidRPr="004F7767">
              <w:rPr>
                <w:b w:val="0"/>
                <w:lang w:val="en-GB"/>
              </w:rPr>
              <w:t>Principle investigator</w:t>
            </w:r>
            <w:r w:rsidR="00554153">
              <w:rPr>
                <w:b w:val="0"/>
                <w:lang w:val="en-GB"/>
              </w:rPr>
              <w:t xml:space="preserve"> (Swiss TPH)</w:t>
            </w:r>
          </w:p>
        </w:tc>
        <w:tc>
          <w:tcPr>
            <w:tcW w:w="4788" w:type="dxa"/>
          </w:tcPr>
          <w:p w:rsidR="004F7767" w:rsidRPr="004F7767" w:rsidRDefault="00A4418E" w:rsidP="006E3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Dr. Sergio Wittlin</w:t>
            </w:r>
          </w:p>
        </w:tc>
      </w:tr>
      <w:tr w:rsidR="004F7767" w:rsidRPr="00B3296E" w:rsidTr="004F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F7767" w:rsidRPr="004F7767" w:rsidRDefault="004F7767" w:rsidP="006E3DEF">
            <w:pPr>
              <w:rPr>
                <w:b w:val="0"/>
                <w:lang w:val="en-GB"/>
              </w:rPr>
            </w:pPr>
            <w:r w:rsidRPr="004F7767">
              <w:rPr>
                <w:b w:val="0"/>
                <w:lang w:val="en-GB"/>
              </w:rPr>
              <w:t>Experimental technician</w:t>
            </w:r>
            <w:r w:rsidR="00D86B03">
              <w:rPr>
                <w:b w:val="0"/>
                <w:lang w:val="en-GB"/>
              </w:rPr>
              <w:t>s</w:t>
            </w:r>
            <w:r w:rsidR="00554153">
              <w:rPr>
                <w:b w:val="0"/>
                <w:lang w:val="en-GB"/>
              </w:rPr>
              <w:t xml:space="preserve"> (Swiss TPH)</w:t>
            </w:r>
          </w:p>
        </w:tc>
        <w:tc>
          <w:tcPr>
            <w:tcW w:w="4788" w:type="dxa"/>
          </w:tcPr>
          <w:p w:rsidR="004F7767" w:rsidRPr="00D86B03" w:rsidRDefault="00D86B03" w:rsidP="006E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86B03">
              <w:rPr>
                <w:lang w:val="de-CH"/>
              </w:rPr>
              <w:t>Christoph Fischli/Ursula Lehmann/Sibylle Sax</w:t>
            </w:r>
          </w:p>
        </w:tc>
      </w:tr>
      <w:tr w:rsidR="00554153" w:rsidRPr="00554153" w:rsidTr="004F7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54153" w:rsidRPr="004F7767" w:rsidRDefault="00554153" w:rsidP="006E3DEF">
            <w:pPr>
              <w:rPr>
                <w:lang w:val="en-GB"/>
              </w:rPr>
            </w:pPr>
            <w:r w:rsidRPr="004F7767">
              <w:rPr>
                <w:b w:val="0"/>
                <w:lang w:val="fr-CH"/>
              </w:rPr>
              <w:t xml:space="preserve">Project </w:t>
            </w:r>
            <w:proofErr w:type="spellStart"/>
            <w:r w:rsidRPr="004F7767">
              <w:rPr>
                <w:b w:val="0"/>
                <w:lang w:val="fr-CH"/>
              </w:rPr>
              <w:t>Director</w:t>
            </w:r>
            <w:proofErr w:type="spellEnd"/>
            <w:r>
              <w:rPr>
                <w:b w:val="0"/>
                <w:lang w:val="fr-CH"/>
              </w:rPr>
              <w:t xml:space="preserve"> (MMV)</w:t>
            </w:r>
          </w:p>
        </w:tc>
        <w:tc>
          <w:tcPr>
            <w:tcW w:w="4788" w:type="dxa"/>
          </w:tcPr>
          <w:p w:rsidR="00554153" w:rsidRPr="00D86B03" w:rsidRDefault="00554153" w:rsidP="006E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A4418E">
              <w:t>Dr. Didier Leroy</w:t>
            </w:r>
          </w:p>
        </w:tc>
      </w:tr>
      <w:tr w:rsidR="00554153" w:rsidRPr="00554153" w:rsidTr="004F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54153" w:rsidRPr="004F7767" w:rsidRDefault="00554153" w:rsidP="006E3DEF">
            <w:pPr>
              <w:rPr>
                <w:lang w:val="en-GB"/>
              </w:rPr>
            </w:pPr>
            <w:r w:rsidRPr="00A4418E">
              <w:rPr>
                <w:b w:val="0"/>
              </w:rPr>
              <w:t>Research Scientist</w:t>
            </w:r>
            <w:r>
              <w:rPr>
                <w:b w:val="0"/>
              </w:rPr>
              <w:t xml:space="preserve"> (MMV)</w:t>
            </w:r>
          </w:p>
        </w:tc>
        <w:tc>
          <w:tcPr>
            <w:tcW w:w="4788" w:type="dxa"/>
          </w:tcPr>
          <w:p w:rsidR="00554153" w:rsidRPr="00D86B03" w:rsidRDefault="00554153" w:rsidP="006E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t>Dr. Xavier Ding</w:t>
            </w:r>
          </w:p>
        </w:tc>
      </w:tr>
    </w:tbl>
    <w:p w:rsidR="00746834" w:rsidRDefault="00746834" w:rsidP="00746834">
      <w:pPr>
        <w:pStyle w:val="Heading2"/>
        <w:rPr>
          <w:rStyle w:val="Hyperlink"/>
          <w:color w:val="4F81BD"/>
        </w:rPr>
      </w:pPr>
      <w:r>
        <w:rPr>
          <w:rStyle w:val="Hyperlink"/>
          <w:color w:val="4F81BD"/>
        </w:rPr>
        <w:t>Study requested by</w:t>
      </w:r>
    </w:p>
    <w:p w:rsidR="00746834" w:rsidRPr="00F1289C" w:rsidRDefault="00746834" w:rsidP="00F1289C"/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6834" w:rsidRPr="00A4418E" w:rsidTr="00FF7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6834" w:rsidRPr="004F7767" w:rsidRDefault="00746834" w:rsidP="00FF7917">
            <w:pPr>
              <w:rPr>
                <w:b w:val="0"/>
                <w:lang w:val="fr-CH"/>
              </w:rPr>
            </w:pPr>
            <w:r w:rsidRPr="004F7767">
              <w:rPr>
                <w:b w:val="0"/>
                <w:lang w:val="fr-CH"/>
              </w:rPr>
              <w:t>Project Director</w:t>
            </w:r>
            <w:r>
              <w:rPr>
                <w:b w:val="0"/>
                <w:lang w:val="fr-CH"/>
              </w:rPr>
              <w:t xml:space="preserve"> (MMV)</w:t>
            </w:r>
          </w:p>
        </w:tc>
        <w:tc>
          <w:tcPr>
            <w:tcW w:w="4788" w:type="dxa"/>
          </w:tcPr>
          <w:p w:rsidR="00746834" w:rsidRPr="00A4418E" w:rsidRDefault="00746834" w:rsidP="00FF7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51A0">
              <w:rPr>
                <w:b w:val="0"/>
                <w:highlight w:val="yellow"/>
              </w:rPr>
              <w:t>Dr. Paul Willis</w:t>
            </w:r>
          </w:p>
        </w:tc>
      </w:tr>
    </w:tbl>
    <w:p w:rsidR="002B3D2E" w:rsidRDefault="002B3D2E" w:rsidP="002B3D2E">
      <w:pPr>
        <w:pStyle w:val="Heading2"/>
      </w:pPr>
      <w:r w:rsidRPr="002B592A">
        <w:t>Goal</w:t>
      </w:r>
      <w:r w:rsidR="00214828">
        <w:t>s</w:t>
      </w:r>
      <w:r w:rsidRPr="002B592A">
        <w:t xml:space="preserve"> of the study</w:t>
      </w:r>
    </w:p>
    <w:p w:rsidR="002B3D2E" w:rsidRPr="002B592A" w:rsidRDefault="00F47A8A" w:rsidP="00F47A8A">
      <w:pPr>
        <w:jc w:val="both"/>
      </w:pPr>
      <w:r w:rsidRPr="00F47A8A">
        <w:t xml:space="preserve">To investigate in a SCID mouse model of human malaria the </w:t>
      </w:r>
      <w:r w:rsidRPr="001E0DD7">
        <w:rPr>
          <w:i/>
        </w:rPr>
        <w:t>in vivo</w:t>
      </w:r>
      <w:r w:rsidRPr="00F47A8A">
        <w:t xml:space="preserve"> </w:t>
      </w:r>
      <w:r w:rsidR="00C66C30">
        <w:t xml:space="preserve">efficacy of </w:t>
      </w:r>
      <w:r w:rsidR="00853FE6" w:rsidRPr="00F47A8A">
        <w:t>anti</w:t>
      </w:r>
      <w:r w:rsidR="00853FE6">
        <w:t xml:space="preserve">malarial lead </w:t>
      </w:r>
      <w:r w:rsidR="00C66C30">
        <w:t>compounds</w:t>
      </w:r>
      <w:r w:rsidR="00853FE6">
        <w:t>.</w:t>
      </w:r>
    </w:p>
    <w:p w:rsidR="004F7767" w:rsidRPr="002B3D2E" w:rsidRDefault="0022350E" w:rsidP="002B592A">
      <w:pPr>
        <w:pStyle w:val="Heading2"/>
      </w:pPr>
      <w:r>
        <w:t>Key findings and conclusions</w:t>
      </w:r>
    </w:p>
    <w:p w:rsidR="00921963" w:rsidRDefault="00F47A8A" w:rsidP="00F47A8A">
      <w:pPr>
        <w:jc w:val="both"/>
      </w:pPr>
      <w:r w:rsidRPr="00F47A8A">
        <w:rPr>
          <w:i/>
        </w:rPr>
        <w:t>Plasmodium falciparum</w:t>
      </w:r>
      <w:r w:rsidRPr="00F47A8A">
        <w:t xml:space="preserve"> was tested in NODscidIL2Rγ</w:t>
      </w:r>
      <w:r w:rsidRPr="00F47A8A">
        <w:rPr>
          <w:vertAlign w:val="superscript"/>
        </w:rPr>
        <w:t>null</w:t>
      </w:r>
      <w:r w:rsidRPr="00F47A8A">
        <w:t xml:space="preserve"> mice engrafted with human erythrocytes. The antimalarial efficacy of </w:t>
      </w:r>
      <w:r w:rsidR="00921963" w:rsidRPr="00921963">
        <w:rPr>
          <w:highlight w:val="yellow"/>
        </w:rPr>
        <w:t>MMV669844</w:t>
      </w:r>
      <w:r w:rsidRPr="00F47A8A">
        <w:t xml:space="preserve"> was assessed using a 4-day-treatment regimen (dosings administered once a day for 4 consecutive days) and blood parasitemia was quantified by FA</w:t>
      </w:r>
      <w:r w:rsidR="000450DA">
        <w:t>CS analysis</w:t>
      </w:r>
      <w:r w:rsidR="003F3DB7">
        <w:t xml:space="preserve"> (on days </w:t>
      </w:r>
      <w:r w:rsidR="003F3DB7">
        <w:rPr>
          <w:szCs w:val="22"/>
        </w:rPr>
        <w:t>3, 5, 6 and 7</w:t>
      </w:r>
      <w:r w:rsidR="003F3DB7" w:rsidRPr="00753518">
        <w:rPr>
          <w:szCs w:val="22"/>
        </w:rPr>
        <w:t xml:space="preserve"> </w:t>
      </w:r>
      <w:r w:rsidR="003F3DB7">
        <w:rPr>
          <w:szCs w:val="22"/>
        </w:rPr>
        <w:t>post-infection)</w:t>
      </w:r>
      <w:r w:rsidR="003F3DB7">
        <w:t xml:space="preserve"> and microscopic analysis of Giemsa-stained blood smears (on days </w:t>
      </w:r>
      <w:r w:rsidR="003F3DB7">
        <w:rPr>
          <w:szCs w:val="22"/>
        </w:rPr>
        <w:t>3 and 7</w:t>
      </w:r>
      <w:r w:rsidR="003F3DB7" w:rsidRPr="00753518">
        <w:rPr>
          <w:szCs w:val="22"/>
        </w:rPr>
        <w:t xml:space="preserve"> </w:t>
      </w:r>
      <w:r w:rsidR="003F3DB7">
        <w:rPr>
          <w:szCs w:val="22"/>
        </w:rPr>
        <w:t>post-infection</w:t>
      </w:r>
      <w:r w:rsidR="00E44BFB">
        <w:rPr>
          <w:szCs w:val="22"/>
        </w:rPr>
        <w:t>)</w:t>
      </w:r>
      <w:r w:rsidR="000450DA">
        <w:t xml:space="preserve">. </w:t>
      </w:r>
      <w:r w:rsidR="001E337F">
        <w:t xml:space="preserve">Figures 1 </w:t>
      </w:r>
      <w:r w:rsidR="00F06821">
        <w:t>and Tables 1+</w:t>
      </w:r>
      <w:r w:rsidR="001E337F">
        <w:t>2 summarize</w:t>
      </w:r>
      <w:r w:rsidR="00921963">
        <w:t xml:space="preserve"> the </w:t>
      </w:r>
      <w:r w:rsidR="00921963" w:rsidRPr="00E13E69">
        <w:rPr>
          <w:i/>
        </w:rPr>
        <w:t>in vivo</w:t>
      </w:r>
      <w:r w:rsidR="00921963">
        <w:t xml:space="preserve"> efficacy test results following </w:t>
      </w:r>
      <w:r w:rsidR="00921963" w:rsidRPr="00250F5E">
        <w:rPr>
          <w:highlight w:val="yellow"/>
        </w:rPr>
        <w:t>oral (p.o.)</w:t>
      </w:r>
      <w:r w:rsidR="00921963">
        <w:t xml:space="preserve"> administration. At </w:t>
      </w:r>
      <w:r w:rsidR="00921963" w:rsidRPr="00250F5E">
        <w:rPr>
          <w:highlight w:val="yellow"/>
        </w:rPr>
        <w:t>4 × 50 mg/kg p.o.</w:t>
      </w:r>
      <w:r w:rsidR="00921963">
        <w:t xml:space="preserve"> the average </w:t>
      </w:r>
      <w:r w:rsidR="00921963" w:rsidRPr="00E13E69">
        <w:rPr>
          <w:i/>
        </w:rPr>
        <w:t>in vivo</w:t>
      </w:r>
      <w:r w:rsidR="00921963">
        <w:t xml:space="preserve"> activity in n=2 mice was </w:t>
      </w:r>
      <w:r w:rsidR="001C3F62" w:rsidRPr="001C3F62">
        <w:rPr>
          <w:highlight w:val="yellow"/>
        </w:rPr>
        <w:t>&gt;99.9</w:t>
      </w:r>
      <w:r w:rsidR="00921963" w:rsidRPr="00250F5E">
        <w:rPr>
          <w:highlight w:val="yellow"/>
        </w:rPr>
        <w:t>%</w:t>
      </w:r>
      <w:r w:rsidR="00921963">
        <w:t xml:space="preserve"> when compared to </w:t>
      </w:r>
      <w:r w:rsidR="00D14B53">
        <w:t xml:space="preserve">n=4 </w:t>
      </w:r>
      <w:r w:rsidR="00921963">
        <w:t>untreated control</w:t>
      </w:r>
      <w:r w:rsidR="00D14B53">
        <w:t xml:space="preserve"> animals</w:t>
      </w:r>
      <w:r w:rsidR="00921963">
        <w:t>.</w:t>
      </w:r>
    </w:p>
    <w:p w:rsidR="002B592A" w:rsidRPr="00434410" w:rsidRDefault="00E44BFB" w:rsidP="00434410">
      <w:pPr>
        <w:jc w:val="both"/>
      </w:pPr>
      <w:r>
        <w:t>The sensitivity cut-off for the parasitemia determination by FACS was found to be 0.3%. Therefore</w:t>
      </w:r>
      <w:r w:rsidR="00F06821">
        <w:t>, for parasitemia &lt;0.</w:t>
      </w:r>
      <w:r w:rsidR="00434410">
        <w:t xml:space="preserve">3% the </w:t>
      </w:r>
      <w:r w:rsidR="00F56E47">
        <w:t xml:space="preserve">data </w:t>
      </w:r>
      <w:r w:rsidR="00434410">
        <w:t>shown in this report is</w:t>
      </w:r>
      <w:r w:rsidR="00B16F8B">
        <w:t xml:space="preserve"> </w:t>
      </w:r>
      <w:r w:rsidR="00434410">
        <w:t xml:space="preserve">the one </w:t>
      </w:r>
      <w:r w:rsidR="00B16F8B">
        <w:t>obtained by microscopy on</w:t>
      </w:r>
      <w:r w:rsidR="00F06821">
        <w:t xml:space="preserve"> days 3 and 7 post-infection</w:t>
      </w:r>
      <w:r w:rsidR="009173C4">
        <w:t>.</w:t>
      </w:r>
      <w:r>
        <w:t xml:space="preserve"> I</w:t>
      </w:r>
      <w:r w:rsidR="003F3DB7" w:rsidRPr="003F3DB7">
        <w:t xml:space="preserve">n the short term </w:t>
      </w:r>
      <w:r w:rsidR="003F3DB7">
        <w:t xml:space="preserve">(next campaign) it will be the goal to have parasitemia data </w:t>
      </w:r>
      <w:r>
        <w:t>determined by microscopy</w:t>
      </w:r>
      <w:r w:rsidRPr="003F3DB7">
        <w:t xml:space="preserve"> for the entire treatment week. And in the longer term, </w:t>
      </w:r>
      <w:r>
        <w:t xml:space="preserve">it is the goal to increase the sensitivity of the FACS methodology </w:t>
      </w:r>
      <w:r w:rsidRPr="003F3DB7">
        <w:t>with the help of the GSK team.</w:t>
      </w:r>
      <w:r w:rsidR="002B592A">
        <w:br w:type="page"/>
      </w:r>
    </w:p>
    <w:p w:rsidR="002B592A" w:rsidRPr="002B592A" w:rsidRDefault="002B592A" w:rsidP="009C2D1A">
      <w:pPr>
        <w:pStyle w:val="Heading2"/>
      </w:pPr>
    </w:p>
    <w:p w:rsidR="00D86B03" w:rsidRDefault="002D6DC9" w:rsidP="00D86B03">
      <w:pPr>
        <w:pStyle w:val="Heading2"/>
      </w:pPr>
      <w:r>
        <w:t>Description of the assay</w:t>
      </w:r>
    </w:p>
    <w:p w:rsidR="00D86B03" w:rsidRPr="00D86B03" w:rsidRDefault="00D86B03" w:rsidP="00D86B03">
      <w:pPr>
        <w:pStyle w:val="Heading2"/>
        <w:rPr>
          <w:color w:val="auto"/>
        </w:rPr>
      </w:pPr>
      <w:r w:rsidRPr="00D86B03">
        <w:rPr>
          <w:color w:val="auto"/>
        </w:rPr>
        <w:t>General assay principle:</w:t>
      </w:r>
    </w:p>
    <w:p w:rsidR="00D86B03" w:rsidRPr="000A5A4E" w:rsidRDefault="00D86B03" w:rsidP="00D86B03">
      <w:pPr>
        <w:jc w:val="both"/>
        <w:rPr>
          <w:szCs w:val="22"/>
        </w:rPr>
      </w:pPr>
      <w:r w:rsidRPr="000A5A4E">
        <w:rPr>
          <w:szCs w:val="22"/>
        </w:rPr>
        <w:t>This protocol is performed in the group of Dr</w:t>
      </w:r>
      <w:r w:rsidR="004309F6">
        <w:rPr>
          <w:szCs w:val="22"/>
        </w:rPr>
        <w:t>.</w:t>
      </w:r>
      <w:r w:rsidRPr="000A5A4E">
        <w:rPr>
          <w:szCs w:val="22"/>
        </w:rPr>
        <w:t xml:space="preserve"> Sergio Wittlin at Swiss TPH (</w:t>
      </w:r>
      <w:r>
        <w:rPr>
          <w:szCs w:val="22"/>
        </w:rPr>
        <w:t>Unit of Prof. Pascal Mäser</w:t>
      </w:r>
      <w:r w:rsidRPr="000A5A4E">
        <w:rPr>
          <w:szCs w:val="22"/>
        </w:rPr>
        <w:t xml:space="preserve">), for assessing compound efficacy against the </w:t>
      </w:r>
      <w:r w:rsidRPr="000A5A4E">
        <w:rPr>
          <w:i/>
          <w:szCs w:val="22"/>
        </w:rPr>
        <w:t xml:space="preserve">Plasmodium </w:t>
      </w:r>
      <w:r>
        <w:rPr>
          <w:i/>
          <w:szCs w:val="22"/>
        </w:rPr>
        <w:t>falciparum</w:t>
      </w:r>
      <w:r w:rsidRPr="000A5A4E">
        <w:rPr>
          <w:i/>
          <w:szCs w:val="22"/>
        </w:rPr>
        <w:t xml:space="preserve"> </w:t>
      </w:r>
      <w:r w:rsidRPr="00833FE3">
        <w:rPr>
          <w:szCs w:val="22"/>
        </w:rPr>
        <w:t>strain</w:t>
      </w:r>
      <w:r w:rsidRPr="000A5A4E">
        <w:rPr>
          <w:i/>
          <w:szCs w:val="22"/>
        </w:rPr>
        <w:t xml:space="preserve"> </w:t>
      </w:r>
      <w:r>
        <w:rPr>
          <w:i/>
          <w:szCs w:val="22"/>
        </w:rPr>
        <w:t>Pf3D7</w:t>
      </w:r>
      <w:r w:rsidRPr="00AC7A32">
        <w:rPr>
          <w:i/>
          <w:szCs w:val="22"/>
          <w:vertAlign w:val="superscript"/>
        </w:rPr>
        <w:t>0087/N9</w:t>
      </w:r>
      <w:r>
        <w:rPr>
          <w:i/>
          <w:szCs w:val="22"/>
        </w:rPr>
        <w:t xml:space="preserve"> in </w:t>
      </w:r>
      <w:r w:rsidRPr="000A5A4E">
        <w:rPr>
          <w:i/>
          <w:szCs w:val="22"/>
        </w:rPr>
        <w:t>vivo.</w:t>
      </w:r>
      <w:r>
        <w:rPr>
          <w:szCs w:val="22"/>
        </w:rPr>
        <w:t xml:space="preserve"> Mice are infected intravenously with parasitized red blood cells on day 0. Experimental mice are generally treated at </w:t>
      </w:r>
      <w:r w:rsidR="008200F5">
        <w:rPr>
          <w:szCs w:val="22"/>
        </w:rPr>
        <w:t xml:space="preserve">day </w:t>
      </w:r>
      <w:r>
        <w:rPr>
          <w:szCs w:val="22"/>
        </w:rPr>
        <w:t xml:space="preserve">3, 4, 5, and 6 post-infection with an oral dose of the compound (4-day test by Peters) and are compared to an infected control group for reduction in </w:t>
      </w:r>
      <w:r w:rsidR="004309F6">
        <w:rPr>
          <w:szCs w:val="22"/>
        </w:rPr>
        <w:t>parasitemia</w:t>
      </w:r>
      <w:r>
        <w:rPr>
          <w:szCs w:val="22"/>
        </w:rPr>
        <w:t xml:space="preserve"> on day 7. Other delivery route</w:t>
      </w:r>
      <w:r w:rsidR="008200F5">
        <w:rPr>
          <w:szCs w:val="22"/>
        </w:rPr>
        <w:t>s</w:t>
      </w:r>
      <w:r>
        <w:rPr>
          <w:szCs w:val="22"/>
        </w:rPr>
        <w:t xml:space="preserve"> (intravenous, intraperitoneal, subcutaneous) and dosing regimen</w:t>
      </w:r>
      <w:r w:rsidR="008200F5">
        <w:rPr>
          <w:szCs w:val="22"/>
        </w:rPr>
        <w:t>s</w:t>
      </w:r>
      <w:r>
        <w:rPr>
          <w:szCs w:val="22"/>
        </w:rPr>
        <w:t xml:space="preserve"> (e.g. single dose) are possible.</w:t>
      </w:r>
    </w:p>
    <w:p w:rsidR="00D86B03" w:rsidRPr="00D86B03" w:rsidRDefault="00D86B03" w:rsidP="00D86B03">
      <w:pPr>
        <w:pStyle w:val="Heading2"/>
        <w:rPr>
          <w:color w:val="auto"/>
        </w:rPr>
      </w:pPr>
      <w:r w:rsidRPr="00D86B03">
        <w:rPr>
          <w:color w:val="auto"/>
        </w:rPr>
        <w:t>Compound form and quantity needed:</w:t>
      </w:r>
    </w:p>
    <w:p w:rsidR="00D86B03" w:rsidRPr="00722360" w:rsidRDefault="00D86B03" w:rsidP="00D86B03">
      <w:pPr>
        <w:jc w:val="both"/>
      </w:pPr>
      <w:r w:rsidRPr="00301D12">
        <w:t>50</w:t>
      </w:r>
      <w:r>
        <w:t>mg is enough for a dose response study in quintuplicate with doses of 50mg/kg and decreasing. Compounds should be provided as weighed powder (accuracy of 2 digits after the comma) together with MW and information about salt/parent forms and solvent to use if not DMSO.</w:t>
      </w:r>
    </w:p>
    <w:p w:rsidR="00D86B03" w:rsidRPr="00D86B03" w:rsidRDefault="00D86B03" w:rsidP="00D86B03">
      <w:pPr>
        <w:pStyle w:val="Heading2"/>
        <w:rPr>
          <w:color w:val="auto"/>
        </w:rPr>
      </w:pPr>
      <w:r w:rsidRPr="00D86B03">
        <w:rPr>
          <w:color w:val="auto"/>
        </w:rPr>
        <w:t>Throughput:</w:t>
      </w:r>
    </w:p>
    <w:p w:rsidR="00D86B03" w:rsidRPr="00E305B3" w:rsidRDefault="00250F5E" w:rsidP="00D86B03">
      <w:r>
        <w:t>Experiments with n=18</w:t>
      </w:r>
      <w:r w:rsidR="00D86B03">
        <w:t xml:space="preserve"> mice</w:t>
      </w:r>
      <w:r w:rsidR="00D86B03">
        <w:rPr>
          <w:lang w:val="en-GB"/>
        </w:rPr>
        <w:t xml:space="preserve"> </w:t>
      </w:r>
      <w:r w:rsidR="00D86B03" w:rsidRPr="00552ADA">
        <w:rPr>
          <w:lang w:val="en-GB"/>
        </w:rPr>
        <w:t>can be tested per month</w:t>
      </w:r>
      <w:r w:rsidR="00D86B03">
        <w:t>.</w:t>
      </w:r>
    </w:p>
    <w:p w:rsidR="00D86B03" w:rsidRPr="00753518" w:rsidRDefault="00D86B03" w:rsidP="00D86B03">
      <w:pPr>
        <w:pStyle w:val="Heading2"/>
        <w:rPr>
          <w:color w:val="auto"/>
          <w:sz w:val="22"/>
          <w:szCs w:val="22"/>
        </w:rPr>
      </w:pPr>
      <w:r>
        <w:br w:type="page"/>
      </w:r>
      <w:r w:rsidRPr="00753518">
        <w:rPr>
          <w:color w:val="auto"/>
          <w:sz w:val="22"/>
          <w:szCs w:val="22"/>
        </w:rPr>
        <w:lastRenderedPageBreak/>
        <w:t>SOP:</w:t>
      </w:r>
    </w:p>
    <w:p w:rsidR="00D86B03" w:rsidRPr="00753518" w:rsidRDefault="004309F6" w:rsidP="00D86B03">
      <w:pPr>
        <w:rPr>
          <w:b/>
          <w:szCs w:val="22"/>
        </w:rPr>
      </w:pPr>
      <w:r>
        <w:rPr>
          <w:b/>
          <w:i/>
          <w:szCs w:val="22"/>
        </w:rPr>
        <w:t>Plasmodium fal</w:t>
      </w:r>
      <w:r w:rsidR="00D86B03" w:rsidRPr="00753518">
        <w:rPr>
          <w:b/>
          <w:i/>
          <w:szCs w:val="22"/>
        </w:rPr>
        <w:t>c</w:t>
      </w:r>
      <w:r>
        <w:rPr>
          <w:b/>
          <w:i/>
          <w:szCs w:val="22"/>
        </w:rPr>
        <w:t>i</w:t>
      </w:r>
      <w:r w:rsidR="00D86B03" w:rsidRPr="00753518">
        <w:rPr>
          <w:b/>
          <w:i/>
          <w:szCs w:val="22"/>
        </w:rPr>
        <w:t>parum</w:t>
      </w:r>
      <w:r w:rsidR="00D86B03" w:rsidRPr="00753518">
        <w:rPr>
          <w:b/>
          <w:szCs w:val="22"/>
        </w:rPr>
        <w:t xml:space="preserve"> acute </w:t>
      </w:r>
      <w:r w:rsidR="00D86B03" w:rsidRPr="00753518">
        <w:rPr>
          <w:b/>
          <w:i/>
          <w:szCs w:val="22"/>
        </w:rPr>
        <w:t>in vivo</w:t>
      </w:r>
      <w:r w:rsidR="00D86B03" w:rsidRPr="00753518">
        <w:rPr>
          <w:b/>
          <w:szCs w:val="22"/>
        </w:rPr>
        <w:t xml:space="preserve"> model, 4-day test by Peters</w:t>
      </w:r>
    </w:p>
    <w:p w:rsidR="00D86B03" w:rsidRPr="00753518" w:rsidRDefault="00D86B03" w:rsidP="00D86B03">
      <w:pPr>
        <w:rPr>
          <w:b/>
          <w:szCs w:val="22"/>
          <w:u w:val="single"/>
          <w:lang w:val="it-IT"/>
        </w:rPr>
      </w:pPr>
    </w:p>
    <w:p w:rsidR="00D86B03" w:rsidRPr="00753518" w:rsidRDefault="00D86B03" w:rsidP="00D86B03">
      <w:pPr>
        <w:rPr>
          <w:b/>
          <w:szCs w:val="22"/>
          <w:u w:val="single"/>
          <w:lang w:val="it-IT"/>
        </w:rPr>
      </w:pPr>
    </w:p>
    <w:p w:rsidR="00D86B03" w:rsidRPr="00753518" w:rsidRDefault="00D86B03" w:rsidP="00D86B03">
      <w:pPr>
        <w:rPr>
          <w:b/>
          <w:szCs w:val="22"/>
          <w:lang w:val="it-IT"/>
        </w:rPr>
      </w:pPr>
      <w:r w:rsidRPr="00753518">
        <w:rPr>
          <w:b/>
          <w:szCs w:val="22"/>
          <w:u w:val="single"/>
          <w:lang w:val="it-IT"/>
        </w:rPr>
        <w:t>Parasite strain:</w:t>
      </w:r>
      <w:r w:rsidRPr="00753518">
        <w:rPr>
          <w:szCs w:val="22"/>
          <w:lang w:val="it-IT"/>
        </w:rPr>
        <w:tab/>
      </w:r>
      <w:r w:rsidRPr="00753518">
        <w:rPr>
          <w:i/>
          <w:szCs w:val="22"/>
          <w:lang w:val="it-IT"/>
        </w:rPr>
        <w:t xml:space="preserve">Plasmodium falciparum </w:t>
      </w:r>
      <w:r w:rsidRPr="00753518">
        <w:rPr>
          <w:szCs w:val="22"/>
          <w:lang w:val="it-IT"/>
        </w:rPr>
        <w:t>strain</w:t>
      </w:r>
      <w:r w:rsidRPr="00753518">
        <w:rPr>
          <w:i/>
          <w:szCs w:val="22"/>
          <w:lang w:val="it-IT"/>
        </w:rPr>
        <w:t xml:space="preserve"> Pf3D7</w:t>
      </w:r>
      <w:r w:rsidRPr="00753518">
        <w:rPr>
          <w:i/>
          <w:szCs w:val="22"/>
          <w:vertAlign w:val="superscript"/>
          <w:lang w:val="it-IT"/>
        </w:rPr>
        <w:t>0087/N9</w:t>
      </w:r>
    </w:p>
    <w:p w:rsidR="008200F5" w:rsidRDefault="008200F5" w:rsidP="00D86B03">
      <w:pPr>
        <w:ind w:left="2160"/>
        <w:rPr>
          <w:szCs w:val="22"/>
          <w:lang w:val="it-IT"/>
        </w:rPr>
      </w:pPr>
      <w:r>
        <w:rPr>
          <w:szCs w:val="22"/>
          <w:lang w:val="it-IT"/>
        </w:rPr>
        <w:t>Reference:</w:t>
      </w:r>
    </w:p>
    <w:p w:rsidR="00D86B03" w:rsidRPr="00753518" w:rsidRDefault="00D86B03" w:rsidP="00D86B03">
      <w:pPr>
        <w:ind w:left="2160"/>
        <w:rPr>
          <w:szCs w:val="22"/>
          <w:lang w:val="it-IT"/>
        </w:rPr>
      </w:pPr>
      <w:r w:rsidRPr="00753518">
        <w:rPr>
          <w:szCs w:val="22"/>
          <w:lang w:val="it-IT"/>
        </w:rPr>
        <w:t>María Belen Jimenez-Díaz, Teresa Mulet, Sara Viera, Vanessa Gomez, Helen Garuti, Javier Ibanez, Angela Alvarez-Doval, Leonard D. Shultz, Antonio Martínez, Domingo Gargallo-Viola, and Inigo Angulo-Barturen.</w:t>
      </w:r>
    </w:p>
    <w:p w:rsidR="00D86B03" w:rsidRPr="00753518" w:rsidRDefault="00D86B03" w:rsidP="00D86B03">
      <w:pPr>
        <w:ind w:left="2160"/>
        <w:rPr>
          <w:szCs w:val="22"/>
        </w:rPr>
      </w:pPr>
      <w:r w:rsidRPr="00753518">
        <w:rPr>
          <w:szCs w:val="22"/>
        </w:rPr>
        <w:t>Improved Murine Model of Malaria Using Plasmodium falciparum Competent Strains and Non-Myelodepleted NOD-scid IL2Rgamma</w:t>
      </w:r>
      <w:r w:rsidRPr="00753518">
        <w:rPr>
          <w:szCs w:val="22"/>
          <w:vertAlign w:val="superscript"/>
        </w:rPr>
        <w:t>null</w:t>
      </w:r>
      <w:r w:rsidRPr="00753518">
        <w:rPr>
          <w:szCs w:val="22"/>
        </w:rPr>
        <w:t xml:space="preserve"> Mice Engrafted with Human Erythrocytes.</w:t>
      </w:r>
    </w:p>
    <w:p w:rsidR="00D86B03" w:rsidRPr="00753518" w:rsidRDefault="00D86B03" w:rsidP="00D86B03">
      <w:pPr>
        <w:ind w:left="2160"/>
        <w:rPr>
          <w:szCs w:val="22"/>
        </w:rPr>
      </w:pPr>
      <w:r w:rsidRPr="00753518">
        <w:rPr>
          <w:szCs w:val="22"/>
        </w:rPr>
        <w:t>Antimicrobial Agents and Chemotherapy, 2009, 53:4533</w:t>
      </w:r>
    </w:p>
    <w:p w:rsidR="00D86B03" w:rsidRPr="00753518" w:rsidRDefault="00D86B03" w:rsidP="00D86B03">
      <w:pPr>
        <w:tabs>
          <w:tab w:val="left" w:pos="8505"/>
          <w:tab w:val="left" w:pos="9072"/>
        </w:tabs>
        <w:ind w:right="-426"/>
        <w:rPr>
          <w:szCs w:val="22"/>
        </w:rPr>
      </w:pPr>
    </w:p>
    <w:p w:rsidR="00D86B03" w:rsidRPr="00753518" w:rsidRDefault="00D86B03" w:rsidP="00D86B03">
      <w:pPr>
        <w:rPr>
          <w:b/>
          <w:szCs w:val="22"/>
          <w:lang w:val="en-GB"/>
        </w:rPr>
      </w:pPr>
      <w:r w:rsidRPr="00753518">
        <w:rPr>
          <w:b/>
          <w:szCs w:val="22"/>
          <w:u w:val="single"/>
          <w:lang w:val="en-GB"/>
        </w:rPr>
        <w:t>Standard drugs:</w:t>
      </w:r>
      <w:r w:rsidRPr="00753518">
        <w:rPr>
          <w:szCs w:val="22"/>
          <w:lang w:val="en-GB"/>
        </w:rPr>
        <w:t xml:space="preserve"> </w:t>
      </w:r>
      <w:r w:rsidRPr="00753518">
        <w:rPr>
          <w:szCs w:val="22"/>
          <w:lang w:val="en-GB"/>
        </w:rPr>
        <w:tab/>
        <w:t>Chloroquine (Sigma C6628</w:t>
      </w:r>
      <w:r w:rsidRPr="00753518">
        <w:rPr>
          <w:b/>
          <w:szCs w:val="22"/>
          <w:lang w:val="en-GB"/>
        </w:rPr>
        <w:t>)</w:t>
      </w:r>
    </w:p>
    <w:p w:rsidR="00D86B03" w:rsidRPr="00753518" w:rsidRDefault="00D86B03" w:rsidP="00D86B03">
      <w:pPr>
        <w:rPr>
          <w:szCs w:val="22"/>
          <w:lang w:val="en-GB"/>
        </w:rPr>
      </w:pPr>
    </w:p>
    <w:p w:rsidR="00D86B03" w:rsidRPr="00753518" w:rsidRDefault="00D86B03" w:rsidP="00D86B03">
      <w:pPr>
        <w:ind w:left="2127" w:right="-285" w:hanging="2127"/>
        <w:rPr>
          <w:szCs w:val="22"/>
          <w:lang w:val="en-GB"/>
        </w:rPr>
      </w:pPr>
      <w:r w:rsidRPr="00753518">
        <w:rPr>
          <w:b/>
          <w:szCs w:val="22"/>
          <w:u w:val="single"/>
          <w:lang w:val="en-GB"/>
        </w:rPr>
        <w:t>Drug preparation:</w:t>
      </w:r>
      <w:r w:rsidRPr="00753518">
        <w:rPr>
          <w:szCs w:val="22"/>
          <w:lang w:val="en-GB"/>
        </w:rPr>
        <w:t xml:space="preserve"> </w:t>
      </w:r>
      <w:r w:rsidRPr="00753518">
        <w:rPr>
          <w:szCs w:val="22"/>
          <w:lang w:val="en-GB"/>
        </w:rPr>
        <w:tab/>
        <w:t xml:space="preserve">Compounds are solubilised (suspended) in a solution </w:t>
      </w:r>
      <w:r w:rsidRPr="00753518">
        <w:rPr>
          <w:szCs w:val="22"/>
          <w:lang w:val="en-GB"/>
        </w:rPr>
        <w:tab/>
      </w:r>
      <w:r w:rsidRPr="00753518">
        <w:rPr>
          <w:szCs w:val="22"/>
          <w:lang w:val="en-GB"/>
        </w:rPr>
        <w:tab/>
      </w:r>
      <w:r w:rsidRPr="00753518">
        <w:rPr>
          <w:szCs w:val="22"/>
          <w:lang w:val="en-GB"/>
        </w:rPr>
        <w:tab/>
      </w:r>
      <w:r w:rsidRPr="00753518">
        <w:rPr>
          <w:szCs w:val="22"/>
          <w:lang w:val="en-GB"/>
        </w:rPr>
        <w:tab/>
        <w:t>consisting of 70% Tween-80 (d= 1.08g/ml) and 30% ethanol (d=0.81g/ml), followed by a 10-fold dilution in H</w:t>
      </w:r>
      <w:r w:rsidRPr="00753518">
        <w:rPr>
          <w:szCs w:val="22"/>
          <w:vertAlign w:val="subscript"/>
          <w:lang w:val="en-GB"/>
        </w:rPr>
        <w:t>2</w:t>
      </w:r>
      <w:r w:rsidRPr="00753518">
        <w:rPr>
          <w:szCs w:val="22"/>
          <w:lang w:val="en-GB"/>
        </w:rPr>
        <w:t>O.</w:t>
      </w:r>
    </w:p>
    <w:p w:rsidR="00D86B03" w:rsidRPr="00753518" w:rsidRDefault="00D86B03" w:rsidP="00D86B03">
      <w:pPr>
        <w:rPr>
          <w:szCs w:val="22"/>
          <w:lang w:val="en-GB"/>
        </w:rPr>
      </w:pPr>
    </w:p>
    <w:p w:rsidR="00D86B03" w:rsidRPr="00753518" w:rsidRDefault="00D86B03" w:rsidP="00D86B03">
      <w:pPr>
        <w:rPr>
          <w:szCs w:val="22"/>
          <w:lang w:val="en-GB"/>
        </w:rPr>
      </w:pPr>
      <w:r w:rsidRPr="00753518">
        <w:rPr>
          <w:b/>
          <w:szCs w:val="22"/>
          <w:u w:val="single"/>
          <w:lang w:val="en-GB"/>
        </w:rPr>
        <w:t>Mice:</w:t>
      </w:r>
      <w:r w:rsidRPr="00753518">
        <w:rPr>
          <w:b/>
          <w:szCs w:val="22"/>
          <w:lang w:val="en-GB"/>
        </w:rPr>
        <w:tab/>
      </w:r>
      <w:r w:rsidRPr="00753518">
        <w:rPr>
          <w:b/>
          <w:i/>
          <w:szCs w:val="22"/>
          <w:lang w:val="en-GB"/>
        </w:rPr>
        <w:tab/>
      </w:r>
      <w:r w:rsidRPr="00753518">
        <w:rPr>
          <w:b/>
          <w:i/>
          <w:szCs w:val="22"/>
          <w:lang w:val="en-GB"/>
        </w:rPr>
        <w:tab/>
      </w:r>
      <w:r w:rsidRPr="00753518">
        <w:rPr>
          <w:i/>
          <w:szCs w:val="22"/>
          <w:lang w:val="en-GB"/>
        </w:rPr>
        <w:t>NODscidIL2Rγ</w:t>
      </w:r>
      <w:r w:rsidRPr="00753518">
        <w:rPr>
          <w:i/>
          <w:szCs w:val="22"/>
          <w:vertAlign w:val="superscript"/>
          <w:lang w:val="en-GB"/>
        </w:rPr>
        <w:t>null</w:t>
      </w:r>
      <w:r w:rsidRPr="00753518">
        <w:rPr>
          <w:i/>
          <w:szCs w:val="22"/>
          <w:lang w:val="en-GB"/>
        </w:rPr>
        <w:t xml:space="preserve"> </w:t>
      </w:r>
      <w:r w:rsidRPr="00753518">
        <w:rPr>
          <w:szCs w:val="22"/>
          <w:lang w:val="en-GB"/>
        </w:rPr>
        <w:t>mice, females, 20 - 22 g</w:t>
      </w:r>
    </w:p>
    <w:p w:rsidR="00D86B03" w:rsidRPr="00753518" w:rsidRDefault="00D86B03" w:rsidP="00D86B03">
      <w:pPr>
        <w:rPr>
          <w:szCs w:val="22"/>
          <w:lang w:val="en-GB"/>
        </w:rPr>
      </w:pPr>
    </w:p>
    <w:p w:rsidR="00D86B03" w:rsidRPr="00753518" w:rsidRDefault="00D86B03" w:rsidP="00D86B03">
      <w:pPr>
        <w:rPr>
          <w:szCs w:val="22"/>
          <w:lang w:val="en-GB"/>
        </w:rPr>
      </w:pPr>
      <w:r w:rsidRPr="00753518">
        <w:rPr>
          <w:b/>
          <w:szCs w:val="22"/>
          <w:u w:val="single"/>
          <w:lang w:val="en-GB"/>
        </w:rPr>
        <w:t>Cages:</w:t>
      </w:r>
      <w:r w:rsidRPr="00753518">
        <w:rPr>
          <w:szCs w:val="22"/>
          <w:lang w:val="en-GB"/>
        </w:rPr>
        <w:tab/>
      </w:r>
      <w:r w:rsidRPr="00753518">
        <w:rPr>
          <w:szCs w:val="22"/>
          <w:lang w:val="en-GB"/>
        </w:rPr>
        <w:tab/>
        <w:t>Standard Macrolon cages type II</w:t>
      </w:r>
    </w:p>
    <w:p w:rsidR="00D86B03" w:rsidRPr="00753518" w:rsidRDefault="00D86B03" w:rsidP="00D86B03">
      <w:pPr>
        <w:rPr>
          <w:szCs w:val="22"/>
          <w:lang w:val="en-GB"/>
        </w:rPr>
      </w:pPr>
    </w:p>
    <w:p w:rsidR="00D86B03" w:rsidRPr="00753518" w:rsidRDefault="00D86B03" w:rsidP="00D86B03">
      <w:pPr>
        <w:ind w:left="2127" w:hanging="2127"/>
        <w:rPr>
          <w:szCs w:val="22"/>
          <w:lang w:val="en-GB"/>
        </w:rPr>
      </w:pPr>
      <w:r w:rsidRPr="00753518">
        <w:rPr>
          <w:b/>
          <w:szCs w:val="22"/>
          <w:u w:val="single"/>
          <w:lang w:val="en-GB"/>
        </w:rPr>
        <w:t>Maintenance:</w:t>
      </w:r>
      <w:r w:rsidRPr="00753518">
        <w:rPr>
          <w:szCs w:val="22"/>
          <w:lang w:val="en-GB"/>
        </w:rPr>
        <w:t xml:space="preserve"> </w:t>
      </w:r>
      <w:r w:rsidRPr="00753518">
        <w:rPr>
          <w:szCs w:val="22"/>
          <w:lang w:val="en-GB"/>
        </w:rPr>
        <w:tab/>
        <w:t>Mice are kept in individ</w:t>
      </w:r>
      <w:r w:rsidR="0026019C">
        <w:rPr>
          <w:szCs w:val="22"/>
          <w:lang w:val="en-GB"/>
        </w:rPr>
        <w:t>ually ventilated cages (IVC), but</w:t>
      </w:r>
      <w:r w:rsidRPr="00753518">
        <w:rPr>
          <w:szCs w:val="22"/>
          <w:lang w:val="en-GB"/>
        </w:rPr>
        <w:t xml:space="preserve"> otherwise </w:t>
      </w:r>
      <w:r w:rsidR="0026019C">
        <w:rPr>
          <w:szCs w:val="22"/>
          <w:lang w:val="en-GB"/>
        </w:rPr>
        <w:t xml:space="preserve">under </w:t>
      </w:r>
      <w:r w:rsidRPr="00753518">
        <w:rPr>
          <w:szCs w:val="22"/>
          <w:lang w:val="en-GB"/>
        </w:rPr>
        <w:t>standard conditions with 22</w:t>
      </w:r>
      <w:r w:rsidRPr="00753518">
        <w:rPr>
          <w:szCs w:val="22"/>
          <w:lang w:val="de-CH"/>
        </w:rPr>
        <w:sym w:font="Symbol" w:char="F0B0"/>
      </w:r>
      <w:r w:rsidRPr="00753518">
        <w:rPr>
          <w:szCs w:val="22"/>
          <w:lang w:val="en-GB"/>
        </w:rPr>
        <w:t>C and 60 –</w:t>
      </w:r>
      <w:r w:rsidR="0026019C">
        <w:rPr>
          <w:szCs w:val="22"/>
          <w:lang w:val="en-GB"/>
        </w:rPr>
        <w:t xml:space="preserve"> 70 % relative humidity, pellets (</w:t>
      </w:r>
      <w:r w:rsidRPr="00753518">
        <w:rPr>
          <w:szCs w:val="22"/>
          <w:lang w:val="en-GB"/>
        </w:rPr>
        <w:t>PAB45 – NAFAG 9</w:t>
      </w:r>
      <w:r w:rsidR="0026019C">
        <w:rPr>
          <w:szCs w:val="22"/>
          <w:lang w:val="en-GB"/>
        </w:rPr>
        <w:t>009, Provimi Kliba AG, CH-4303 ,Kaiseraugst, Switzerland)</w:t>
      </w:r>
      <w:r w:rsidRPr="00753518">
        <w:rPr>
          <w:szCs w:val="22"/>
          <w:lang w:val="en-GB"/>
        </w:rPr>
        <w:t xml:space="preserve"> </w:t>
      </w:r>
      <w:r w:rsidR="0026019C">
        <w:rPr>
          <w:szCs w:val="22"/>
          <w:lang w:val="en-GB"/>
        </w:rPr>
        <w:t xml:space="preserve">and </w:t>
      </w:r>
      <w:r w:rsidRPr="00753518">
        <w:rPr>
          <w:szCs w:val="22"/>
          <w:lang w:val="en-GB"/>
        </w:rPr>
        <w:t xml:space="preserve">water </w:t>
      </w:r>
      <w:r w:rsidRPr="00753518">
        <w:rPr>
          <w:i/>
          <w:szCs w:val="22"/>
          <w:lang w:val="en-GB"/>
        </w:rPr>
        <w:t>ad libitum</w:t>
      </w:r>
      <w:r w:rsidRPr="00753518">
        <w:rPr>
          <w:szCs w:val="22"/>
          <w:lang w:val="en-GB"/>
        </w:rPr>
        <w:t>.</w:t>
      </w:r>
    </w:p>
    <w:p w:rsidR="00D86B03" w:rsidRPr="00753518" w:rsidRDefault="00D86B03" w:rsidP="00D86B03">
      <w:pPr>
        <w:rPr>
          <w:szCs w:val="22"/>
          <w:lang w:val="en-GB"/>
        </w:rPr>
      </w:pPr>
    </w:p>
    <w:p w:rsidR="00D86B03" w:rsidRPr="00753518" w:rsidRDefault="00D86B03" w:rsidP="00D86B03">
      <w:pPr>
        <w:rPr>
          <w:szCs w:val="22"/>
          <w:lang w:val="en-GB"/>
        </w:rPr>
      </w:pPr>
    </w:p>
    <w:p w:rsidR="00D86B03" w:rsidRPr="00753518" w:rsidRDefault="00D86B03" w:rsidP="00D86B03">
      <w:pPr>
        <w:rPr>
          <w:b/>
          <w:szCs w:val="22"/>
          <w:lang w:val="en-GB"/>
        </w:rPr>
      </w:pPr>
      <w:r w:rsidRPr="00753518">
        <w:rPr>
          <w:b/>
          <w:szCs w:val="22"/>
          <w:u w:val="single"/>
          <w:lang w:val="en-GB"/>
        </w:rPr>
        <w:t>Test procedure:</w:t>
      </w:r>
    </w:p>
    <w:p w:rsidR="00D86B03" w:rsidRPr="00753518" w:rsidRDefault="00D86B03" w:rsidP="00D86B03">
      <w:pPr>
        <w:rPr>
          <w:szCs w:val="22"/>
          <w:lang w:val="en-GB"/>
        </w:rPr>
      </w:pPr>
    </w:p>
    <w:p w:rsidR="00D86B03" w:rsidRPr="00753518" w:rsidRDefault="00D86B03" w:rsidP="00D86B03">
      <w:pPr>
        <w:tabs>
          <w:tab w:val="left" w:pos="9638"/>
        </w:tabs>
        <w:ind w:left="2127" w:hanging="2127"/>
        <w:rPr>
          <w:b/>
          <w:szCs w:val="22"/>
          <w:lang w:val="en-GB"/>
        </w:rPr>
      </w:pPr>
      <w:r w:rsidRPr="00753518">
        <w:rPr>
          <w:szCs w:val="22"/>
          <w:lang w:val="en-GB"/>
        </w:rPr>
        <w:t>Day 0</w:t>
      </w:r>
      <w:r w:rsidRPr="00753518">
        <w:rPr>
          <w:b/>
          <w:szCs w:val="22"/>
          <w:lang w:val="en-GB"/>
        </w:rPr>
        <w:tab/>
      </w:r>
      <w:r w:rsidRPr="00753518">
        <w:rPr>
          <w:szCs w:val="22"/>
          <w:lang w:val="en-GB"/>
        </w:rPr>
        <w:t xml:space="preserve">From a donor mouse with approximately 5-10% </w:t>
      </w:r>
      <w:r w:rsidR="004309F6" w:rsidRPr="00753518">
        <w:rPr>
          <w:szCs w:val="22"/>
          <w:lang w:val="en-GB"/>
        </w:rPr>
        <w:t>parasitemia</w:t>
      </w:r>
      <w:r w:rsidRPr="00753518">
        <w:rPr>
          <w:szCs w:val="22"/>
          <w:lang w:val="en-GB"/>
        </w:rPr>
        <w:t>, heparinized blood (containing 100 microl</w:t>
      </w:r>
      <w:r w:rsidR="004309F6">
        <w:rPr>
          <w:szCs w:val="22"/>
          <w:lang w:val="en-GB"/>
        </w:rPr>
        <w:t>iter</w:t>
      </w:r>
      <w:r w:rsidRPr="00753518">
        <w:rPr>
          <w:szCs w:val="22"/>
          <w:lang w:val="en-GB"/>
        </w:rPr>
        <w:t xml:space="preserve"> of 200 u/ml Heparin) is taken and diluted in physiological saline to 10</w:t>
      </w:r>
      <w:r w:rsidRPr="00753518">
        <w:rPr>
          <w:szCs w:val="22"/>
          <w:vertAlign w:val="superscript"/>
          <w:lang w:val="en-GB"/>
        </w:rPr>
        <w:t xml:space="preserve">8 </w:t>
      </w:r>
      <w:r w:rsidRPr="00753518">
        <w:rPr>
          <w:szCs w:val="22"/>
          <w:lang w:val="en-GB"/>
        </w:rPr>
        <w:t xml:space="preserve"> parasitized erythrocytes per ml. Of this suspension, 0.2ml is injected intravenously </w:t>
      </w:r>
      <w:r w:rsidR="00EB4189">
        <w:rPr>
          <w:szCs w:val="22"/>
          <w:lang w:val="en-GB"/>
        </w:rPr>
        <w:t>(i.v.) into experimental groups</w:t>
      </w:r>
      <w:r w:rsidRPr="00753518">
        <w:rPr>
          <w:szCs w:val="22"/>
          <w:lang w:val="en-GB"/>
        </w:rPr>
        <w:t xml:space="preserve"> and a control group of n=3-5 mice.</w:t>
      </w:r>
    </w:p>
    <w:p w:rsidR="00D86B03" w:rsidRPr="00753518" w:rsidRDefault="00D86B03" w:rsidP="00D86B03">
      <w:pPr>
        <w:tabs>
          <w:tab w:val="left" w:pos="9638"/>
        </w:tabs>
        <w:ind w:left="2268" w:hanging="2268"/>
        <w:rPr>
          <w:szCs w:val="22"/>
        </w:rPr>
      </w:pPr>
    </w:p>
    <w:p w:rsidR="00D86B03" w:rsidRPr="00753518" w:rsidRDefault="00D86B03" w:rsidP="00D86B03">
      <w:pPr>
        <w:pStyle w:val="BlockText"/>
        <w:tabs>
          <w:tab w:val="left" w:pos="9638"/>
        </w:tabs>
        <w:ind w:left="2127" w:hanging="2127"/>
        <w:rPr>
          <w:rFonts w:ascii="Arial" w:hAnsi="Arial" w:cs="Arial"/>
          <w:sz w:val="22"/>
          <w:szCs w:val="22"/>
        </w:rPr>
      </w:pPr>
      <w:r w:rsidRPr="00753518">
        <w:rPr>
          <w:rFonts w:ascii="Arial" w:hAnsi="Arial" w:cs="Arial"/>
          <w:sz w:val="22"/>
          <w:szCs w:val="22"/>
        </w:rPr>
        <w:t>Day 3 - 6</w:t>
      </w:r>
      <w:r w:rsidRPr="00753518">
        <w:rPr>
          <w:rFonts w:ascii="Arial" w:hAnsi="Arial" w:cs="Arial"/>
          <w:sz w:val="22"/>
          <w:szCs w:val="22"/>
        </w:rPr>
        <w:tab/>
        <w:t>3, 4, 5 and 6 days post-infection, the experimental groups are treated with a single daily dose by the oral (po) route. Other routes of application are possible. The drug concentration is adjusted in a way that 10ml/kg has to be injected.</w:t>
      </w:r>
    </w:p>
    <w:p w:rsidR="00D86B03" w:rsidRPr="00753518" w:rsidRDefault="00D86B03" w:rsidP="00D86B03">
      <w:pPr>
        <w:tabs>
          <w:tab w:val="left" w:pos="9638"/>
        </w:tabs>
        <w:ind w:left="2268" w:hanging="2268"/>
        <w:rPr>
          <w:szCs w:val="22"/>
        </w:rPr>
      </w:pPr>
    </w:p>
    <w:p w:rsidR="00D86B03" w:rsidRPr="00753518" w:rsidRDefault="00944B93" w:rsidP="00D86B03">
      <w:pPr>
        <w:tabs>
          <w:tab w:val="left" w:pos="9638"/>
        </w:tabs>
        <w:ind w:left="2127" w:hanging="2127"/>
        <w:rPr>
          <w:szCs w:val="22"/>
        </w:rPr>
      </w:pPr>
      <w:r>
        <w:rPr>
          <w:szCs w:val="22"/>
        </w:rPr>
        <w:t>Day 3, 5</w:t>
      </w:r>
      <w:r w:rsidR="008F6E88">
        <w:rPr>
          <w:szCs w:val="22"/>
        </w:rPr>
        <w:t>, 6</w:t>
      </w:r>
      <w:r>
        <w:rPr>
          <w:szCs w:val="22"/>
        </w:rPr>
        <w:t xml:space="preserve"> and 7</w:t>
      </w:r>
      <w:r w:rsidR="00D86B03" w:rsidRPr="00753518">
        <w:rPr>
          <w:szCs w:val="22"/>
        </w:rPr>
        <w:tab/>
      </w:r>
      <w:r>
        <w:rPr>
          <w:szCs w:val="22"/>
        </w:rPr>
        <w:t>3, 5</w:t>
      </w:r>
      <w:r w:rsidR="00E81380">
        <w:rPr>
          <w:szCs w:val="22"/>
        </w:rPr>
        <w:t>, 6</w:t>
      </w:r>
      <w:r>
        <w:rPr>
          <w:szCs w:val="22"/>
        </w:rPr>
        <w:t xml:space="preserve"> and </w:t>
      </w:r>
      <w:r w:rsidR="00D86B03" w:rsidRPr="00753518">
        <w:rPr>
          <w:szCs w:val="22"/>
        </w:rPr>
        <w:t xml:space="preserve">7 days </w:t>
      </w:r>
      <w:r>
        <w:rPr>
          <w:szCs w:val="22"/>
        </w:rPr>
        <w:t>post-infection</w:t>
      </w:r>
      <w:r w:rsidR="00D86B03" w:rsidRPr="00753518">
        <w:rPr>
          <w:szCs w:val="22"/>
        </w:rPr>
        <w:t xml:space="preserve">, 2 microliter tail blood is taken and </w:t>
      </w:r>
      <w:r w:rsidR="004309F6" w:rsidRPr="00753518">
        <w:rPr>
          <w:szCs w:val="22"/>
        </w:rPr>
        <w:t>parasitemia</w:t>
      </w:r>
      <w:r w:rsidR="00D86B03" w:rsidRPr="00753518">
        <w:rPr>
          <w:szCs w:val="22"/>
        </w:rPr>
        <w:t xml:space="preserve"> as well as hematocrit determined by FACS.</w:t>
      </w:r>
      <w:r w:rsidR="00ED4225">
        <w:rPr>
          <w:szCs w:val="22"/>
        </w:rPr>
        <w:t xml:space="preserve"> On day</w:t>
      </w:r>
      <w:r w:rsidR="003F3DB7">
        <w:rPr>
          <w:szCs w:val="22"/>
        </w:rPr>
        <w:t>s 3 and</w:t>
      </w:r>
      <w:r w:rsidR="00ED4225">
        <w:rPr>
          <w:szCs w:val="22"/>
        </w:rPr>
        <w:t xml:space="preserve"> 7 parasitemia </w:t>
      </w:r>
      <w:r w:rsidR="00B3150F">
        <w:rPr>
          <w:szCs w:val="22"/>
        </w:rPr>
        <w:t xml:space="preserve">is also determined by </w:t>
      </w:r>
      <w:r w:rsidR="008C6611">
        <w:rPr>
          <w:szCs w:val="22"/>
        </w:rPr>
        <w:t>microscopy</w:t>
      </w:r>
      <w:r w:rsidR="00B3150F">
        <w:rPr>
          <w:szCs w:val="22"/>
        </w:rPr>
        <w:t xml:space="preserve"> on </w:t>
      </w:r>
      <w:r w:rsidR="00B3150F" w:rsidRPr="00B3150F">
        <w:rPr>
          <w:szCs w:val="22"/>
        </w:rPr>
        <w:t>&gt;10'000 red blood cells</w:t>
      </w:r>
      <w:r w:rsidR="00B3150F">
        <w:rPr>
          <w:szCs w:val="22"/>
        </w:rPr>
        <w:t>.</w:t>
      </w:r>
    </w:p>
    <w:p w:rsidR="00D86B03" w:rsidRPr="00753518" w:rsidRDefault="00D86B03" w:rsidP="00D86B03">
      <w:pPr>
        <w:tabs>
          <w:tab w:val="left" w:pos="9638"/>
        </w:tabs>
        <w:ind w:left="2127" w:hanging="2127"/>
        <w:rPr>
          <w:szCs w:val="22"/>
        </w:rPr>
      </w:pPr>
      <w:r w:rsidRPr="00753518">
        <w:rPr>
          <w:szCs w:val="22"/>
        </w:rPr>
        <w:lastRenderedPageBreak/>
        <w:tab/>
        <w:t>The difference of the mean infection rate of the control group (= 100%) to the test group is calculated and expressed as percent reduction. As an example, activity determination with a mean of e.g. 2% parasitemia in treated mice and a mean of e.g. 40% parasitemia in the control animals is calculated as follows: (40%-2%)/40% *100= 95% activity.</w:t>
      </w:r>
    </w:p>
    <w:p w:rsidR="00D86B03" w:rsidRPr="00753518" w:rsidRDefault="00D86B03" w:rsidP="00D86B03">
      <w:pPr>
        <w:tabs>
          <w:tab w:val="left" w:pos="9638"/>
        </w:tabs>
        <w:ind w:left="2127"/>
        <w:rPr>
          <w:szCs w:val="22"/>
        </w:rPr>
      </w:pPr>
      <w:r w:rsidRPr="00753518">
        <w:rPr>
          <w:szCs w:val="22"/>
        </w:rPr>
        <w:t xml:space="preserve">The results are expressed as reduction of </w:t>
      </w:r>
      <w:r w:rsidR="004309F6" w:rsidRPr="00753518">
        <w:rPr>
          <w:szCs w:val="22"/>
        </w:rPr>
        <w:t>parasitemia</w:t>
      </w:r>
      <w:r w:rsidRPr="00753518">
        <w:rPr>
          <w:szCs w:val="22"/>
        </w:rPr>
        <w:t xml:space="preserve"> on day 7 in % as compared to the untreated control group.</w:t>
      </w:r>
    </w:p>
    <w:p w:rsidR="00D86B03" w:rsidRPr="00722360" w:rsidRDefault="00D86B03" w:rsidP="00D86B03">
      <w:pPr>
        <w:jc w:val="both"/>
      </w:pPr>
    </w:p>
    <w:p w:rsidR="00D86B03" w:rsidRDefault="00D86B03" w:rsidP="000C2133"/>
    <w:p w:rsidR="00D86B03" w:rsidRDefault="00D86B03">
      <w:r>
        <w:br w:type="page"/>
      </w:r>
    </w:p>
    <w:p w:rsidR="00D86B03" w:rsidRPr="000C2133" w:rsidRDefault="00D86B03" w:rsidP="000C2133"/>
    <w:p w:rsidR="00D024B0" w:rsidRPr="00D024B0" w:rsidRDefault="002C5731" w:rsidP="002B3D2E">
      <w:pPr>
        <w:pStyle w:val="Heading2"/>
      </w:pPr>
      <w:r>
        <w:t>Results</w:t>
      </w:r>
    </w:p>
    <w:p w:rsidR="002B592A" w:rsidRPr="00C95A8C" w:rsidRDefault="00C95A8C" w:rsidP="00C95A8C">
      <w:r>
        <w:rPr>
          <w:szCs w:val="22"/>
          <w:lang w:val="en-GB"/>
        </w:rPr>
        <w:t>The compound was</w:t>
      </w:r>
      <w:r w:rsidRPr="00753518">
        <w:rPr>
          <w:szCs w:val="22"/>
          <w:lang w:val="en-GB"/>
        </w:rPr>
        <w:t xml:space="preserve"> solubilise</w:t>
      </w:r>
      <w:r>
        <w:rPr>
          <w:szCs w:val="22"/>
          <w:lang w:val="en-GB"/>
        </w:rPr>
        <w:t>d (</w:t>
      </w:r>
      <w:r w:rsidRPr="00C95A8C">
        <w:rPr>
          <w:szCs w:val="22"/>
          <w:highlight w:val="yellow"/>
          <w:lang w:val="en-GB"/>
        </w:rPr>
        <w:t>suspension, milky</w:t>
      </w:r>
      <w:r>
        <w:rPr>
          <w:szCs w:val="22"/>
          <w:lang w:val="en-GB"/>
        </w:rPr>
        <w:t xml:space="preserve">) in a solution </w:t>
      </w:r>
      <w:r w:rsidRPr="00753518">
        <w:rPr>
          <w:szCs w:val="22"/>
          <w:lang w:val="en-GB"/>
        </w:rPr>
        <w:t xml:space="preserve">consisting of 70% </w:t>
      </w:r>
      <w:proofErr w:type="spellStart"/>
      <w:r w:rsidRPr="00753518">
        <w:rPr>
          <w:szCs w:val="22"/>
          <w:lang w:val="en-GB"/>
        </w:rPr>
        <w:t>Twe</w:t>
      </w:r>
      <w:proofErr w:type="spellEnd"/>
      <w:r w:rsidRPr="00C95A8C">
        <w:t xml:space="preserve">en-80 </w:t>
      </w:r>
      <w:r>
        <w:t xml:space="preserve">and </w:t>
      </w:r>
      <w:r>
        <w:rPr>
          <w:lang w:val="en-GB"/>
        </w:rPr>
        <w:t>30%</w:t>
      </w:r>
      <w:r w:rsidR="00423019">
        <w:rPr>
          <w:lang w:val="en-GB"/>
        </w:rPr>
        <w:t xml:space="preserve"> </w:t>
      </w:r>
      <w:r>
        <w:rPr>
          <w:lang w:val="en-GB"/>
        </w:rPr>
        <w:t>ethanol</w:t>
      </w:r>
      <w:r w:rsidRPr="00753518">
        <w:rPr>
          <w:lang w:val="en-GB"/>
        </w:rPr>
        <w:t>, followed by a 10-fold dilution in H</w:t>
      </w:r>
      <w:r w:rsidRPr="00753518">
        <w:rPr>
          <w:vertAlign w:val="subscript"/>
          <w:lang w:val="en-GB"/>
        </w:rPr>
        <w:t>2</w:t>
      </w:r>
      <w:r w:rsidRPr="00753518">
        <w:rPr>
          <w:lang w:val="en-GB"/>
        </w:rPr>
        <w:t>O.</w:t>
      </w:r>
      <w:r>
        <w:rPr>
          <w:lang w:val="en-GB"/>
        </w:rPr>
        <w:t xml:space="preserve"> </w:t>
      </w:r>
      <w:r w:rsidR="00347CD0" w:rsidRPr="00753518">
        <w:t xml:space="preserve">The </w:t>
      </w:r>
      <w:r w:rsidR="00112462" w:rsidRPr="00753518">
        <w:t xml:space="preserve">therapeutic efficacy of </w:t>
      </w:r>
      <w:r w:rsidR="00250F5E" w:rsidRPr="00921963">
        <w:rPr>
          <w:highlight w:val="yellow"/>
        </w:rPr>
        <w:t>MMV669844</w:t>
      </w:r>
      <w:r>
        <w:t xml:space="preserve"> against </w:t>
      </w:r>
      <w:r w:rsidR="00112462" w:rsidRPr="00753518">
        <w:rPr>
          <w:i/>
        </w:rPr>
        <w:t>P. falciparum</w:t>
      </w:r>
      <w:r w:rsidR="00112462" w:rsidRPr="00753518">
        <w:t xml:space="preserve"> </w:t>
      </w:r>
      <w:r w:rsidR="00112462" w:rsidRPr="00E13E69">
        <w:rPr>
          <w:i/>
        </w:rPr>
        <w:t>in vivo</w:t>
      </w:r>
      <w:r w:rsidR="00112462" w:rsidRPr="00753518">
        <w:t xml:space="preserve"> is illustrated in Figure 1</w:t>
      </w:r>
      <w:r w:rsidR="00AB3D38">
        <w:t xml:space="preserve"> and Tables 1-2</w:t>
      </w:r>
      <w:r w:rsidR="00112462" w:rsidRPr="00753518">
        <w:t xml:space="preserve">. </w:t>
      </w:r>
    </w:p>
    <w:p w:rsidR="00112462" w:rsidRDefault="00112462" w:rsidP="00112462">
      <w:pPr>
        <w:jc w:val="both"/>
        <w:rPr>
          <w:sz w:val="24"/>
          <w:szCs w:val="24"/>
        </w:rPr>
      </w:pPr>
    </w:p>
    <w:p w:rsidR="00112462" w:rsidRDefault="00112462" w:rsidP="00112462">
      <w:pPr>
        <w:spacing w:line="360" w:lineRule="auto"/>
        <w:rPr>
          <w:b/>
          <w:bCs/>
          <w:lang w:val="en-GB" w:eastAsia="de-CH"/>
        </w:rPr>
      </w:pPr>
    </w:p>
    <w:p w:rsidR="00F531BE" w:rsidRPr="00D53AB5" w:rsidRDefault="00F531BE" w:rsidP="005D1050">
      <w:r>
        <w:rPr>
          <w:b/>
          <w:bCs/>
          <w:lang w:val="en-GB" w:eastAsia="de-CH"/>
        </w:rPr>
        <w:t xml:space="preserve">Figure 1: Therapeutic efficacy of </w:t>
      </w:r>
      <w:r w:rsidR="003340E6" w:rsidRPr="003340E6">
        <w:rPr>
          <w:b/>
          <w:highlight w:val="yellow"/>
        </w:rPr>
        <w:t>MMV669844</w:t>
      </w:r>
      <w:r>
        <w:rPr>
          <w:b/>
          <w:bCs/>
          <w:lang w:val="en-GB" w:eastAsia="de-CH"/>
        </w:rPr>
        <w:t xml:space="preserve"> </w:t>
      </w:r>
      <w:r w:rsidRPr="00F531BE">
        <w:rPr>
          <w:b/>
          <w:bCs/>
          <w:lang w:val="en-GB" w:eastAsia="de-CH"/>
        </w:rPr>
        <w:t xml:space="preserve">against </w:t>
      </w:r>
      <w:r w:rsidRPr="00F531BE">
        <w:rPr>
          <w:b/>
          <w:i/>
        </w:rPr>
        <w:t>P. falciparum Pf3D7</w:t>
      </w:r>
      <w:r w:rsidRPr="00F531BE">
        <w:rPr>
          <w:b/>
          <w:i/>
          <w:vertAlign w:val="superscript"/>
        </w:rPr>
        <w:t>0087/N9</w:t>
      </w:r>
      <w:r w:rsidRPr="00F531BE">
        <w:rPr>
          <w:b/>
          <w:i/>
        </w:rPr>
        <w:t>.</w:t>
      </w:r>
      <w:r>
        <w:rPr>
          <w:b/>
          <w:i/>
        </w:rPr>
        <w:t xml:space="preserve"> </w:t>
      </w:r>
      <w:r w:rsidRPr="00D53AB5">
        <w:t>The arrows indicate the days of treatment in the 4-day test by Peters. Values are the level of parasi</w:t>
      </w:r>
      <w:r w:rsidR="003340E6">
        <w:t>temia in peripheral blood of n=2</w:t>
      </w:r>
      <w:r w:rsidRPr="00D53AB5">
        <w:t xml:space="preserve"> mice/group.</w:t>
      </w:r>
    </w:p>
    <w:p w:rsidR="00F531BE" w:rsidRDefault="00F531BE" w:rsidP="00112462">
      <w:pPr>
        <w:spacing w:line="360" w:lineRule="auto"/>
        <w:rPr>
          <w:b/>
        </w:rPr>
      </w:pPr>
    </w:p>
    <w:p w:rsidR="00044AF8" w:rsidRDefault="00044AF8" w:rsidP="00112462">
      <w:pPr>
        <w:spacing w:line="360" w:lineRule="auto"/>
        <w:rPr>
          <w:b/>
        </w:rPr>
      </w:pPr>
      <w:r w:rsidRPr="00044AF8">
        <w:rPr>
          <w:noProof/>
          <w:lang w:val="en-GB" w:eastAsia="en-GB"/>
        </w:rPr>
        <w:drawing>
          <wp:inline distT="0" distB="0" distL="0" distR="0" wp14:anchorId="47AEA170" wp14:editId="117429DF">
            <wp:extent cx="5943600" cy="485611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B5" w:rsidRDefault="00D53AB5" w:rsidP="00112462">
      <w:pPr>
        <w:spacing w:line="360" w:lineRule="auto"/>
        <w:rPr>
          <w:b/>
        </w:rPr>
      </w:pPr>
    </w:p>
    <w:p w:rsidR="00F531BE" w:rsidRPr="00F531BE" w:rsidRDefault="00F531BE" w:rsidP="00112462">
      <w:pPr>
        <w:spacing w:line="360" w:lineRule="auto"/>
        <w:rPr>
          <w:b/>
          <w:bCs/>
          <w:lang w:val="en-GB" w:eastAsia="de-CH"/>
        </w:rPr>
      </w:pPr>
    </w:p>
    <w:p w:rsidR="00044AF8" w:rsidRDefault="00044AF8">
      <w:pPr>
        <w:rPr>
          <w:b/>
          <w:bCs/>
          <w:lang w:val="en-GB" w:eastAsia="de-CH"/>
        </w:rPr>
      </w:pPr>
      <w:r>
        <w:rPr>
          <w:b/>
          <w:bCs/>
          <w:lang w:val="en-GB" w:eastAsia="de-CH"/>
        </w:rPr>
        <w:br w:type="page"/>
      </w:r>
    </w:p>
    <w:p w:rsidR="00F531BE" w:rsidRDefault="00F531BE" w:rsidP="00112462">
      <w:pPr>
        <w:spacing w:line="360" w:lineRule="auto"/>
        <w:rPr>
          <w:b/>
          <w:bCs/>
          <w:lang w:val="en-GB" w:eastAsia="de-CH"/>
        </w:rPr>
      </w:pPr>
    </w:p>
    <w:p w:rsidR="003508B3" w:rsidRDefault="003508B3" w:rsidP="003508B3">
      <w:pPr>
        <w:pStyle w:val="TableHeader"/>
        <w:tabs>
          <w:tab w:val="left" w:pos="0"/>
        </w:tabs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  <w:lang w:val="en-GB"/>
        </w:rPr>
        <w:t>Table 1</w:t>
      </w:r>
      <w:r w:rsidRPr="005D1050">
        <w:rPr>
          <w:rFonts w:ascii="Arial" w:hAnsi="Arial" w:cs="Arial"/>
          <w:sz w:val="22"/>
          <w:szCs w:val="22"/>
        </w:rPr>
        <w:t>:</w:t>
      </w:r>
      <w:r w:rsidRPr="005D1050">
        <w:rPr>
          <w:rFonts w:ascii="Arial" w:hAnsi="Arial" w:cs="Arial"/>
          <w:sz w:val="22"/>
          <w:szCs w:val="22"/>
        </w:rPr>
        <w:tab/>
      </w:r>
      <w:r w:rsidR="00AB3D38">
        <w:rPr>
          <w:rFonts w:ascii="Arial" w:hAnsi="Arial" w:cs="Arial"/>
          <w:sz w:val="22"/>
          <w:szCs w:val="22"/>
        </w:rPr>
        <w:t>Average</w:t>
      </w:r>
      <w:r>
        <w:rPr>
          <w:rFonts w:ascii="Arial" w:hAnsi="Arial" w:cs="Arial"/>
          <w:sz w:val="22"/>
          <w:szCs w:val="22"/>
        </w:rPr>
        <w:t xml:space="preserve"> </w:t>
      </w:r>
      <w:r w:rsidRPr="001C50A3">
        <w:rPr>
          <w:rFonts w:ascii="Arial" w:hAnsi="Arial" w:cs="Arial"/>
          <w:sz w:val="22"/>
          <w:szCs w:val="22"/>
        </w:rPr>
        <w:t>parasitemia values</w:t>
      </w:r>
      <w:r w:rsidR="00AB3D38">
        <w:rPr>
          <w:rFonts w:ascii="Arial" w:hAnsi="Arial" w:cs="Arial"/>
          <w:sz w:val="22"/>
          <w:szCs w:val="22"/>
        </w:rPr>
        <w:t xml:space="preserve"> used for Figure 1</w:t>
      </w:r>
      <w:r w:rsidRPr="001C50A3">
        <w:rPr>
          <w:rFonts w:ascii="Arial" w:hAnsi="Arial" w:cs="Arial"/>
          <w:sz w:val="22"/>
          <w:szCs w:val="22"/>
        </w:rPr>
        <w:t>.</w:t>
      </w:r>
      <w:proofErr w:type="gramEnd"/>
    </w:p>
    <w:p w:rsidR="00B3296E" w:rsidRPr="005D1050" w:rsidRDefault="00B3296E" w:rsidP="003508B3">
      <w:pPr>
        <w:pStyle w:val="TableHeader"/>
        <w:tabs>
          <w:tab w:val="left" w:pos="0"/>
        </w:tabs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3508B3" w:rsidRDefault="00AB3D38" w:rsidP="003508B3">
      <w:pPr>
        <w:pStyle w:val="TableHeader"/>
        <w:spacing w:line="360" w:lineRule="auto"/>
      </w:pPr>
      <w:r>
        <w:object w:dxaOrig="6552" w:dyaOrig="3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6pt;height:172.2pt" o:ole="">
            <v:imagedata r:id="rId10" o:title=""/>
          </v:shape>
          <o:OLEObject Type="Embed" ProgID="Excel.Sheet.12" ShapeID="_x0000_i1025" DrawAspect="Content" ObjectID="_1453813830" r:id="rId11"/>
        </w:object>
      </w:r>
    </w:p>
    <w:p w:rsidR="003508B3" w:rsidRDefault="003508B3" w:rsidP="00112462">
      <w:pPr>
        <w:spacing w:line="360" w:lineRule="auto"/>
        <w:rPr>
          <w:b/>
          <w:bCs/>
          <w:lang w:val="en-GB" w:eastAsia="de-CH"/>
        </w:rPr>
      </w:pPr>
    </w:p>
    <w:p w:rsidR="00112462" w:rsidRPr="005D1050" w:rsidRDefault="003508B3" w:rsidP="005D1050">
      <w:pPr>
        <w:pStyle w:val="TableHeader"/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/>
        </w:rPr>
        <w:t>Table 2</w:t>
      </w:r>
      <w:r w:rsidR="00112462" w:rsidRPr="005D1050">
        <w:rPr>
          <w:rFonts w:ascii="Arial" w:hAnsi="Arial" w:cs="Arial"/>
          <w:sz w:val="22"/>
          <w:szCs w:val="22"/>
        </w:rPr>
        <w:t>:</w:t>
      </w:r>
      <w:r w:rsidR="00112462" w:rsidRPr="005D1050">
        <w:rPr>
          <w:rFonts w:ascii="Arial" w:hAnsi="Arial" w:cs="Arial"/>
          <w:sz w:val="22"/>
          <w:szCs w:val="22"/>
        </w:rPr>
        <w:tab/>
      </w:r>
      <w:r w:rsidR="00112462" w:rsidRPr="005D1050">
        <w:rPr>
          <w:rFonts w:ascii="Arial" w:hAnsi="Arial" w:cs="Arial"/>
          <w:i/>
          <w:sz w:val="22"/>
          <w:szCs w:val="22"/>
        </w:rPr>
        <w:t xml:space="preserve">In vivo </w:t>
      </w:r>
      <w:r w:rsidR="00112462" w:rsidRPr="005D1050">
        <w:rPr>
          <w:rFonts w:ascii="Arial" w:hAnsi="Arial" w:cs="Arial"/>
          <w:sz w:val="22"/>
          <w:szCs w:val="22"/>
        </w:rPr>
        <w:t xml:space="preserve">efficacy </w:t>
      </w:r>
      <w:r w:rsidR="00251A9D" w:rsidRPr="005D1050">
        <w:rPr>
          <w:rFonts w:ascii="Arial" w:hAnsi="Arial" w:cs="Arial"/>
          <w:sz w:val="22"/>
          <w:szCs w:val="22"/>
        </w:rPr>
        <w:t xml:space="preserve">of </w:t>
      </w:r>
      <w:r w:rsidR="00044AF8" w:rsidRPr="00044AF8">
        <w:rPr>
          <w:rFonts w:ascii="Arial" w:hAnsi="Arial" w:cs="Arial"/>
          <w:sz w:val="22"/>
          <w:szCs w:val="22"/>
          <w:highlight w:val="yellow"/>
        </w:rPr>
        <w:t>MMV669844</w:t>
      </w:r>
      <w:r w:rsidR="00251A9D" w:rsidRPr="005D1050">
        <w:rPr>
          <w:rFonts w:ascii="Arial" w:hAnsi="Arial" w:cs="Arial"/>
          <w:sz w:val="22"/>
          <w:szCs w:val="22"/>
        </w:rPr>
        <w:t xml:space="preserve"> </w:t>
      </w:r>
      <w:r w:rsidR="00112462" w:rsidRPr="005D1050">
        <w:rPr>
          <w:rFonts w:ascii="Arial" w:hAnsi="Arial" w:cs="Arial"/>
          <w:sz w:val="22"/>
          <w:szCs w:val="22"/>
        </w:rPr>
        <w:t>against</w:t>
      </w:r>
      <w:r w:rsidR="00112462" w:rsidRPr="005D1050">
        <w:rPr>
          <w:rFonts w:ascii="Arial" w:hAnsi="Arial" w:cs="Arial"/>
          <w:i/>
          <w:sz w:val="22"/>
          <w:szCs w:val="22"/>
        </w:rPr>
        <w:t xml:space="preserve"> P. falciparum Pf3D7</w:t>
      </w:r>
      <w:r w:rsidR="00112462" w:rsidRPr="005D1050">
        <w:rPr>
          <w:rFonts w:ascii="Arial" w:hAnsi="Arial" w:cs="Arial"/>
          <w:i/>
          <w:sz w:val="22"/>
          <w:szCs w:val="22"/>
          <w:vertAlign w:val="superscript"/>
        </w:rPr>
        <w:t>0087/N9</w:t>
      </w:r>
      <w:r w:rsidR="00112462" w:rsidRPr="005D1050">
        <w:rPr>
          <w:rFonts w:ascii="Arial" w:hAnsi="Arial" w:cs="Arial"/>
          <w:b w:val="0"/>
          <w:sz w:val="22"/>
          <w:szCs w:val="22"/>
        </w:rPr>
        <w:t xml:space="preserve">. </w:t>
      </w:r>
      <w:r w:rsidR="00251A9D" w:rsidRPr="005D1050">
        <w:rPr>
          <w:rFonts w:ascii="Arial" w:hAnsi="Arial" w:cs="Arial"/>
          <w:b w:val="0"/>
          <w:sz w:val="22"/>
          <w:szCs w:val="22"/>
        </w:rPr>
        <w:t>Shown are all values of parasitemia on day 7</w:t>
      </w:r>
      <w:r w:rsidR="005269B4" w:rsidRPr="005D1050">
        <w:rPr>
          <w:rFonts w:ascii="Arial" w:hAnsi="Arial" w:cs="Arial"/>
          <w:b w:val="0"/>
          <w:sz w:val="22"/>
          <w:szCs w:val="22"/>
        </w:rPr>
        <w:t xml:space="preserve"> post-infection</w:t>
      </w:r>
      <w:r w:rsidR="00251A9D" w:rsidRPr="005D1050">
        <w:rPr>
          <w:rFonts w:ascii="Arial" w:hAnsi="Arial" w:cs="Arial"/>
          <w:b w:val="0"/>
          <w:sz w:val="22"/>
          <w:szCs w:val="22"/>
        </w:rPr>
        <w:t>.</w:t>
      </w:r>
    </w:p>
    <w:p w:rsidR="001151A0" w:rsidRDefault="001151A0" w:rsidP="00112462">
      <w:pPr>
        <w:pStyle w:val="TableHeader"/>
        <w:spacing w:line="360" w:lineRule="auto"/>
      </w:pPr>
    </w:p>
    <w:p w:rsidR="00112462" w:rsidRDefault="002B2F00" w:rsidP="00112462">
      <w:pPr>
        <w:pStyle w:val="TableHeader"/>
        <w:spacing w:line="360" w:lineRule="auto"/>
      </w:pPr>
      <w:r>
        <w:object w:dxaOrig="24597" w:dyaOrig="1975">
          <v:shape id="_x0000_i1026" type="#_x0000_t75" style="width:482.4pt;height:39pt" o:ole="">
            <v:imagedata r:id="rId12" o:title=""/>
          </v:shape>
          <o:OLEObject Type="Embed" ProgID="Excel.Sheet.12" ShapeID="_x0000_i1026" DrawAspect="Content" ObjectID="_1453813831" r:id="rId13"/>
        </w:object>
      </w:r>
    </w:p>
    <w:p w:rsidR="00626D09" w:rsidRDefault="00626D09" w:rsidP="00112462">
      <w:pPr>
        <w:pStyle w:val="TableHeader"/>
        <w:spacing w:line="360" w:lineRule="auto"/>
      </w:pPr>
    </w:p>
    <w:p w:rsidR="003E0398" w:rsidRDefault="00626D09" w:rsidP="002B592A">
      <w:r>
        <w:rPr>
          <w:noProof/>
          <w:lang w:val="en-GB" w:eastAsia="en-GB"/>
        </w:rPr>
        <w:drawing>
          <wp:inline distT="0" distB="0" distL="0" distR="0">
            <wp:extent cx="5943600" cy="976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98" w:rsidRDefault="003E0398" w:rsidP="002B592A"/>
    <w:p w:rsidR="00112462" w:rsidRPr="002B592A" w:rsidRDefault="00112462" w:rsidP="002B592A"/>
    <w:sectPr w:rsidR="00112462" w:rsidRPr="002B592A" w:rsidSect="005A3F7F">
      <w:headerReference w:type="default" r:id="rId15"/>
      <w:footerReference w:type="default" r:id="rId16"/>
      <w:pgSz w:w="12240" w:h="15840"/>
      <w:pgMar w:top="1985" w:right="1440" w:bottom="1440" w:left="1440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D17" w:rsidRDefault="008B2D17" w:rsidP="009C2D1A">
      <w:r>
        <w:separator/>
      </w:r>
    </w:p>
  </w:endnote>
  <w:endnote w:type="continuationSeparator" w:id="0">
    <w:p w:rsidR="008B2D17" w:rsidRDefault="008B2D17" w:rsidP="009C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D1A" w:rsidRDefault="00BA0DA5">
    <w:pPr>
      <w:pStyle w:val="Footer"/>
      <w:jc w:val="right"/>
    </w:pPr>
    <w:r>
      <w:fldChar w:fldCharType="begin"/>
    </w:r>
    <w:r w:rsidR="00262D42">
      <w:instrText xml:space="preserve"> PAGE   \* MERGEFORMAT </w:instrText>
    </w:r>
    <w:r>
      <w:fldChar w:fldCharType="separate"/>
    </w:r>
    <w:r w:rsidR="00B3296E">
      <w:rPr>
        <w:noProof/>
      </w:rPr>
      <w:t>6</w:t>
    </w:r>
    <w:r>
      <w:rPr>
        <w:noProof/>
      </w:rPr>
      <w:fldChar w:fldCharType="end"/>
    </w:r>
  </w:p>
  <w:p w:rsidR="009C2D1A" w:rsidRDefault="009C2D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D17" w:rsidRDefault="008B2D17" w:rsidP="009C2D1A">
      <w:r>
        <w:separator/>
      </w:r>
    </w:p>
  </w:footnote>
  <w:footnote w:type="continuationSeparator" w:id="0">
    <w:p w:rsidR="008B2D17" w:rsidRDefault="008B2D17" w:rsidP="009C2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D1A" w:rsidRPr="009C2D1A" w:rsidRDefault="005A3F7F" w:rsidP="009C2D1A">
    <w:pPr>
      <w:pStyle w:val="Header"/>
      <w:jc w:val="right"/>
      <w:rPr>
        <w:lang w:val="fr-CH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B5E41EB" wp14:editId="1A13B6E8">
          <wp:simplePos x="0" y="0"/>
          <wp:positionH relativeFrom="column">
            <wp:posOffset>4057650</wp:posOffset>
          </wp:positionH>
          <wp:positionV relativeFrom="paragraph">
            <wp:posOffset>84455</wp:posOffset>
          </wp:positionV>
          <wp:extent cx="1885950" cy="6191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72A6" w:rsidRPr="00FF72A6"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27D765C" wp14:editId="0232A12F">
          <wp:simplePos x="0" y="0"/>
          <wp:positionH relativeFrom="column">
            <wp:posOffset>635</wp:posOffset>
          </wp:positionH>
          <wp:positionV relativeFrom="paragraph">
            <wp:posOffset>-114935</wp:posOffset>
          </wp:positionV>
          <wp:extent cx="1752600" cy="866670"/>
          <wp:effectExtent l="0" t="0" r="0" b="0"/>
          <wp:wrapNone/>
          <wp:docPr id="9219" name="Picture 4" descr="thp_logo_power1a mithindergrund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19" name="Picture 4" descr="thp_logo_power1a mithindergrund3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8666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72A6" w:rsidRPr="00FF72A6">
      <w:rPr>
        <w:lang w:val="fr-CH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07716"/>
    <w:multiLevelType w:val="hybridMultilevel"/>
    <w:tmpl w:val="4CA6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C1FB1"/>
    <w:multiLevelType w:val="hybridMultilevel"/>
    <w:tmpl w:val="631ED244"/>
    <w:lvl w:ilvl="0" w:tplc="834676C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46"/>
    <w:rsid w:val="00031D43"/>
    <w:rsid w:val="00042FB8"/>
    <w:rsid w:val="00044AF8"/>
    <w:rsid w:val="000450DA"/>
    <w:rsid w:val="000C2133"/>
    <w:rsid w:val="00112462"/>
    <w:rsid w:val="001151A0"/>
    <w:rsid w:val="00172EDB"/>
    <w:rsid w:val="00192A99"/>
    <w:rsid w:val="001C3F62"/>
    <w:rsid w:val="001C50A3"/>
    <w:rsid w:val="001D245C"/>
    <w:rsid w:val="001E0DD7"/>
    <w:rsid w:val="001E337F"/>
    <w:rsid w:val="001F7C46"/>
    <w:rsid w:val="00214828"/>
    <w:rsid w:val="0022350E"/>
    <w:rsid w:val="0022464E"/>
    <w:rsid w:val="00250F5E"/>
    <w:rsid w:val="00251A9D"/>
    <w:rsid w:val="0026019C"/>
    <w:rsid w:val="00262D42"/>
    <w:rsid w:val="0029074D"/>
    <w:rsid w:val="002B2F00"/>
    <w:rsid w:val="002B3D2E"/>
    <w:rsid w:val="002B592A"/>
    <w:rsid w:val="002C5731"/>
    <w:rsid w:val="002C789A"/>
    <w:rsid w:val="002D3415"/>
    <w:rsid w:val="002D6DC9"/>
    <w:rsid w:val="003340E6"/>
    <w:rsid w:val="00347CD0"/>
    <w:rsid w:val="003508B3"/>
    <w:rsid w:val="00372451"/>
    <w:rsid w:val="003E0398"/>
    <w:rsid w:val="003F3DB7"/>
    <w:rsid w:val="00423019"/>
    <w:rsid w:val="004309F6"/>
    <w:rsid w:val="00434410"/>
    <w:rsid w:val="00472238"/>
    <w:rsid w:val="004F006D"/>
    <w:rsid w:val="004F0485"/>
    <w:rsid w:val="004F7767"/>
    <w:rsid w:val="00517ABD"/>
    <w:rsid w:val="005257A8"/>
    <w:rsid w:val="005269B4"/>
    <w:rsid w:val="00554153"/>
    <w:rsid w:val="005A3F7F"/>
    <w:rsid w:val="005C5D93"/>
    <w:rsid w:val="005D1050"/>
    <w:rsid w:val="005E36C0"/>
    <w:rsid w:val="00626D09"/>
    <w:rsid w:val="00646569"/>
    <w:rsid w:val="00663083"/>
    <w:rsid w:val="00687DCE"/>
    <w:rsid w:val="006A315C"/>
    <w:rsid w:val="006B4615"/>
    <w:rsid w:val="006E3DEF"/>
    <w:rsid w:val="006F391E"/>
    <w:rsid w:val="00710B54"/>
    <w:rsid w:val="00722360"/>
    <w:rsid w:val="007261DF"/>
    <w:rsid w:val="00746834"/>
    <w:rsid w:val="00753518"/>
    <w:rsid w:val="00755DE3"/>
    <w:rsid w:val="007951A0"/>
    <w:rsid w:val="007E164E"/>
    <w:rsid w:val="007E3D46"/>
    <w:rsid w:val="0081174B"/>
    <w:rsid w:val="008200F5"/>
    <w:rsid w:val="00853FE6"/>
    <w:rsid w:val="008832CA"/>
    <w:rsid w:val="008B2D17"/>
    <w:rsid w:val="008C6611"/>
    <w:rsid w:val="008F6E88"/>
    <w:rsid w:val="00901984"/>
    <w:rsid w:val="00905008"/>
    <w:rsid w:val="009173C4"/>
    <w:rsid w:val="00921963"/>
    <w:rsid w:val="00944B93"/>
    <w:rsid w:val="00957C31"/>
    <w:rsid w:val="0098100C"/>
    <w:rsid w:val="009A4A90"/>
    <w:rsid w:val="009C2D1A"/>
    <w:rsid w:val="009E36DC"/>
    <w:rsid w:val="00A345F0"/>
    <w:rsid w:val="00A42D22"/>
    <w:rsid w:val="00A4418E"/>
    <w:rsid w:val="00A62B27"/>
    <w:rsid w:val="00A64E3D"/>
    <w:rsid w:val="00A949B1"/>
    <w:rsid w:val="00A94DB9"/>
    <w:rsid w:val="00AA0946"/>
    <w:rsid w:val="00AB3D38"/>
    <w:rsid w:val="00B1508B"/>
    <w:rsid w:val="00B16F8B"/>
    <w:rsid w:val="00B30336"/>
    <w:rsid w:val="00B3150F"/>
    <w:rsid w:val="00B3296E"/>
    <w:rsid w:val="00B41B1F"/>
    <w:rsid w:val="00B44A23"/>
    <w:rsid w:val="00B5469C"/>
    <w:rsid w:val="00BA0DA5"/>
    <w:rsid w:val="00BD30DA"/>
    <w:rsid w:val="00C32DE3"/>
    <w:rsid w:val="00C40057"/>
    <w:rsid w:val="00C40706"/>
    <w:rsid w:val="00C66C30"/>
    <w:rsid w:val="00C95A8C"/>
    <w:rsid w:val="00C95E9D"/>
    <w:rsid w:val="00CC52D6"/>
    <w:rsid w:val="00D024B0"/>
    <w:rsid w:val="00D14735"/>
    <w:rsid w:val="00D14B53"/>
    <w:rsid w:val="00D4398D"/>
    <w:rsid w:val="00D53AB5"/>
    <w:rsid w:val="00D5608F"/>
    <w:rsid w:val="00D6269A"/>
    <w:rsid w:val="00D86B03"/>
    <w:rsid w:val="00DB5119"/>
    <w:rsid w:val="00DC0627"/>
    <w:rsid w:val="00DD4A45"/>
    <w:rsid w:val="00E13E69"/>
    <w:rsid w:val="00E305B3"/>
    <w:rsid w:val="00E3418D"/>
    <w:rsid w:val="00E44BFB"/>
    <w:rsid w:val="00E81380"/>
    <w:rsid w:val="00EB4189"/>
    <w:rsid w:val="00EB4592"/>
    <w:rsid w:val="00ED1DFB"/>
    <w:rsid w:val="00ED4225"/>
    <w:rsid w:val="00EF14BF"/>
    <w:rsid w:val="00F00853"/>
    <w:rsid w:val="00F06821"/>
    <w:rsid w:val="00F1289C"/>
    <w:rsid w:val="00F26014"/>
    <w:rsid w:val="00F317C9"/>
    <w:rsid w:val="00F47A8A"/>
    <w:rsid w:val="00F531BE"/>
    <w:rsid w:val="00F56E47"/>
    <w:rsid w:val="00F652C8"/>
    <w:rsid w:val="00F73688"/>
    <w:rsid w:val="00FA30F3"/>
    <w:rsid w:val="00FC3BFC"/>
    <w:rsid w:val="00FE3B29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D1A"/>
    <w:rPr>
      <w:rFonts w:ascii="Arial" w:hAnsi="Arial" w:cs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D1A"/>
    <w:pPr>
      <w:keepNext/>
      <w:spacing w:before="120" w:after="60"/>
      <w:outlineLvl w:val="0"/>
    </w:pPr>
    <w:rPr>
      <w:rFonts w:ascii="Calibri" w:eastAsia="Times New Roman" w:hAnsi="Calibri" w:cs="Times New Roman"/>
      <w:b/>
      <w:bCs/>
      <w:color w:val="1F497D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D1A"/>
    <w:pPr>
      <w:keepNext/>
      <w:spacing w:before="240" w:after="60"/>
      <w:outlineLvl w:val="1"/>
    </w:pPr>
    <w:rPr>
      <w:rFonts w:eastAsia="Times New Roman" w:cs="Times New Roman"/>
      <w:b/>
      <w:bCs/>
      <w:iCs/>
      <w:color w:val="4F81BD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D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E3D46"/>
    <w:rPr>
      <w:strike w:val="0"/>
      <w:dstrike w:val="0"/>
      <w:color w:val="990066"/>
      <w:u w:val="none"/>
      <w:effect w:val="none"/>
    </w:rPr>
  </w:style>
  <w:style w:type="character" w:customStyle="1" w:styleId="Heading1Char">
    <w:name w:val="Heading 1 Char"/>
    <w:link w:val="Heading1"/>
    <w:uiPriority w:val="9"/>
    <w:rsid w:val="009C2D1A"/>
    <w:rPr>
      <w:rFonts w:ascii="Calibri" w:eastAsia="Times New Roman" w:hAnsi="Calibri" w:cs="Times New Roman"/>
      <w:b/>
      <w:bCs/>
      <w:color w:val="1F497D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2D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2D1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C2D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2D1A"/>
    <w:rPr>
      <w:rFonts w:ascii="Arial" w:hAnsi="Arial" w:cs="Arial"/>
    </w:rPr>
  </w:style>
  <w:style w:type="character" w:customStyle="1" w:styleId="Heading2Char">
    <w:name w:val="Heading 2 Char"/>
    <w:link w:val="Heading2"/>
    <w:uiPriority w:val="9"/>
    <w:rsid w:val="009C2D1A"/>
    <w:rPr>
      <w:rFonts w:ascii="Arial" w:eastAsia="Times New Roman" w:hAnsi="Arial" w:cs="Times New Roman"/>
      <w:b/>
      <w:bCs/>
      <w:iCs/>
      <w:color w:val="4F81BD"/>
      <w:sz w:val="24"/>
      <w:szCs w:val="28"/>
    </w:rPr>
  </w:style>
  <w:style w:type="character" w:styleId="CommentReference">
    <w:name w:val="annotation reference"/>
    <w:uiPriority w:val="99"/>
    <w:semiHidden/>
    <w:unhideWhenUsed/>
    <w:rsid w:val="00C40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057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C40057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0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40057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0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005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5469C"/>
    <w:rPr>
      <w:rFonts w:ascii="Arial" w:hAnsi="Arial" w:cs="Arial"/>
      <w:sz w:val="22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4A45"/>
  </w:style>
  <w:style w:type="character" w:customStyle="1" w:styleId="Heading3Char">
    <w:name w:val="Heading 3 Char"/>
    <w:basedOn w:val="DefaultParagraphFont"/>
    <w:link w:val="Heading3"/>
    <w:uiPriority w:val="9"/>
    <w:rsid w:val="006E3DEF"/>
    <w:rPr>
      <w:rFonts w:asciiTheme="majorHAnsi" w:eastAsiaTheme="majorEastAsia" w:hAnsiTheme="majorHAnsi" w:cstheme="majorBidi"/>
      <w:b/>
      <w:bCs/>
      <w:color w:val="4F81BD" w:themeColor="accent1"/>
      <w:sz w:val="22"/>
      <w:lang w:val="en-US" w:eastAsia="en-US"/>
    </w:rPr>
  </w:style>
  <w:style w:type="table" w:styleId="TableGrid">
    <w:name w:val="Table Grid"/>
    <w:basedOn w:val="TableNormal"/>
    <w:uiPriority w:val="59"/>
    <w:rsid w:val="004F7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4F776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0C2133"/>
    <w:pPr>
      <w:ind w:left="720"/>
      <w:contextualSpacing/>
    </w:pPr>
  </w:style>
  <w:style w:type="paragraph" w:styleId="BlockText">
    <w:name w:val="Block Text"/>
    <w:basedOn w:val="Normal"/>
    <w:rsid w:val="00D86B03"/>
    <w:pPr>
      <w:ind w:left="1440" w:right="565" w:hanging="1440"/>
    </w:pPr>
    <w:rPr>
      <w:rFonts w:ascii="Times New Roman" w:eastAsia="Times New Roman" w:hAnsi="Times New Roman" w:cs="Times New Roman"/>
      <w:sz w:val="24"/>
      <w:lang w:val="en-GB" w:eastAsia="de-CH"/>
    </w:rPr>
  </w:style>
  <w:style w:type="paragraph" w:customStyle="1" w:styleId="TableHeader">
    <w:name w:val="Table Header"/>
    <w:basedOn w:val="Title"/>
    <w:rsid w:val="00112462"/>
    <w:pPr>
      <w:pBdr>
        <w:bottom w:val="none" w:sz="0" w:space="0" w:color="auto"/>
      </w:pBdr>
      <w:tabs>
        <w:tab w:val="left" w:pos="567"/>
      </w:tabs>
      <w:spacing w:after="0"/>
      <w:contextualSpacing w:val="0"/>
    </w:pPr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24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D1A"/>
    <w:rPr>
      <w:rFonts w:ascii="Arial" w:hAnsi="Arial" w:cs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D1A"/>
    <w:pPr>
      <w:keepNext/>
      <w:spacing w:before="120" w:after="60"/>
      <w:outlineLvl w:val="0"/>
    </w:pPr>
    <w:rPr>
      <w:rFonts w:ascii="Calibri" w:eastAsia="Times New Roman" w:hAnsi="Calibri" w:cs="Times New Roman"/>
      <w:b/>
      <w:bCs/>
      <w:color w:val="1F497D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D1A"/>
    <w:pPr>
      <w:keepNext/>
      <w:spacing w:before="240" w:after="60"/>
      <w:outlineLvl w:val="1"/>
    </w:pPr>
    <w:rPr>
      <w:rFonts w:eastAsia="Times New Roman" w:cs="Times New Roman"/>
      <w:b/>
      <w:bCs/>
      <w:iCs/>
      <w:color w:val="4F81BD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D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E3D46"/>
    <w:rPr>
      <w:strike w:val="0"/>
      <w:dstrike w:val="0"/>
      <w:color w:val="990066"/>
      <w:u w:val="none"/>
      <w:effect w:val="none"/>
    </w:rPr>
  </w:style>
  <w:style w:type="character" w:customStyle="1" w:styleId="Heading1Char">
    <w:name w:val="Heading 1 Char"/>
    <w:link w:val="Heading1"/>
    <w:uiPriority w:val="9"/>
    <w:rsid w:val="009C2D1A"/>
    <w:rPr>
      <w:rFonts w:ascii="Calibri" w:eastAsia="Times New Roman" w:hAnsi="Calibri" w:cs="Times New Roman"/>
      <w:b/>
      <w:bCs/>
      <w:color w:val="1F497D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2D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2D1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C2D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2D1A"/>
    <w:rPr>
      <w:rFonts w:ascii="Arial" w:hAnsi="Arial" w:cs="Arial"/>
    </w:rPr>
  </w:style>
  <w:style w:type="character" w:customStyle="1" w:styleId="Heading2Char">
    <w:name w:val="Heading 2 Char"/>
    <w:link w:val="Heading2"/>
    <w:uiPriority w:val="9"/>
    <w:rsid w:val="009C2D1A"/>
    <w:rPr>
      <w:rFonts w:ascii="Arial" w:eastAsia="Times New Roman" w:hAnsi="Arial" w:cs="Times New Roman"/>
      <w:b/>
      <w:bCs/>
      <w:iCs/>
      <w:color w:val="4F81BD"/>
      <w:sz w:val="24"/>
      <w:szCs w:val="28"/>
    </w:rPr>
  </w:style>
  <w:style w:type="character" w:styleId="CommentReference">
    <w:name w:val="annotation reference"/>
    <w:uiPriority w:val="99"/>
    <w:semiHidden/>
    <w:unhideWhenUsed/>
    <w:rsid w:val="00C40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057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C40057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0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40057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0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005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5469C"/>
    <w:rPr>
      <w:rFonts w:ascii="Arial" w:hAnsi="Arial" w:cs="Arial"/>
      <w:sz w:val="22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4A45"/>
  </w:style>
  <w:style w:type="character" w:customStyle="1" w:styleId="Heading3Char">
    <w:name w:val="Heading 3 Char"/>
    <w:basedOn w:val="DefaultParagraphFont"/>
    <w:link w:val="Heading3"/>
    <w:uiPriority w:val="9"/>
    <w:rsid w:val="006E3DEF"/>
    <w:rPr>
      <w:rFonts w:asciiTheme="majorHAnsi" w:eastAsiaTheme="majorEastAsia" w:hAnsiTheme="majorHAnsi" w:cstheme="majorBidi"/>
      <w:b/>
      <w:bCs/>
      <w:color w:val="4F81BD" w:themeColor="accent1"/>
      <w:sz w:val="22"/>
      <w:lang w:val="en-US" w:eastAsia="en-US"/>
    </w:rPr>
  </w:style>
  <w:style w:type="table" w:styleId="TableGrid">
    <w:name w:val="Table Grid"/>
    <w:basedOn w:val="TableNormal"/>
    <w:uiPriority w:val="59"/>
    <w:rsid w:val="004F7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4F776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0C2133"/>
    <w:pPr>
      <w:ind w:left="720"/>
      <w:contextualSpacing/>
    </w:pPr>
  </w:style>
  <w:style w:type="paragraph" w:styleId="BlockText">
    <w:name w:val="Block Text"/>
    <w:basedOn w:val="Normal"/>
    <w:rsid w:val="00D86B03"/>
    <w:pPr>
      <w:ind w:left="1440" w:right="565" w:hanging="1440"/>
    </w:pPr>
    <w:rPr>
      <w:rFonts w:ascii="Times New Roman" w:eastAsia="Times New Roman" w:hAnsi="Times New Roman" w:cs="Times New Roman"/>
      <w:sz w:val="24"/>
      <w:lang w:val="en-GB" w:eastAsia="de-CH"/>
    </w:rPr>
  </w:style>
  <w:style w:type="paragraph" w:customStyle="1" w:styleId="TableHeader">
    <w:name w:val="Table Header"/>
    <w:basedOn w:val="Title"/>
    <w:rsid w:val="00112462"/>
    <w:pPr>
      <w:pBdr>
        <w:bottom w:val="none" w:sz="0" w:space="0" w:color="auto"/>
      </w:pBdr>
      <w:tabs>
        <w:tab w:val="left" w:pos="567"/>
      </w:tabs>
      <w:spacing w:after="0"/>
      <w:contextualSpacing w:val="0"/>
    </w:pPr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24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7180">
                      <w:marLeft w:val="21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Worksheet2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1.xlsx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B7778-ED59-4F55-AB60-853A76D4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xavierd</dc:creator>
  <cp:lastModifiedBy>Sergio Wittlin</cp:lastModifiedBy>
  <cp:revision>16</cp:revision>
  <cp:lastPrinted>2014-02-13T10:52:00Z</cp:lastPrinted>
  <dcterms:created xsi:type="dcterms:W3CDTF">2014-02-13T08:51:00Z</dcterms:created>
  <dcterms:modified xsi:type="dcterms:W3CDTF">2014-02-13T15:24:00Z</dcterms:modified>
</cp:coreProperties>
</file>