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7BFD0" w14:textId="77777777" w:rsidR="00F14414" w:rsidRPr="00D04684" w:rsidRDefault="00F14414" w:rsidP="00E736AE">
      <w:pPr>
        <w:rPr>
          <w:lang w:val="en-GB"/>
        </w:rPr>
      </w:pPr>
    </w:p>
    <w:p w14:paraId="3C665140" w14:textId="77777777" w:rsidR="00E31889" w:rsidRPr="00D04684" w:rsidRDefault="00E31889" w:rsidP="00E736AE">
      <w:pPr>
        <w:rPr>
          <w:lang w:val="en-GB"/>
        </w:rPr>
      </w:pPr>
    </w:p>
    <w:p w14:paraId="3C47D10D" w14:textId="77777777" w:rsidR="00E31889" w:rsidRPr="00D04684" w:rsidRDefault="00E31889" w:rsidP="00E736AE">
      <w:pPr>
        <w:rPr>
          <w:lang w:val="en-GB"/>
        </w:rPr>
      </w:pPr>
    </w:p>
    <w:p w14:paraId="2A2BC088" w14:textId="77777777" w:rsidR="00E31889" w:rsidRPr="00D04684" w:rsidRDefault="00E31889" w:rsidP="00E736AE">
      <w:pPr>
        <w:rPr>
          <w:lang w:val="en-GB"/>
        </w:rPr>
      </w:pPr>
    </w:p>
    <w:p w14:paraId="6B85EEF4" w14:textId="77777777" w:rsidR="00E31889" w:rsidRPr="00D04684" w:rsidRDefault="00E31889" w:rsidP="00E736AE">
      <w:pPr>
        <w:rPr>
          <w:lang w:val="en-GB"/>
        </w:rPr>
      </w:pPr>
    </w:p>
    <w:p w14:paraId="0C2D06C6" w14:textId="77777777" w:rsidR="00E31889" w:rsidRPr="00D04684" w:rsidRDefault="00E31889" w:rsidP="00E736AE">
      <w:pPr>
        <w:rPr>
          <w:lang w:val="en-GB"/>
        </w:rPr>
      </w:pPr>
    </w:p>
    <w:p w14:paraId="36697E6C" w14:textId="77777777" w:rsidR="00E31889" w:rsidRPr="00D04684" w:rsidRDefault="00E31889" w:rsidP="00E736AE">
      <w:pPr>
        <w:rPr>
          <w:lang w:val="en-GB"/>
        </w:rPr>
      </w:pPr>
    </w:p>
    <w:p w14:paraId="0823BA52" w14:textId="77777777" w:rsidR="00E31889" w:rsidRPr="00D04684" w:rsidRDefault="00E31889" w:rsidP="00E736AE">
      <w:pPr>
        <w:rPr>
          <w:lang w:val="en-GB"/>
        </w:rPr>
      </w:pPr>
    </w:p>
    <w:p w14:paraId="5DAFA165" w14:textId="77777777" w:rsidR="00E31889" w:rsidRPr="00D04684" w:rsidRDefault="00E31889" w:rsidP="00E736AE">
      <w:pPr>
        <w:rPr>
          <w:lang w:val="en-GB"/>
        </w:rPr>
      </w:pPr>
    </w:p>
    <w:p w14:paraId="35CF9614" w14:textId="06DCCB98" w:rsidR="00E31889" w:rsidRDefault="00E31889" w:rsidP="00E736AE">
      <w:pPr>
        <w:rPr>
          <w:lang w:val="en-GB"/>
        </w:rPr>
      </w:pPr>
    </w:p>
    <w:p w14:paraId="5F7B3CC4" w14:textId="77777777" w:rsidR="00A960AA" w:rsidRPr="00D04684" w:rsidRDefault="00A960AA" w:rsidP="00E736AE">
      <w:pPr>
        <w:rPr>
          <w:lang w:val="en-GB"/>
        </w:rPr>
      </w:pPr>
    </w:p>
    <w:p w14:paraId="77BD56CD" w14:textId="5C03E4E0" w:rsidR="00E31889" w:rsidRPr="00BC19F0" w:rsidRDefault="000838FB" w:rsidP="00F15931">
      <w:pPr>
        <w:pStyle w:val="NoSpacing"/>
        <w:rPr>
          <w:lang w:val="en-GB"/>
        </w:rPr>
      </w:pPr>
      <w:r w:rsidRPr="00BC19F0">
        <w:rPr>
          <w:lang w:val="en-GB"/>
        </w:rPr>
        <w:t xml:space="preserve">Swiss TPH </w:t>
      </w:r>
      <w:r w:rsidRPr="00A511B6">
        <w:rPr>
          <w:lang w:val="en-GB"/>
        </w:rPr>
        <w:t xml:space="preserve">Study Number: </w:t>
      </w:r>
      <w:r w:rsidR="00CD26BB" w:rsidRPr="00A511B6">
        <w:rPr>
          <w:lang w:val="en-GB"/>
        </w:rPr>
        <w:t>PRR-0</w:t>
      </w:r>
      <w:r w:rsidR="00A511B6" w:rsidRPr="00A511B6">
        <w:rPr>
          <w:lang w:val="en-GB"/>
        </w:rPr>
        <w:t>9</w:t>
      </w:r>
      <w:r w:rsidRPr="00A511B6">
        <w:rPr>
          <w:lang w:val="en-GB"/>
        </w:rPr>
        <w:t>-2021</w:t>
      </w:r>
      <w:r w:rsidR="006F37BA" w:rsidRPr="00A511B6">
        <w:rPr>
          <w:lang w:val="en-GB"/>
        </w:rPr>
        <w:t>-</w:t>
      </w:r>
      <w:r w:rsidR="00A511B6" w:rsidRPr="00A511B6">
        <w:rPr>
          <w:lang w:val="en-GB"/>
        </w:rPr>
        <w:t>SSA</w:t>
      </w:r>
    </w:p>
    <w:p w14:paraId="35B7F900" w14:textId="77777777" w:rsidR="00E31889" w:rsidRPr="00BC19F0" w:rsidRDefault="00E31889" w:rsidP="002D54D8">
      <w:pPr>
        <w:pStyle w:val="NoSpacing"/>
        <w:rPr>
          <w:lang w:val="en-GB"/>
        </w:rPr>
      </w:pPr>
    </w:p>
    <w:p w14:paraId="1B02860F" w14:textId="0341F27C" w:rsidR="00E31889" w:rsidRPr="00BC19F0" w:rsidRDefault="00AA4252" w:rsidP="00D458A1">
      <w:pPr>
        <w:autoSpaceDE w:val="0"/>
        <w:autoSpaceDN w:val="0"/>
        <w:adjustRightInd w:val="0"/>
        <w:spacing w:after="0" w:line="240" w:lineRule="auto"/>
        <w:ind w:left="720"/>
        <w:jc w:val="left"/>
        <w:rPr>
          <w:rStyle w:val="TitleChar"/>
          <w:lang w:val="en-GB"/>
        </w:rPr>
      </w:pPr>
      <w:r w:rsidRPr="00BC19F0">
        <w:rPr>
          <w:rStyle w:val="TitleChar"/>
          <w:lang w:val="en-GB"/>
        </w:rPr>
        <w:t xml:space="preserve">Determination of </w:t>
      </w:r>
      <w:r w:rsidRPr="00BC19F0">
        <w:rPr>
          <w:rStyle w:val="TitleChar"/>
          <w:i/>
          <w:lang w:val="en-GB"/>
        </w:rPr>
        <w:t>in vitro</w:t>
      </w:r>
      <w:r w:rsidRPr="00BC19F0">
        <w:rPr>
          <w:rStyle w:val="TitleChar"/>
          <w:lang w:val="en-GB"/>
        </w:rPr>
        <w:t xml:space="preserve"> killing profile for </w:t>
      </w:r>
      <w:r w:rsidR="00A511B6" w:rsidRPr="00A511B6">
        <w:rPr>
          <w:rStyle w:val="TitleChar"/>
          <w:lang w:val="en-GB"/>
        </w:rPr>
        <w:t>MMV025100-09</w:t>
      </w:r>
      <w:r w:rsidR="00D458A1" w:rsidRPr="00BC19F0">
        <w:rPr>
          <w:rStyle w:val="TitleChar"/>
          <w:lang w:val="en-GB"/>
        </w:rPr>
        <w:t xml:space="preserve"> </w:t>
      </w:r>
    </w:p>
    <w:p w14:paraId="09ACD6A6" w14:textId="77777777" w:rsidR="00D458A1" w:rsidRPr="00BC19F0" w:rsidRDefault="00D458A1" w:rsidP="00D458A1">
      <w:pPr>
        <w:autoSpaceDE w:val="0"/>
        <w:autoSpaceDN w:val="0"/>
        <w:adjustRightInd w:val="0"/>
        <w:spacing w:after="0" w:line="240" w:lineRule="auto"/>
        <w:ind w:left="720"/>
        <w:jc w:val="left"/>
        <w:rPr>
          <w:lang w:val="en-GB"/>
        </w:rPr>
      </w:pPr>
    </w:p>
    <w:p w14:paraId="0CC2C5F7" w14:textId="34F5F3BA" w:rsidR="002C520B" w:rsidRPr="00BC19F0" w:rsidRDefault="00880196" w:rsidP="002C520B">
      <w:pPr>
        <w:pStyle w:val="Subtitle"/>
        <w:rPr>
          <w:lang w:val="en-GB"/>
        </w:rPr>
      </w:pPr>
      <w:r w:rsidRPr="00BC19F0">
        <w:rPr>
          <w:lang w:val="en-GB"/>
        </w:rPr>
        <w:t>Study Report</w:t>
      </w:r>
    </w:p>
    <w:p w14:paraId="4FCC9A8A" w14:textId="1C7A9061" w:rsidR="002C520B" w:rsidRPr="00BC19F0" w:rsidRDefault="002C520B" w:rsidP="00D56B33">
      <w:pPr>
        <w:autoSpaceDE w:val="0"/>
        <w:autoSpaceDN w:val="0"/>
        <w:adjustRightInd w:val="0"/>
        <w:spacing w:after="0"/>
        <w:ind w:left="720"/>
        <w:jc w:val="left"/>
        <w:rPr>
          <w:rFonts w:cs="Arial"/>
          <w:b/>
          <w:bCs/>
          <w:sz w:val="28"/>
          <w:szCs w:val="28"/>
          <w:lang w:val="en-GB"/>
        </w:rPr>
      </w:pPr>
    </w:p>
    <w:p w14:paraId="250198A1" w14:textId="49492597" w:rsidR="00137B1B" w:rsidRPr="00BC19F0" w:rsidRDefault="00137B1B" w:rsidP="00137B1B">
      <w:pPr>
        <w:autoSpaceDE w:val="0"/>
        <w:autoSpaceDN w:val="0"/>
        <w:adjustRightInd w:val="0"/>
        <w:spacing w:after="0"/>
        <w:jc w:val="left"/>
        <w:rPr>
          <w:rFonts w:cs="Arial"/>
          <w:b/>
          <w:bCs/>
          <w:sz w:val="28"/>
          <w:szCs w:val="28"/>
          <w:lang w:val="en-GB"/>
        </w:rPr>
      </w:pPr>
    </w:p>
    <w:p w14:paraId="1633E82D" w14:textId="77777777" w:rsidR="00137B1B" w:rsidRPr="00BC19F0" w:rsidRDefault="00137B1B" w:rsidP="00137B1B">
      <w:pPr>
        <w:autoSpaceDE w:val="0"/>
        <w:autoSpaceDN w:val="0"/>
        <w:adjustRightInd w:val="0"/>
        <w:spacing w:after="0"/>
        <w:jc w:val="left"/>
        <w:rPr>
          <w:rFonts w:cs="Arial"/>
          <w:b/>
          <w:bCs/>
          <w:sz w:val="28"/>
          <w:szCs w:val="28"/>
          <w:lang w:val="en-GB"/>
        </w:rPr>
      </w:pPr>
    </w:p>
    <w:tbl>
      <w:tblPr>
        <w:tblStyle w:val="TableFront"/>
        <w:tblpPr w:leftFromText="141" w:rightFromText="141" w:vertAnchor="text" w:horzAnchor="margin" w:tblpXSpec="right" w:tblpY="255"/>
        <w:tblW w:w="0" w:type="auto"/>
        <w:tblLook w:val="04A0" w:firstRow="1" w:lastRow="0" w:firstColumn="1" w:lastColumn="0" w:noHBand="0" w:noVBand="1"/>
      </w:tblPr>
      <w:tblGrid>
        <w:gridCol w:w="3544"/>
        <w:gridCol w:w="5096"/>
      </w:tblGrid>
      <w:tr w:rsidR="00137B1B" w:rsidRPr="00BC19F0" w14:paraId="35F76EBE" w14:textId="77777777" w:rsidTr="00137B1B">
        <w:tc>
          <w:tcPr>
            <w:tcW w:w="3544" w:type="dxa"/>
          </w:tcPr>
          <w:p w14:paraId="3A883994" w14:textId="77777777" w:rsidR="00137B1B" w:rsidRPr="00BC19F0" w:rsidRDefault="00137B1B" w:rsidP="00137B1B">
            <w:pPr>
              <w:pStyle w:val="AuthorDetailCover-SwissTPH"/>
              <w:ind w:left="0"/>
              <w:jc w:val="left"/>
            </w:pPr>
            <w:r w:rsidRPr="00BC19F0">
              <w:t>Author:</w:t>
            </w:r>
          </w:p>
        </w:tc>
        <w:tc>
          <w:tcPr>
            <w:tcW w:w="5096" w:type="dxa"/>
          </w:tcPr>
          <w:p w14:paraId="1715AF6C" w14:textId="77777777" w:rsidR="00137B1B" w:rsidRPr="00BC19F0" w:rsidRDefault="00137B1B" w:rsidP="00137B1B">
            <w:pPr>
              <w:pStyle w:val="AuthorDetailCover-SwissTPH"/>
              <w:ind w:left="0"/>
              <w:jc w:val="left"/>
            </w:pPr>
            <w:r w:rsidRPr="00BC19F0">
              <w:t>Annabelle Walz</w:t>
            </w:r>
          </w:p>
        </w:tc>
      </w:tr>
      <w:tr w:rsidR="00A511B6" w:rsidRPr="00BC19F0" w14:paraId="1241954D" w14:textId="77777777" w:rsidTr="00137B1B">
        <w:tc>
          <w:tcPr>
            <w:tcW w:w="3544" w:type="dxa"/>
          </w:tcPr>
          <w:p w14:paraId="706044D0" w14:textId="21405489" w:rsidR="00A511B6" w:rsidRPr="00BC19F0" w:rsidRDefault="00A511B6" w:rsidP="00A511B6">
            <w:pPr>
              <w:pStyle w:val="AuthorDetailCover-SwissTPH"/>
              <w:ind w:left="0"/>
              <w:jc w:val="left"/>
              <w:rPr>
                <w:b w:val="0"/>
              </w:rPr>
            </w:pPr>
            <w:r w:rsidRPr="00DC1A11">
              <w:rPr>
                <w:b w:val="0"/>
              </w:rPr>
              <w:t>Release Date:</w:t>
            </w:r>
          </w:p>
        </w:tc>
        <w:tc>
          <w:tcPr>
            <w:tcW w:w="5096" w:type="dxa"/>
          </w:tcPr>
          <w:p w14:paraId="383CDEF1" w14:textId="0F14A01E" w:rsidR="00A511B6" w:rsidRPr="00A960AA" w:rsidRDefault="00A511B6" w:rsidP="00A511B6">
            <w:pPr>
              <w:pStyle w:val="AuthorDetailCover-SwissTPH"/>
              <w:ind w:left="0"/>
              <w:jc w:val="left"/>
              <w:rPr>
                <w:b w:val="0"/>
                <w:highlight w:val="yellow"/>
              </w:rPr>
            </w:pPr>
            <w:r w:rsidRPr="00DC1A11">
              <w:rPr>
                <w:b w:val="0"/>
              </w:rPr>
              <w:t>2</w:t>
            </w:r>
            <w:r>
              <w:rPr>
                <w:b w:val="0"/>
              </w:rPr>
              <w:t>7</w:t>
            </w:r>
            <w:r w:rsidRPr="00DC1A11">
              <w:rPr>
                <w:b w:val="0"/>
                <w:vertAlign w:val="superscript"/>
              </w:rPr>
              <w:t>th</w:t>
            </w:r>
            <w:r w:rsidRPr="00DC1A11">
              <w:rPr>
                <w:b w:val="0"/>
              </w:rPr>
              <w:t xml:space="preserve"> of January 2022</w:t>
            </w:r>
          </w:p>
        </w:tc>
      </w:tr>
      <w:tr w:rsidR="00A511B6" w:rsidRPr="00BC19F0" w14:paraId="79A598BA" w14:textId="77777777" w:rsidTr="00137B1B">
        <w:tc>
          <w:tcPr>
            <w:tcW w:w="3544" w:type="dxa"/>
          </w:tcPr>
          <w:p w14:paraId="790964F7" w14:textId="55A7AA35" w:rsidR="00A511B6" w:rsidRPr="00BC19F0" w:rsidRDefault="00A511B6" w:rsidP="00A511B6">
            <w:pPr>
              <w:pStyle w:val="AuthorDetailCover-SwissTPH"/>
              <w:ind w:left="0"/>
              <w:jc w:val="left"/>
              <w:rPr>
                <w:b w:val="0"/>
              </w:rPr>
            </w:pPr>
            <w:r w:rsidRPr="00DC1A11">
              <w:rPr>
                <w:b w:val="0"/>
              </w:rPr>
              <w:t>Study Commenced:</w:t>
            </w:r>
          </w:p>
        </w:tc>
        <w:tc>
          <w:tcPr>
            <w:tcW w:w="5096" w:type="dxa"/>
          </w:tcPr>
          <w:p w14:paraId="78734832" w14:textId="6978E5C6" w:rsidR="00A511B6" w:rsidRPr="00BC19F0" w:rsidRDefault="00A511B6" w:rsidP="00A511B6">
            <w:pPr>
              <w:pStyle w:val="AuthorDetailCover-SwissTPH"/>
              <w:ind w:left="0"/>
              <w:jc w:val="left"/>
              <w:rPr>
                <w:b w:val="0"/>
              </w:rPr>
            </w:pPr>
            <w:r w:rsidRPr="00DC1A11">
              <w:rPr>
                <w:b w:val="0"/>
              </w:rPr>
              <w:t>3</w:t>
            </w:r>
            <w:r w:rsidRPr="00DC1A11">
              <w:rPr>
                <w:b w:val="0"/>
                <w:vertAlign w:val="superscript"/>
              </w:rPr>
              <w:t>rd</w:t>
            </w:r>
            <w:r w:rsidRPr="00DC1A11">
              <w:rPr>
                <w:b w:val="0"/>
              </w:rPr>
              <w:t xml:space="preserve"> of October 2021</w:t>
            </w:r>
          </w:p>
        </w:tc>
      </w:tr>
      <w:tr w:rsidR="00A511B6" w:rsidRPr="00BC19F0" w14:paraId="3DE5304B" w14:textId="77777777" w:rsidTr="00137B1B">
        <w:tc>
          <w:tcPr>
            <w:tcW w:w="3544" w:type="dxa"/>
          </w:tcPr>
          <w:p w14:paraId="60E10D6E" w14:textId="37937B81" w:rsidR="00A511B6" w:rsidRPr="00BC19F0" w:rsidRDefault="00A511B6" w:rsidP="00A511B6">
            <w:pPr>
              <w:pStyle w:val="AuthorDetailCover-SwissTPH"/>
              <w:ind w:left="0"/>
              <w:jc w:val="left"/>
              <w:rPr>
                <w:b w:val="0"/>
              </w:rPr>
            </w:pPr>
            <w:r w:rsidRPr="00DC1A11">
              <w:rPr>
                <w:b w:val="0"/>
              </w:rPr>
              <w:t>Study Completed:</w:t>
            </w:r>
          </w:p>
        </w:tc>
        <w:tc>
          <w:tcPr>
            <w:tcW w:w="5096" w:type="dxa"/>
          </w:tcPr>
          <w:p w14:paraId="34CD2A86" w14:textId="040B0DCD" w:rsidR="00A511B6" w:rsidRPr="00BC19F0" w:rsidRDefault="00A511B6" w:rsidP="00A511B6">
            <w:pPr>
              <w:pStyle w:val="AuthorDetailCover-SwissTPH"/>
              <w:ind w:left="0"/>
              <w:jc w:val="left"/>
              <w:rPr>
                <w:b w:val="0"/>
              </w:rPr>
            </w:pPr>
            <w:r w:rsidRPr="00DC1A11">
              <w:rPr>
                <w:b w:val="0"/>
              </w:rPr>
              <w:t>29</w:t>
            </w:r>
            <w:r w:rsidRPr="00DC1A11">
              <w:rPr>
                <w:b w:val="0"/>
                <w:vertAlign w:val="superscript"/>
              </w:rPr>
              <w:t>th</w:t>
            </w:r>
            <w:r w:rsidRPr="00DC1A11">
              <w:rPr>
                <w:b w:val="0"/>
              </w:rPr>
              <w:t xml:space="preserve"> of October 2021</w:t>
            </w:r>
          </w:p>
        </w:tc>
      </w:tr>
    </w:tbl>
    <w:p w14:paraId="0E8CE181" w14:textId="74C6B834" w:rsidR="002C520B" w:rsidRPr="00BC19F0" w:rsidRDefault="002C520B" w:rsidP="003B4479">
      <w:pPr>
        <w:pStyle w:val="AuthorDetailCover-SwissTPH"/>
        <w:jc w:val="left"/>
        <w:rPr>
          <w:lang w:val="en-GB"/>
        </w:rPr>
      </w:pPr>
    </w:p>
    <w:p w14:paraId="0695A0D9" w14:textId="77777777" w:rsidR="00137B1B" w:rsidRPr="00BC19F0" w:rsidRDefault="00137B1B" w:rsidP="003B4479">
      <w:pPr>
        <w:pStyle w:val="AuthorDetailCover-SwissTPH"/>
        <w:jc w:val="left"/>
        <w:rPr>
          <w:lang w:val="en-GB"/>
        </w:rPr>
      </w:pPr>
    </w:p>
    <w:p w14:paraId="0397AA3E" w14:textId="59E3435C" w:rsidR="006C441A" w:rsidRPr="00BC19F0" w:rsidRDefault="003D584B" w:rsidP="00A960AA">
      <w:pPr>
        <w:pStyle w:val="AuthorDetailCover-SwissTPH"/>
        <w:ind w:left="0"/>
        <w:jc w:val="left"/>
        <w:rPr>
          <w:lang w:val="en-GB"/>
        </w:rPr>
      </w:pPr>
      <w:r w:rsidRPr="00BC19F0">
        <w:rPr>
          <w:lang w:val="en-GB"/>
        </w:rPr>
        <w:br w:type="page"/>
      </w:r>
    </w:p>
    <w:p w14:paraId="4174D7F2" w14:textId="3376242A" w:rsidR="005B3970" w:rsidRPr="00BC19F0" w:rsidRDefault="005B3970" w:rsidP="00E736AE">
      <w:pPr>
        <w:spacing w:line="259" w:lineRule="auto"/>
        <w:rPr>
          <w:lang w:val="en-GB"/>
        </w:rPr>
        <w:sectPr w:rsidR="005B3970" w:rsidRPr="00BC19F0" w:rsidSect="005559EB">
          <w:footerReference w:type="default" r:id="rId8"/>
          <w:headerReference w:type="first" r:id="rId9"/>
          <w:footerReference w:type="first" r:id="rId10"/>
          <w:pgSz w:w="11906" w:h="16838" w:code="9"/>
          <w:pgMar w:top="1276" w:right="1276" w:bottom="851" w:left="1276" w:header="851" w:footer="851" w:gutter="0"/>
          <w:pgNumType w:fmt="lowerRoman" w:start="1"/>
          <w:cols w:space="720"/>
          <w:titlePg/>
          <w:docGrid w:linePitch="360"/>
        </w:sectPr>
      </w:pPr>
    </w:p>
    <w:p w14:paraId="5939B997" w14:textId="77777777" w:rsidR="00E31889" w:rsidRPr="00BC19F0" w:rsidRDefault="00E31889" w:rsidP="00E736AE">
      <w:pPr>
        <w:pStyle w:val="Heading1"/>
        <w:numPr>
          <w:ilvl w:val="0"/>
          <w:numId w:val="0"/>
        </w:numPr>
      </w:pPr>
      <w:bookmarkStart w:id="0" w:name="_Toc23406941"/>
      <w:bookmarkStart w:id="1" w:name="_Toc42124172"/>
      <w:bookmarkStart w:id="2" w:name="_Toc42124330"/>
      <w:bookmarkStart w:id="3" w:name="_Toc43900270"/>
      <w:bookmarkStart w:id="4" w:name="_Toc55294711"/>
      <w:r w:rsidRPr="00BC19F0">
        <w:lastRenderedPageBreak/>
        <w:t>CONTACTS</w:t>
      </w:r>
      <w:bookmarkEnd w:id="0"/>
      <w:bookmarkEnd w:id="1"/>
      <w:bookmarkEnd w:id="2"/>
      <w:bookmarkEnd w:id="3"/>
      <w:bookmarkEnd w:id="4"/>
    </w:p>
    <w:p w14:paraId="1A573037" w14:textId="10F52919" w:rsidR="00037E53" w:rsidRPr="00BC19F0" w:rsidRDefault="00DC0BE2" w:rsidP="00E736AE">
      <w:pPr>
        <w:rPr>
          <w:lang w:val="en-GB"/>
        </w:rPr>
      </w:pPr>
      <w:r w:rsidRPr="00BC19F0">
        <w:rPr>
          <w:noProof/>
          <w:lang w:val="de-CH" w:eastAsia="de-CH"/>
        </w:rPr>
        <w:drawing>
          <wp:anchor distT="0" distB="0" distL="114300" distR="114300" simplePos="0" relativeHeight="251666432" behindDoc="0" locked="0" layoutInCell="1" allowOverlap="1" wp14:anchorId="41F65670" wp14:editId="3111C64F">
            <wp:simplePos x="0" y="0"/>
            <wp:positionH relativeFrom="column">
              <wp:posOffset>17780</wp:posOffset>
            </wp:positionH>
            <wp:positionV relativeFrom="paragraph">
              <wp:posOffset>189230</wp:posOffset>
            </wp:positionV>
            <wp:extent cx="1749425" cy="731520"/>
            <wp:effectExtent l="0" t="0" r="3175" b="0"/>
            <wp:wrapSquare wrapText="bothSides"/>
            <wp:docPr id="1436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3F1F37DD-1370-4F78-974F-C10B37824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3F1F37DD-1370-4F78-974F-C10B37824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1C594" w14:textId="64D66BDF" w:rsidR="00094DB4" w:rsidRPr="00BC19F0" w:rsidRDefault="00DC0BE2" w:rsidP="00E736AE">
      <w:pPr>
        <w:rPr>
          <w:lang w:val="en-GB"/>
        </w:rPr>
      </w:pPr>
      <w:r w:rsidRPr="00BC19F0">
        <w:rPr>
          <w:noProof/>
          <w:lang w:val="de-CH" w:eastAsia="de-CH"/>
        </w:rPr>
        <w:drawing>
          <wp:anchor distT="0" distB="0" distL="114300" distR="114300" simplePos="0" relativeHeight="251657216" behindDoc="0" locked="0" layoutInCell="1" allowOverlap="1" wp14:anchorId="2E0EDEC0" wp14:editId="69B9E7DC">
            <wp:simplePos x="0" y="0"/>
            <wp:positionH relativeFrom="column">
              <wp:posOffset>3390265</wp:posOffset>
            </wp:positionH>
            <wp:positionV relativeFrom="paragraph">
              <wp:posOffset>127635</wp:posOffset>
            </wp:positionV>
            <wp:extent cx="1789430" cy="542925"/>
            <wp:effectExtent l="0" t="0" r="127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artn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Front"/>
        <w:tblW w:w="9072" w:type="dxa"/>
        <w:tblLayout w:type="fixed"/>
        <w:tblLook w:val="01E0" w:firstRow="1" w:lastRow="1" w:firstColumn="1" w:lastColumn="1" w:noHBand="0" w:noVBand="0"/>
      </w:tblPr>
      <w:tblGrid>
        <w:gridCol w:w="5387"/>
        <w:gridCol w:w="3685"/>
      </w:tblGrid>
      <w:tr w:rsidR="00094DB4" w:rsidRPr="00A511B6" w14:paraId="71612446" w14:textId="77777777" w:rsidTr="00DC0BE2">
        <w:trPr>
          <w:trHeight w:val="2940"/>
        </w:trPr>
        <w:tc>
          <w:tcPr>
            <w:tcW w:w="5387" w:type="dxa"/>
          </w:tcPr>
          <w:p w14:paraId="71556B92" w14:textId="77777777" w:rsidR="00880196" w:rsidRPr="00BC19F0" w:rsidRDefault="00880196" w:rsidP="00D56B33">
            <w:pPr>
              <w:jc w:val="left"/>
              <w:rPr>
                <w:b/>
                <w:sz w:val="22"/>
                <w:szCs w:val="22"/>
              </w:rPr>
            </w:pPr>
          </w:p>
          <w:p w14:paraId="750CB1B4" w14:textId="77777777" w:rsidR="00094DB4" w:rsidRPr="00BC19F0" w:rsidRDefault="00094DB4" w:rsidP="00D56B33">
            <w:pPr>
              <w:jc w:val="left"/>
              <w:rPr>
                <w:b/>
                <w:sz w:val="22"/>
                <w:szCs w:val="22"/>
              </w:rPr>
            </w:pPr>
            <w:r w:rsidRPr="00BC19F0">
              <w:rPr>
                <w:b/>
                <w:sz w:val="22"/>
                <w:szCs w:val="22"/>
              </w:rPr>
              <w:t>Swiss Tropical and Public Health Institute</w:t>
            </w:r>
          </w:p>
          <w:p w14:paraId="030A355D" w14:textId="77777777" w:rsidR="00094DB4" w:rsidRPr="00BC19F0" w:rsidRDefault="00094DB4" w:rsidP="00D56B33">
            <w:pPr>
              <w:jc w:val="left"/>
              <w:rPr>
                <w:lang w:val="de-CH"/>
              </w:rPr>
            </w:pPr>
            <w:r w:rsidRPr="00BC19F0">
              <w:rPr>
                <w:lang w:val="de-CH"/>
              </w:rPr>
              <w:t>Socinstrasse 57</w:t>
            </w:r>
          </w:p>
          <w:p w14:paraId="39ADE4B6" w14:textId="77777777" w:rsidR="00B20CC1" w:rsidRPr="00BC19F0" w:rsidRDefault="00B20CC1" w:rsidP="00B20CC1">
            <w:pPr>
              <w:jc w:val="left"/>
              <w:rPr>
                <w:lang w:val="de-CH"/>
              </w:rPr>
            </w:pPr>
            <w:r w:rsidRPr="00BC19F0">
              <w:rPr>
                <w:lang w:val="de-CH"/>
              </w:rPr>
              <w:t>4002 Basel</w:t>
            </w:r>
          </w:p>
          <w:p w14:paraId="5F2BEF3D" w14:textId="77777777" w:rsidR="00B20CC1" w:rsidRPr="00BC19F0" w:rsidRDefault="00B20CC1" w:rsidP="00B20CC1">
            <w:pPr>
              <w:jc w:val="left"/>
              <w:rPr>
                <w:lang w:val="de-CH"/>
              </w:rPr>
            </w:pPr>
            <w:r w:rsidRPr="00BC19F0">
              <w:rPr>
                <w:lang w:val="de-CH"/>
              </w:rPr>
              <w:t xml:space="preserve">Switzerland </w:t>
            </w:r>
          </w:p>
          <w:p w14:paraId="3385CED4" w14:textId="1F4D8FBE" w:rsidR="00B20CC1" w:rsidRPr="00A960AA" w:rsidRDefault="00A511B6" w:rsidP="00B20CC1">
            <w:pPr>
              <w:jc w:val="left"/>
              <w:rPr>
                <w:rStyle w:val="Hyperlink"/>
                <w:lang w:val="de-CH"/>
              </w:rPr>
            </w:pPr>
            <w:hyperlink w:history="1"/>
            <w:r w:rsidR="00A22D6E" w:rsidRPr="00A960AA">
              <w:rPr>
                <w:rStyle w:val="Hyperlink"/>
                <w:lang w:val="de-CH"/>
              </w:rPr>
              <w:t>www.swisstph.ch</w:t>
            </w:r>
          </w:p>
          <w:p w14:paraId="24052D4A" w14:textId="5999C89F" w:rsidR="00094DB4" w:rsidRPr="00BC19F0" w:rsidRDefault="00094DB4" w:rsidP="00BD58E7">
            <w:pPr>
              <w:jc w:val="left"/>
              <w:rPr>
                <w:sz w:val="22"/>
                <w:szCs w:val="22"/>
                <w:lang w:val="de-CH"/>
              </w:rPr>
            </w:pPr>
          </w:p>
          <w:p w14:paraId="75A737E3" w14:textId="77777777" w:rsidR="00B20CC1" w:rsidRPr="00BC19F0" w:rsidRDefault="00B20CC1" w:rsidP="00B20CC1">
            <w:pPr>
              <w:jc w:val="left"/>
              <w:rPr>
                <w:b/>
                <w:lang w:val="de-CH"/>
              </w:rPr>
            </w:pPr>
            <w:r w:rsidRPr="00BC19F0">
              <w:rPr>
                <w:b/>
                <w:lang w:val="de-CH"/>
              </w:rPr>
              <w:t>Annabelle Walz</w:t>
            </w:r>
          </w:p>
          <w:p w14:paraId="2B17EEA9" w14:textId="77777777" w:rsidR="00B20CC1" w:rsidRPr="00BC19F0" w:rsidRDefault="00EC38A9" w:rsidP="00B20CC1">
            <w:pPr>
              <w:jc w:val="left"/>
            </w:pPr>
            <w:r w:rsidRPr="00BC19F0">
              <w:t>Scientific Collaborator</w:t>
            </w:r>
          </w:p>
          <w:p w14:paraId="502B9226" w14:textId="77777777" w:rsidR="00B20CC1" w:rsidRPr="00BC19F0" w:rsidRDefault="00B20CC1" w:rsidP="00B20CC1">
            <w:pPr>
              <w:jc w:val="left"/>
            </w:pPr>
            <w:r w:rsidRPr="00BC19F0">
              <w:t>Medical Parasitology and Infection Biology</w:t>
            </w:r>
          </w:p>
          <w:p w14:paraId="3292A3F5" w14:textId="77777777" w:rsidR="00B20CC1" w:rsidRPr="00BC19F0" w:rsidRDefault="00B20CC1" w:rsidP="00B20CC1">
            <w:pPr>
              <w:jc w:val="left"/>
            </w:pPr>
            <w:r w:rsidRPr="00BC19F0">
              <w:t>Parasite Chemotherapy Unit</w:t>
            </w:r>
          </w:p>
          <w:p w14:paraId="3EA8B3EA" w14:textId="77777777" w:rsidR="00B20CC1" w:rsidRPr="00BC19F0" w:rsidRDefault="00B20CC1" w:rsidP="00B20CC1">
            <w:pPr>
              <w:jc w:val="left"/>
            </w:pPr>
            <w:r w:rsidRPr="00BC19F0">
              <w:t>Tel.: +41 61 284 88 23</w:t>
            </w:r>
          </w:p>
          <w:p w14:paraId="690ADD8A" w14:textId="5B0CDE87" w:rsidR="00B20CC1" w:rsidRPr="00BC19F0" w:rsidRDefault="00B20CC1" w:rsidP="00A22D6E">
            <w:pPr>
              <w:rPr>
                <w:color w:val="0000FF"/>
                <w:u w:val="single"/>
                <w:lang w:val="de-CH"/>
              </w:rPr>
            </w:pPr>
            <w:r w:rsidRPr="00BC19F0">
              <w:rPr>
                <w:lang w:val="de-CH"/>
              </w:rPr>
              <w:t xml:space="preserve">E-mail: </w:t>
            </w:r>
            <w:hyperlink r:id="rId13" w:history="1">
              <w:r w:rsidR="00A22D6E" w:rsidRPr="00A22D6E">
                <w:rPr>
                  <w:rStyle w:val="Hyperlink"/>
                  <w:lang w:val="de-CH"/>
                </w:rPr>
                <w:t>annabelle.walz@swisstph.ch</w:t>
              </w:r>
            </w:hyperlink>
          </w:p>
        </w:tc>
        <w:tc>
          <w:tcPr>
            <w:tcW w:w="3685" w:type="dxa"/>
            <w:tcBorders>
              <w:left w:val="nil"/>
            </w:tcBorders>
            <w:vAlign w:val="top"/>
          </w:tcPr>
          <w:p w14:paraId="60E1E68D" w14:textId="77777777" w:rsidR="00880196" w:rsidRPr="008750A6" w:rsidRDefault="00880196" w:rsidP="0082479D">
            <w:pPr>
              <w:jc w:val="left"/>
              <w:rPr>
                <w:b/>
                <w:sz w:val="22"/>
                <w:szCs w:val="22"/>
                <w:lang w:val="fr-FR"/>
              </w:rPr>
            </w:pPr>
          </w:p>
          <w:p w14:paraId="55568CE2" w14:textId="77777777" w:rsidR="00094DB4" w:rsidRPr="00BC19F0" w:rsidRDefault="00AA4252" w:rsidP="0082479D">
            <w:pPr>
              <w:jc w:val="left"/>
              <w:rPr>
                <w:b/>
                <w:sz w:val="22"/>
                <w:szCs w:val="22"/>
                <w:lang w:val="fr-FR"/>
              </w:rPr>
            </w:pPr>
            <w:r w:rsidRPr="00BC19F0">
              <w:rPr>
                <w:b/>
                <w:sz w:val="22"/>
                <w:szCs w:val="22"/>
                <w:lang w:val="fr-FR"/>
              </w:rPr>
              <w:t>Medicines for Malaria Venture</w:t>
            </w:r>
          </w:p>
          <w:p w14:paraId="746795E3" w14:textId="77777777" w:rsidR="0082479D" w:rsidRPr="00BC19F0" w:rsidRDefault="00AC44B7" w:rsidP="0082479D">
            <w:pPr>
              <w:jc w:val="left"/>
              <w:rPr>
                <w:lang w:val="fr-FR"/>
              </w:rPr>
            </w:pPr>
            <w:r w:rsidRPr="00BC19F0">
              <w:rPr>
                <w:lang w:val="fr-FR"/>
              </w:rPr>
              <w:t>Route de Pré-Bois 20</w:t>
            </w:r>
          </w:p>
          <w:p w14:paraId="44EE12DC" w14:textId="77777777" w:rsidR="0082479D" w:rsidRPr="00BC19F0" w:rsidRDefault="00AC44B7" w:rsidP="0082479D">
            <w:pPr>
              <w:jc w:val="left"/>
            </w:pPr>
            <w:r w:rsidRPr="00BC19F0">
              <w:t xml:space="preserve">1215 Geneva </w:t>
            </w:r>
          </w:p>
          <w:p w14:paraId="7C566340" w14:textId="77777777" w:rsidR="0082479D" w:rsidRPr="00BC19F0" w:rsidRDefault="00AC44B7" w:rsidP="0082479D">
            <w:pPr>
              <w:jc w:val="left"/>
            </w:pPr>
            <w:r w:rsidRPr="00BC19F0">
              <w:t>Switzerland</w:t>
            </w:r>
          </w:p>
          <w:p w14:paraId="192A8C95" w14:textId="77777777" w:rsidR="0082479D" w:rsidRPr="00BC19F0" w:rsidRDefault="00A511B6" w:rsidP="0082479D">
            <w:pPr>
              <w:jc w:val="left"/>
              <w:rPr>
                <w:rStyle w:val="Hyperlink"/>
                <w:rFonts w:asciiTheme="minorHAnsi" w:eastAsiaTheme="minorHAnsi" w:hAnsiTheme="minorHAnsi" w:cstheme="minorBidi"/>
                <w:lang w:eastAsia="en-US"/>
              </w:rPr>
            </w:pPr>
            <w:hyperlink r:id="rId14" w:history="1">
              <w:r w:rsidR="00AC44B7" w:rsidRPr="00BC19F0">
                <w:rPr>
                  <w:rStyle w:val="Hyperlink"/>
                </w:rPr>
                <w:t>www.mmv.org</w:t>
              </w:r>
            </w:hyperlink>
            <w:r w:rsidR="00AC44B7" w:rsidRPr="00BC19F0">
              <w:t xml:space="preserve"> </w:t>
            </w:r>
          </w:p>
          <w:p w14:paraId="105FED33" w14:textId="77777777" w:rsidR="0082479D" w:rsidRPr="00BC19F0" w:rsidRDefault="0082479D" w:rsidP="0082479D">
            <w:pPr>
              <w:jc w:val="left"/>
            </w:pPr>
          </w:p>
          <w:p w14:paraId="4B1B726D" w14:textId="00646552" w:rsidR="0082479D" w:rsidRPr="00BC19F0" w:rsidRDefault="00FB3545" w:rsidP="0082479D">
            <w:pPr>
              <w:jc w:val="left"/>
              <w:rPr>
                <w:b/>
              </w:rPr>
            </w:pPr>
            <w:r w:rsidRPr="00BC19F0">
              <w:rPr>
                <w:b/>
              </w:rPr>
              <w:t>Maëlle Duffey</w:t>
            </w:r>
          </w:p>
          <w:p w14:paraId="7477F259" w14:textId="77777777" w:rsidR="00FB3545" w:rsidRPr="00BC19F0" w:rsidRDefault="00FB3545" w:rsidP="0082479D">
            <w:pPr>
              <w:jc w:val="left"/>
            </w:pPr>
            <w:r w:rsidRPr="00BC19F0">
              <w:t>Research Scientist</w:t>
            </w:r>
          </w:p>
          <w:p w14:paraId="14C6DF96" w14:textId="61D99D64" w:rsidR="0082479D" w:rsidRPr="00BC19F0" w:rsidRDefault="00A87EAB" w:rsidP="0082479D">
            <w:pPr>
              <w:jc w:val="left"/>
            </w:pPr>
            <w:r w:rsidRPr="00BC19F0">
              <w:t>Research &amp; Development</w:t>
            </w:r>
          </w:p>
          <w:p w14:paraId="2C7C2C79" w14:textId="77777777" w:rsidR="00A87EAB" w:rsidRPr="00BC19F0" w:rsidRDefault="00A87EAB" w:rsidP="0082479D">
            <w:pPr>
              <w:jc w:val="left"/>
            </w:pPr>
            <w:r w:rsidRPr="00BC19F0">
              <w:t>Drug Discovery</w:t>
            </w:r>
          </w:p>
          <w:p w14:paraId="3562F7D3" w14:textId="77777777" w:rsidR="004505C9" w:rsidRPr="00BC19F0" w:rsidRDefault="0082479D" w:rsidP="004505C9">
            <w:pPr>
              <w:jc w:val="left"/>
              <w:rPr>
                <w:rFonts w:cs="Arial"/>
                <w:lang w:val="de-CH"/>
              </w:rPr>
            </w:pPr>
            <w:r w:rsidRPr="00BC19F0">
              <w:rPr>
                <w:lang w:val="de-CH"/>
              </w:rPr>
              <w:t xml:space="preserve">Tel.: </w:t>
            </w:r>
            <w:r w:rsidR="008F6C7D" w:rsidRPr="00BC19F0">
              <w:rPr>
                <w:rFonts w:cs="Arial"/>
                <w:lang w:val="de-CH"/>
              </w:rPr>
              <w:t>+41 79 608 17 35</w:t>
            </w:r>
          </w:p>
          <w:p w14:paraId="7C054626" w14:textId="61347B16" w:rsidR="0082479D" w:rsidRPr="00BC19F0" w:rsidRDefault="0082479D" w:rsidP="004505C9">
            <w:pPr>
              <w:jc w:val="left"/>
              <w:rPr>
                <w:b/>
                <w:sz w:val="22"/>
                <w:szCs w:val="22"/>
                <w:lang w:val="de-CH"/>
              </w:rPr>
            </w:pPr>
            <w:r w:rsidRPr="00BC19F0">
              <w:rPr>
                <w:lang w:val="de-CH"/>
              </w:rPr>
              <w:t xml:space="preserve">E-mail: </w:t>
            </w:r>
            <w:hyperlink r:id="rId15" w:history="1">
              <w:r w:rsidR="00315714" w:rsidRPr="00BC19F0">
                <w:rPr>
                  <w:rStyle w:val="Hyperlink"/>
                  <w:rFonts w:cs="Arial"/>
                  <w:lang w:val="de-CH"/>
                </w:rPr>
                <w:t>duffeym@mmv.org</w:t>
              </w:r>
            </w:hyperlink>
          </w:p>
        </w:tc>
      </w:tr>
    </w:tbl>
    <w:p w14:paraId="08E3BC4A" w14:textId="4BACA7E6" w:rsidR="00B20CC1" w:rsidRPr="00BC19F0" w:rsidRDefault="00B20CC1" w:rsidP="00A41D55">
      <w:pPr>
        <w:pStyle w:val="Plain-Heading2-SwissTPH"/>
      </w:pPr>
      <w:bookmarkStart w:id="5" w:name="_Toc55294712"/>
      <w:r w:rsidRPr="00BC19F0">
        <w:t>Team</w:t>
      </w:r>
      <w:r w:rsidR="00A41D55" w:rsidRPr="00BC19F0">
        <w:t xml:space="preserve"> member</w:t>
      </w:r>
      <w:r w:rsidRPr="00BC19F0">
        <w:t>s involved in the study</w:t>
      </w:r>
      <w:bookmarkEnd w:id="5"/>
    </w:p>
    <w:tbl>
      <w:tblPr>
        <w:tblStyle w:val="TableGrid"/>
        <w:tblW w:w="5000" w:type="pct"/>
        <w:tblInd w:w="0" w:type="dxa"/>
        <w:tblLook w:val="05E0" w:firstRow="1" w:lastRow="1" w:firstColumn="1" w:lastColumn="1" w:noHBand="0" w:noVBand="1"/>
      </w:tblPr>
      <w:tblGrid>
        <w:gridCol w:w="4532"/>
        <w:gridCol w:w="4812"/>
      </w:tblGrid>
      <w:tr w:rsidR="00B20CC1" w:rsidRPr="00BC19F0" w14:paraId="0D3544BB" w14:textId="77777777" w:rsidTr="00037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pct"/>
          </w:tcPr>
          <w:p w14:paraId="23BB2712" w14:textId="77777777" w:rsidR="00B20CC1" w:rsidRPr="00BC19F0" w:rsidRDefault="00B20CC1" w:rsidP="00EC38A9">
            <w:pPr>
              <w:pStyle w:val="Table-Header"/>
              <w:jc w:val="left"/>
              <w:rPr>
                <w:b/>
              </w:rPr>
            </w:pPr>
            <w:r w:rsidRPr="00BC19F0">
              <w:rPr>
                <w:b/>
              </w:rPr>
              <w:t>Function</w:t>
            </w:r>
          </w:p>
        </w:tc>
        <w:tc>
          <w:tcPr>
            <w:tcW w:w="2575" w:type="pct"/>
          </w:tcPr>
          <w:p w14:paraId="5DD69C41" w14:textId="77777777" w:rsidR="00B20CC1" w:rsidRPr="00BC19F0" w:rsidRDefault="00B20CC1" w:rsidP="00EC38A9">
            <w:pPr>
              <w:pStyle w:val="Table-Header"/>
              <w:jc w:val="left"/>
              <w:rPr>
                <w:b/>
              </w:rPr>
            </w:pPr>
            <w:r w:rsidRPr="00BC19F0">
              <w:rPr>
                <w:b/>
              </w:rPr>
              <w:t xml:space="preserve">Person(s) </w:t>
            </w:r>
          </w:p>
        </w:tc>
      </w:tr>
      <w:tr w:rsidR="00B20CC1" w:rsidRPr="00BC19F0" w14:paraId="7597804F" w14:textId="77777777" w:rsidTr="00037E53">
        <w:trPr>
          <w:trHeight w:val="42"/>
        </w:trPr>
        <w:tc>
          <w:tcPr>
            <w:tcW w:w="2425" w:type="pct"/>
          </w:tcPr>
          <w:p w14:paraId="4F9A689D" w14:textId="6551F326" w:rsidR="00B20CC1" w:rsidRPr="00BC19F0" w:rsidRDefault="00B20CC1" w:rsidP="00EC38A9">
            <w:pPr>
              <w:jc w:val="left"/>
              <w:rPr>
                <w:b/>
              </w:rPr>
            </w:pPr>
            <w:r w:rsidRPr="00BC19F0">
              <w:rPr>
                <w:b/>
                <w:noProof/>
              </w:rPr>
              <w:t>Principal investigator (Swiss</w:t>
            </w:r>
            <w:r w:rsidR="006F37BA" w:rsidRPr="00BC19F0">
              <w:rPr>
                <w:b/>
                <w:noProof/>
              </w:rPr>
              <w:t xml:space="preserve"> </w:t>
            </w:r>
            <w:r w:rsidRPr="00BC19F0">
              <w:rPr>
                <w:b/>
                <w:noProof/>
              </w:rPr>
              <w:t>TPH)</w:t>
            </w:r>
          </w:p>
        </w:tc>
        <w:tc>
          <w:tcPr>
            <w:tcW w:w="2575" w:type="pct"/>
          </w:tcPr>
          <w:p w14:paraId="71AC2F17" w14:textId="288FE137" w:rsidR="00B20CC1" w:rsidRPr="00BC19F0" w:rsidRDefault="00315714" w:rsidP="00EC38A9">
            <w:pPr>
              <w:jc w:val="left"/>
            </w:pPr>
            <w:r w:rsidRPr="00BC19F0">
              <w:t>Dr.</w:t>
            </w:r>
            <w:r w:rsidR="00066A1E" w:rsidRPr="00BC19F0">
              <w:t xml:space="preserve"> </w:t>
            </w:r>
            <w:r w:rsidR="00B20CC1" w:rsidRPr="00BC19F0">
              <w:t>Sergio Wittlin</w:t>
            </w:r>
          </w:p>
        </w:tc>
      </w:tr>
      <w:tr w:rsidR="00B20CC1" w:rsidRPr="00BC19F0" w14:paraId="52C2EAF6" w14:textId="77777777" w:rsidTr="00037E53">
        <w:tc>
          <w:tcPr>
            <w:tcW w:w="2425" w:type="pct"/>
          </w:tcPr>
          <w:p w14:paraId="502259C0" w14:textId="3445A642" w:rsidR="00B20CC1" w:rsidRPr="00BC19F0" w:rsidRDefault="00B20CC1" w:rsidP="00EC38A9">
            <w:pPr>
              <w:jc w:val="left"/>
              <w:rPr>
                <w:b/>
              </w:rPr>
            </w:pPr>
            <w:r w:rsidRPr="00BC19F0">
              <w:rPr>
                <w:b/>
              </w:rPr>
              <w:t>Experimental technicians (Swiss</w:t>
            </w:r>
            <w:r w:rsidR="006F37BA" w:rsidRPr="00BC19F0">
              <w:rPr>
                <w:b/>
              </w:rPr>
              <w:t xml:space="preserve"> </w:t>
            </w:r>
            <w:r w:rsidRPr="00BC19F0">
              <w:rPr>
                <w:b/>
              </w:rPr>
              <w:t>TPH)</w:t>
            </w:r>
          </w:p>
        </w:tc>
        <w:tc>
          <w:tcPr>
            <w:tcW w:w="2575" w:type="pct"/>
          </w:tcPr>
          <w:p w14:paraId="50D9E8C0" w14:textId="77777777" w:rsidR="00B20CC1" w:rsidRPr="00BC19F0" w:rsidRDefault="00B20CC1" w:rsidP="00B20CC1">
            <w:pPr>
              <w:ind w:left="0"/>
              <w:jc w:val="left"/>
            </w:pPr>
            <w:r w:rsidRPr="00BC19F0">
              <w:t xml:space="preserve"> Sibylle Sax, Annabelle Walz</w:t>
            </w:r>
          </w:p>
        </w:tc>
      </w:tr>
      <w:tr w:rsidR="00B20CC1" w:rsidRPr="00BC19F0" w14:paraId="42C8D2AD" w14:textId="77777777" w:rsidTr="00037E53">
        <w:tc>
          <w:tcPr>
            <w:tcW w:w="2425" w:type="pct"/>
          </w:tcPr>
          <w:p w14:paraId="1ABCB7B6" w14:textId="77777777" w:rsidR="00B20CC1" w:rsidRPr="00BC19F0" w:rsidRDefault="00B20CC1" w:rsidP="00EC38A9">
            <w:pPr>
              <w:jc w:val="left"/>
              <w:rPr>
                <w:b/>
              </w:rPr>
            </w:pPr>
            <w:r w:rsidRPr="00BC19F0">
              <w:rPr>
                <w:b/>
              </w:rPr>
              <w:t>Project Director (MMV)</w:t>
            </w:r>
          </w:p>
        </w:tc>
        <w:tc>
          <w:tcPr>
            <w:tcW w:w="2575" w:type="pct"/>
          </w:tcPr>
          <w:p w14:paraId="54E07A83" w14:textId="51B9B4A6" w:rsidR="00B20CC1" w:rsidRPr="00BC19F0" w:rsidRDefault="00315714" w:rsidP="00EC38A9">
            <w:pPr>
              <w:jc w:val="left"/>
            </w:pPr>
            <w:r w:rsidRPr="00BC19F0">
              <w:t>Dr</w:t>
            </w:r>
            <w:r w:rsidR="00573AD5" w:rsidRPr="00BC19F0">
              <w:t>.</w:t>
            </w:r>
            <w:r w:rsidRPr="00BC19F0">
              <w:t xml:space="preserve"> Didier Leroy</w:t>
            </w:r>
          </w:p>
        </w:tc>
      </w:tr>
      <w:tr w:rsidR="00B20CC1" w:rsidRPr="00BC19F0" w14:paraId="651F1CF1" w14:textId="77777777" w:rsidTr="00037E53">
        <w:tc>
          <w:tcPr>
            <w:tcW w:w="2425" w:type="pct"/>
          </w:tcPr>
          <w:p w14:paraId="2D46FD95" w14:textId="77777777" w:rsidR="00B20CC1" w:rsidRPr="00BC19F0" w:rsidRDefault="00B20CC1" w:rsidP="00EC38A9">
            <w:pPr>
              <w:jc w:val="left"/>
              <w:rPr>
                <w:b/>
              </w:rPr>
            </w:pPr>
            <w:r w:rsidRPr="00BC19F0">
              <w:rPr>
                <w:b/>
              </w:rPr>
              <w:t>Research Scientist (MMV)</w:t>
            </w:r>
          </w:p>
        </w:tc>
        <w:tc>
          <w:tcPr>
            <w:tcW w:w="2575" w:type="pct"/>
          </w:tcPr>
          <w:p w14:paraId="177B0297" w14:textId="64B2CC70" w:rsidR="00B20CC1" w:rsidRPr="00BC19F0" w:rsidRDefault="00315714" w:rsidP="00315714">
            <w:pPr>
              <w:jc w:val="left"/>
            </w:pPr>
            <w:r w:rsidRPr="00BC19F0">
              <w:t>Dr</w:t>
            </w:r>
            <w:r w:rsidR="00573AD5" w:rsidRPr="00BC19F0">
              <w:t>.</w:t>
            </w:r>
            <w:r w:rsidRPr="00BC19F0">
              <w:t xml:space="preserve"> </w:t>
            </w:r>
            <w:r w:rsidR="00FB3545" w:rsidRPr="00BC19F0">
              <w:t>Maëlle Duffey</w:t>
            </w:r>
          </w:p>
        </w:tc>
      </w:tr>
    </w:tbl>
    <w:p w14:paraId="7941F5D7" w14:textId="280EA83B" w:rsidR="002C520B" w:rsidRPr="00BC19F0" w:rsidRDefault="002C520B" w:rsidP="00E736AE">
      <w:pPr>
        <w:spacing w:line="259" w:lineRule="auto"/>
        <w:rPr>
          <w:b/>
          <w:bCs/>
          <w:color w:val="468AB2" w:themeColor="accent3"/>
          <w:sz w:val="24"/>
          <w:szCs w:val="24"/>
        </w:rPr>
      </w:pPr>
    </w:p>
    <w:p w14:paraId="629649B1" w14:textId="0BAC279C" w:rsidR="002C520B" w:rsidRPr="00BC19F0" w:rsidRDefault="002C520B" w:rsidP="00E736AE">
      <w:pPr>
        <w:spacing w:line="259" w:lineRule="auto"/>
        <w:rPr>
          <w:b/>
          <w:bCs/>
          <w:color w:val="468AB2" w:themeColor="accent3"/>
          <w:sz w:val="24"/>
          <w:szCs w:val="24"/>
        </w:rPr>
      </w:pPr>
    </w:p>
    <w:p w14:paraId="0B4B1144" w14:textId="65ABB530" w:rsidR="002C520B" w:rsidRPr="00BC19F0" w:rsidRDefault="002C520B" w:rsidP="00E736AE">
      <w:pPr>
        <w:spacing w:line="259" w:lineRule="auto"/>
        <w:rPr>
          <w:lang w:val="en-GB"/>
        </w:rPr>
      </w:pPr>
    </w:p>
    <w:p w14:paraId="2A65E442" w14:textId="26AD2055" w:rsidR="00A41D55" w:rsidRPr="00BC19F0" w:rsidRDefault="00A41D55" w:rsidP="00E736AE">
      <w:pPr>
        <w:spacing w:line="259" w:lineRule="auto"/>
        <w:rPr>
          <w:lang w:val="en-GB"/>
        </w:rPr>
      </w:pPr>
    </w:p>
    <w:p w14:paraId="2C7AC6A8" w14:textId="45FD2ECD" w:rsidR="002C520B" w:rsidRPr="00BC19F0" w:rsidRDefault="002C520B" w:rsidP="00E736AE">
      <w:pPr>
        <w:spacing w:line="259" w:lineRule="auto"/>
        <w:rPr>
          <w:lang w:val="en-GB"/>
        </w:rPr>
      </w:pPr>
    </w:p>
    <w:p w14:paraId="33D7A671" w14:textId="5915951A" w:rsidR="00A41D55" w:rsidRPr="00BC19F0" w:rsidRDefault="00A41D55" w:rsidP="00A41D55">
      <w:pPr>
        <w:rPr>
          <w:lang w:val="en-GB" w:eastAsia="de-DE"/>
        </w:rPr>
      </w:pPr>
    </w:p>
    <w:p w14:paraId="24D21787" w14:textId="57C9C088" w:rsidR="00A41D55" w:rsidRPr="00BC19F0" w:rsidRDefault="00A41D55" w:rsidP="00A41D55">
      <w:pPr>
        <w:pStyle w:val="AuthorDetailCover-SwissTPH"/>
        <w:jc w:val="left"/>
        <w:rPr>
          <w:lang w:val="en-GB"/>
        </w:rPr>
      </w:pPr>
    </w:p>
    <w:p w14:paraId="39FC0D91" w14:textId="02040B2D" w:rsidR="00E6509B" w:rsidRPr="00BC19F0" w:rsidRDefault="00E6509B" w:rsidP="002C520B">
      <w:pPr>
        <w:spacing w:after="0"/>
        <w:rPr>
          <w:b/>
          <w:lang w:val="en-GB" w:eastAsia="de-DE"/>
        </w:rPr>
      </w:pPr>
    </w:p>
    <w:p w14:paraId="1173C5CE" w14:textId="4AA832B3" w:rsidR="00E6509B" w:rsidRPr="00BC19F0" w:rsidRDefault="00E6509B" w:rsidP="002C520B">
      <w:pPr>
        <w:spacing w:after="0"/>
        <w:rPr>
          <w:b/>
          <w:lang w:val="en-GB" w:eastAsia="de-DE"/>
        </w:rPr>
      </w:pPr>
    </w:p>
    <w:p w14:paraId="7E2B2E14" w14:textId="262916CB" w:rsidR="003D584B" w:rsidRPr="00BC19F0" w:rsidRDefault="003D584B" w:rsidP="002C520B">
      <w:pPr>
        <w:spacing w:after="0"/>
        <w:rPr>
          <w:rFonts w:cs="Arial"/>
          <w:b/>
          <w:bCs/>
          <w:sz w:val="28"/>
          <w:szCs w:val="28"/>
          <w:lang w:val="en-GB"/>
        </w:rPr>
      </w:pPr>
      <w:r w:rsidRPr="00BC19F0">
        <w:rPr>
          <w:noProof/>
          <w:lang w:val="de-CH" w:eastAsia="de-CH"/>
        </w:rPr>
        <w:drawing>
          <wp:anchor distT="0" distB="0" distL="114300" distR="114300" simplePos="0" relativeHeight="251667456" behindDoc="0" locked="0" layoutInCell="1" allowOverlap="1" wp14:anchorId="345F377C" wp14:editId="18CF5FE2">
            <wp:simplePos x="0" y="0"/>
            <wp:positionH relativeFrom="margin">
              <wp:posOffset>3596640</wp:posOffset>
            </wp:positionH>
            <wp:positionV relativeFrom="paragraph">
              <wp:posOffset>140083</wp:posOffset>
            </wp:positionV>
            <wp:extent cx="2343429" cy="499403"/>
            <wp:effectExtent l="0" t="0" r="0" b="0"/>
            <wp:wrapNone/>
            <wp:docPr id="1" name="Picture 1" descr="C:\Users\walzan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lzan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29" cy="4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20B" w:rsidRPr="00BC19F0">
        <w:rPr>
          <w:b/>
          <w:lang w:val="en-GB" w:eastAsia="de-DE"/>
        </w:rPr>
        <w:tab/>
      </w:r>
    </w:p>
    <w:p w14:paraId="7D9F00E9" w14:textId="77777777" w:rsidR="00DB2BA0" w:rsidRPr="00BC19F0" w:rsidRDefault="00DB2BA0" w:rsidP="003D584B">
      <w:pPr>
        <w:jc w:val="right"/>
        <w:rPr>
          <w:rFonts w:cs="Arial"/>
          <w:sz w:val="28"/>
          <w:szCs w:val="28"/>
          <w:lang w:val="en-GB"/>
        </w:rPr>
      </w:pPr>
    </w:p>
    <w:p w14:paraId="70E0BD48" w14:textId="0F6028A0" w:rsidR="00E6509B" w:rsidRPr="00BC19F0" w:rsidRDefault="002C520B" w:rsidP="002C520B">
      <w:pPr>
        <w:spacing w:after="0"/>
        <w:rPr>
          <w:lang w:val="en-GB" w:eastAsia="de-DE"/>
        </w:rPr>
      </w:pPr>
      <w:r w:rsidRPr="00BC19F0">
        <w:rPr>
          <w:lang w:val="en-GB" w:eastAsia="de-DE"/>
        </w:rPr>
        <w:tab/>
      </w:r>
      <w:r w:rsidRPr="00BC19F0">
        <w:rPr>
          <w:lang w:val="en-GB" w:eastAsia="de-DE"/>
        </w:rPr>
        <w:tab/>
      </w:r>
      <w:r w:rsidRPr="00BC19F0">
        <w:rPr>
          <w:lang w:val="en-GB" w:eastAsia="de-DE"/>
        </w:rPr>
        <w:tab/>
      </w:r>
      <w:r w:rsidRPr="00BC19F0">
        <w:rPr>
          <w:lang w:val="en-GB" w:eastAsia="de-DE"/>
        </w:rPr>
        <w:tab/>
      </w:r>
      <w:r w:rsidRPr="00BC19F0">
        <w:rPr>
          <w:lang w:val="en-GB" w:eastAsia="de-DE"/>
        </w:rPr>
        <w:tab/>
      </w:r>
      <w:r w:rsidR="00163FA2" w:rsidRPr="00BC19F0">
        <w:rPr>
          <w:lang w:val="en-GB" w:eastAsia="de-DE"/>
        </w:rPr>
        <w:t xml:space="preserve">                                   </w:t>
      </w:r>
      <w:r w:rsidR="00DB2BA0" w:rsidRPr="00BC19F0">
        <w:rPr>
          <w:rFonts w:cs="Arial"/>
          <w:bCs/>
          <w:sz w:val="28"/>
          <w:szCs w:val="28"/>
          <w:lang w:val="en-GB"/>
        </w:rPr>
        <w:t>____________________</w:t>
      </w:r>
      <w:r w:rsidRPr="00BC19F0">
        <w:rPr>
          <w:rFonts w:cs="Arial"/>
          <w:bCs/>
          <w:sz w:val="28"/>
          <w:szCs w:val="28"/>
          <w:lang w:val="en-GB"/>
        </w:rPr>
        <w:t>___</w:t>
      </w:r>
      <w:r w:rsidR="00163FA2" w:rsidRPr="00BC19F0">
        <w:rPr>
          <w:b/>
          <w:lang w:val="en-GB" w:eastAsia="de-DE"/>
        </w:rPr>
        <w:t xml:space="preserve"> </w:t>
      </w:r>
      <w:r w:rsidR="00163FA2" w:rsidRPr="00A511B6">
        <w:rPr>
          <w:b/>
          <w:lang w:val="en-GB" w:eastAsia="de-DE"/>
        </w:rPr>
        <w:t xml:space="preserve">Date: </w:t>
      </w:r>
      <w:r w:rsidR="00A511B6" w:rsidRPr="00A511B6">
        <w:rPr>
          <w:lang w:val="en-GB"/>
        </w:rPr>
        <w:t>27</w:t>
      </w:r>
      <w:r w:rsidR="00A511B6" w:rsidRPr="00A511B6">
        <w:rPr>
          <w:vertAlign w:val="superscript"/>
          <w:lang w:val="en-GB"/>
        </w:rPr>
        <w:t>th</w:t>
      </w:r>
      <w:r w:rsidR="00A511B6" w:rsidRPr="00A511B6">
        <w:rPr>
          <w:lang w:val="en-GB"/>
        </w:rPr>
        <w:t xml:space="preserve"> </w:t>
      </w:r>
      <w:r w:rsidR="00163FA2" w:rsidRPr="00A511B6">
        <w:rPr>
          <w:lang w:val="en-GB"/>
        </w:rPr>
        <w:t xml:space="preserve">of </w:t>
      </w:r>
      <w:r w:rsidR="00A511B6" w:rsidRPr="00A511B6">
        <w:rPr>
          <w:lang w:val="en-GB"/>
        </w:rPr>
        <w:t>January</w:t>
      </w:r>
      <w:r w:rsidR="00A511B6">
        <w:rPr>
          <w:lang w:val="en-GB"/>
        </w:rPr>
        <w:t xml:space="preserve"> 2022</w:t>
      </w:r>
      <w:r w:rsidRPr="00BC19F0">
        <w:rPr>
          <w:lang w:val="en-GB" w:eastAsia="de-DE"/>
        </w:rPr>
        <w:tab/>
      </w:r>
      <w:r w:rsidRPr="00BC19F0">
        <w:rPr>
          <w:lang w:val="en-GB" w:eastAsia="de-DE"/>
        </w:rPr>
        <w:tab/>
      </w:r>
      <w:r w:rsidRPr="00BC19F0">
        <w:rPr>
          <w:lang w:val="en-GB" w:eastAsia="de-DE"/>
        </w:rPr>
        <w:tab/>
      </w:r>
      <w:r w:rsidRPr="00BC19F0">
        <w:rPr>
          <w:rFonts w:cs="Arial"/>
          <w:bCs/>
          <w:sz w:val="28"/>
          <w:szCs w:val="28"/>
          <w:lang w:val="en-GB"/>
        </w:rPr>
        <w:tab/>
      </w:r>
      <w:r w:rsidRPr="00BC19F0">
        <w:rPr>
          <w:rFonts w:cs="Arial"/>
          <w:bCs/>
          <w:sz w:val="28"/>
          <w:szCs w:val="28"/>
          <w:lang w:val="en-GB"/>
        </w:rPr>
        <w:tab/>
      </w:r>
      <w:r w:rsidR="00A41D55" w:rsidRPr="00BC19F0">
        <w:rPr>
          <w:b/>
          <w:lang w:val="en-GB" w:eastAsia="de-DE"/>
        </w:rPr>
        <w:t>Signature of the author</w:t>
      </w:r>
      <w:r w:rsidR="00A41D55" w:rsidRPr="00BC19F0">
        <w:rPr>
          <w:lang w:val="en-GB" w:eastAsia="de-DE"/>
        </w:rPr>
        <w:tab/>
      </w:r>
    </w:p>
    <w:p w14:paraId="7C4CEF44" w14:textId="64952C99" w:rsidR="00094DB4" w:rsidRPr="00BC19F0" w:rsidRDefault="009007E4" w:rsidP="003D584B">
      <w:pPr>
        <w:pStyle w:val="Plain-Heading1-SwissTPH"/>
      </w:pPr>
      <w:bookmarkStart w:id="6" w:name="_Toc286995579"/>
      <w:bookmarkStart w:id="7" w:name="_Toc361140958"/>
      <w:bookmarkStart w:id="8" w:name="_Toc23608267"/>
      <w:bookmarkStart w:id="9" w:name="_Toc55294717"/>
      <w:r w:rsidRPr="00BC19F0">
        <w:lastRenderedPageBreak/>
        <w:t>SUMMARY</w:t>
      </w:r>
      <w:bookmarkEnd w:id="6"/>
      <w:bookmarkEnd w:id="7"/>
      <w:bookmarkEnd w:id="8"/>
      <w:bookmarkEnd w:id="9"/>
    </w:p>
    <w:p w14:paraId="2E83F5E5" w14:textId="51D1281F" w:rsidR="00A205AB" w:rsidRPr="00BC19F0" w:rsidRDefault="00A205AB" w:rsidP="00C277CB">
      <w:pPr>
        <w:rPr>
          <w:lang w:val="en-GB" w:eastAsia="de-DE"/>
        </w:rPr>
      </w:pPr>
      <w:r w:rsidRPr="00BC19F0">
        <w:rPr>
          <w:lang w:val="en-GB" w:eastAsia="de-DE"/>
        </w:rPr>
        <w:t xml:space="preserve">In this study, the </w:t>
      </w:r>
      <w:r w:rsidR="00A862E6" w:rsidRPr="00BC19F0">
        <w:rPr>
          <w:i/>
          <w:lang w:val="en-GB" w:eastAsia="de-DE"/>
        </w:rPr>
        <w:t>in vitro</w:t>
      </w:r>
      <w:r w:rsidRPr="00BC19F0">
        <w:rPr>
          <w:lang w:val="en-GB" w:eastAsia="de-DE"/>
        </w:rPr>
        <w:t xml:space="preserve"> killing </w:t>
      </w:r>
      <w:r w:rsidRPr="00A511B6">
        <w:rPr>
          <w:lang w:val="en-GB" w:eastAsia="de-DE"/>
        </w:rPr>
        <w:t>profile of</w:t>
      </w:r>
      <w:r w:rsidR="00A862E6" w:rsidRPr="00A511B6">
        <w:rPr>
          <w:lang w:val="en-GB" w:eastAsia="de-DE"/>
        </w:rPr>
        <w:t xml:space="preserve"> </w:t>
      </w:r>
      <w:r w:rsidR="00A511B6" w:rsidRPr="00A511B6">
        <w:t>MMV025100-09</w:t>
      </w:r>
      <w:r w:rsidR="00B725E7" w:rsidRPr="00BC19F0">
        <w:t xml:space="preserve"> </w:t>
      </w:r>
      <w:r w:rsidR="00A862E6" w:rsidRPr="00BC19F0">
        <w:rPr>
          <w:lang w:val="en-GB" w:eastAsia="de-DE"/>
        </w:rPr>
        <w:t>has been determined u</w:t>
      </w:r>
      <w:r w:rsidRPr="00BC19F0">
        <w:rPr>
          <w:lang w:val="en-GB" w:eastAsia="de-DE"/>
        </w:rPr>
        <w:t xml:space="preserve">sing the parasite reduction ratio (PRR) assay. </w:t>
      </w:r>
      <w:r w:rsidR="00C277CB" w:rsidRPr="00BC19F0">
        <w:rPr>
          <w:lang w:val="en-GB" w:eastAsia="de-DE"/>
        </w:rPr>
        <w:t>Being based on limiting dil</w:t>
      </w:r>
      <w:r w:rsidR="000F634D" w:rsidRPr="00BC19F0">
        <w:rPr>
          <w:lang w:val="en-GB" w:eastAsia="de-DE"/>
        </w:rPr>
        <w:t xml:space="preserve">ution and consecutive re-growth </w:t>
      </w:r>
      <w:r w:rsidR="00C277CB" w:rsidRPr="00BC19F0">
        <w:rPr>
          <w:lang w:val="en-GB" w:eastAsia="de-DE"/>
        </w:rPr>
        <w:t xml:space="preserve">of parasites, this assay allows </w:t>
      </w:r>
      <w:r w:rsidR="006F37BA" w:rsidRPr="00BC19F0">
        <w:rPr>
          <w:lang w:val="en-GB" w:eastAsia="de-DE"/>
        </w:rPr>
        <w:t>assessing</w:t>
      </w:r>
      <w:r w:rsidR="00C277CB" w:rsidRPr="00BC19F0">
        <w:rPr>
          <w:lang w:val="en-GB" w:eastAsia="de-DE"/>
        </w:rPr>
        <w:t xml:space="preserve"> parasite viability following </w:t>
      </w:r>
      <w:r w:rsidR="003E5BBA" w:rsidRPr="00BC19F0">
        <w:rPr>
          <w:lang w:val="en-GB" w:eastAsia="de-DE"/>
        </w:rPr>
        <w:t>various days of drug exposure.</w:t>
      </w:r>
    </w:p>
    <w:p w14:paraId="177D2524" w14:textId="3FA6D684" w:rsidR="00C277CB" w:rsidRPr="00BC19F0" w:rsidRDefault="00C277CB" w:rsidP="00C277CB">
      <w:pPr>
        <w:rPr>
          <w:lang w:val="en-GB" w:eastAsia="de-DE"/>
        </w:rPr>
      </w:pPr>
      <w:r w:rsidRPr="00BC19F0">
        <w:rPr>
          <w:lang w:val="en-GB" w:eastAsia="de-DE"/>
        </w:rPr>
        <w:t>For this,</w:t>
      </w:r>
      <w:r w:rsidR="003E5BBA" w:rsidRPr="00BC19F0">
        <w:rPr>
          <w:lang w:val="en-GB" w:eastAsia="de-DE"/>
        </w:rPr>
        <w:t xml:space="preserve"> cultures of</w:t>
      </w:r>
      <w:r w:rsidRPr="00BC19F0">
        <w:rPr>
          <w:lang w:val="en-GB" w:eastAsia="de-DE"/>
        </w:rPr>
        <w:t xml:space="preserve"> </w:t>
      </w:r>
      <w:r w:rsidRPr="00BC19F0">
        <w:rPr>
          <w:i/>
          <w:lang w:val="en-GB" w:eastAsia="de-DE"/>
        </w:rPr>
        <w:t>Plasmodium falciparum</w:t>
      </w:r>
      <w:r w:rsidRPr="00BC19F0">
        <w:rPr>
          <w:lang w:val="en-GB" w:eastAsia="de-DE"/>
        </w:rPr>
        <w:t xml:space="preserve"> </w:t>
      </w:r>
      <w:r w:rsidR="000F634D" w:rsidRPr="00BC19F0">
        <w:rPr>
          <w:lang w:val="en-GB" w:eastAsia="de-DE"/>
        </w:rPr>
        <w:t xml:space="preserve">strain </w:t>
      </w:r>
      <w:r w:rsidRPr="00BC19F0">
        <w:rPr>
          <w:lang w:val="en-GB" w:eastAsia="de-DE"/>
        </w:rPr>
        <w:t>NF54</w:t>
      </w:r>
      <w:r w:rsidR="003E5BBA" w:rsidRPr="00BC19F0">
        <w:rPr>
          <w:lang w:val="en-GB" w:eastAsia="de-DE"/>
        </w:rPr>
        <w:t xml:space="preserve"> were incubated with </w:t>
      </w:r>
      <w:r w:rsidR="00CD26BB" w:rsidRPr="00BC19F0">
        <w:rPr>
          <w:lang w:val="en-GB" w:eastAsia="de-DE"/>
        </w:rPr>
        <w:t>the test compound</w:t>
      </w:r>
      <w:r w:rsidR="00A960AA">
        <w:rPr>
          <w:lang w:val="en-GB" w:eastAsia="de-DE"/>
        </w:rPr>
        <w:t>(</w:t>
      </w:r>
      <w:r w:rsidR="00CD26BB" w:rsidRPr="00BC19F0">
        <w:rPr>
          <w:lang w:val="en-GB" w:eastAsia="de-DE"/>
        </w:rPr>
        <w:t>s</w:t>
      </w:r>
      <w:r w:rsidR="00A960AA">
        <w:rPr>
          <w:lang w:val="en-GB" w:eastAsia="de-DE"/>
        </w:rPr>
        <w:t>)</w:t>
      </w:r>
      <w:r w:rsidR="003E5BBA" w:rsidRPr="00BC19F0">
        <w:rPr>
          <w:lang w:val="en-GB" w:eastAsia="de-DE"/>
        </w:rPr>
        <w:t xml:space="preserve"> or </w:t>
      </w:r>
      <w:r w:rsidR="000F634D" w:rsidRPr="00BC19F0">
        <w:rPr>
          <w:lang w:val="en-GB" w:eastAsia="de-DE"/>
        </w:rPr>
        <w:t xml:space="preserve">the compound control </w:t>
      </w:r>
      <w:r w:rsidR="00C52DDB" w:rsidRPr="00BC19F0">
        <w:rPr>
          <w:lang w:val="en-GB" w:eastAsia="de-DE"/>
        </w:rPr>
        <w:t xml:space="preserve">Pyrimethamine at </w:t>
      </w:r>
      <m:oMath>
        <m:r>
          <w:rPr>
            <w:rFonts w:ascii="Cambria Math" w:hAnsi="Cambria Math"/>
            <w:lang w:val="en-GB" w:eastAsia="de-DE"/>
          </w:rPr>
          <m:t>10×</m:t>
        </m:r>
      </m:oMath>
      <w:r w:rsidR="003E5BBA" w:rsidRPr="00BC19F0">
        <w:rPr>
          <w:lang w:val="en-GB" w:eastAsia="de-DE"/>
        </w:rPr>
        <w:t xml:space="preserve"> </w:t>
      </w:r>
      <w:r w:rsidR="00C27857" w:rsidRPr="00BC19F0">
        <w:rPr>
          <w:lang w:val="en-GB" w:eastAsia="de-DE"/>
        </w:rPr>
        <w:t>the 50% inhibitory concentration</w:t>
      </w:r>
      <w:r w:rsidR="00C52DDB" w:rsidRPr="00BC19F0">
        <w:rPr>
          <w:lang w:val="en-GB" w:eastAsia="de-DE"/>
        </w:rPr>
        <w:t xml:space="preserve"> (</w:t>
      </w:r>
      <m:oMath>
        <m:r>
          <w:rPr>
            <w:rFonts w:ascii="Cambria Math" w:hAnsi="Cambria Math"/>
            <w:lang w:val="en-GB" w:eastAsia="de-DE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GB" w:eastAsia="de-DE"/>
              </w:rPr>
              <m:t>50</m:t>
            </m:r>
          </m:sub>
        </m:sSub>
      </m:oMath>
      <w:r w:rsidR="003E5BBA" w:rsidRPr="00BC19F0">
        <w:rPr>
          <w:lang w:val="en-GB" w:eastAsia="de-DE"/>
        </w:rPr>
        <w:t>). A</w:t>
      </w:r>
      <w:r w:rsidR="00A960AA">
        <w:rPr>
          <w:lang w:val="en-GB" w:eastAsia="de-DE"/>
        </w:rPr>
        <w:t xml:space="preserve">t 0, </w:t>
      </w:r>
      <w:r w:rsidR="003E5BBA" w:rsidRPr="00BC19F0">
        <w:rPr>
          <w:lang w:val="en-GB" w:eastAsia="de-DE"/>
        </w:rPr>
        <w:t xml:space="preserve">24, 48, 72, 96, and 120 hours, an aliquot of the culture was taken and </w:t>
      </w:r>
      <w:r w:rsidR="003E5BBA" w:rsidRPr="00A511B6">
        <w:rPr>
          <w:lang w:val="en-GB" w:eastAsia="de-DE"/>
        </w:rPr>
        <w:t>washed</w:t>
      </w:r>
      <w:r w:rsidR="00C52DDB" w:rsidRPr="00A511B6">
        <w:rPr>
          <w:lang w:val="en-GB" w:eastAsia="de-DE"/>
        </w:rPr>
        <w:t xml:space="preserve"> three times in medium</w:t>
      </w:r>
      <w:r w:rsidR="003E5BBA" w:rsidRPr="00A511B6">
        <w:rPr>
          <w:lang w:val="en-GB" w:eastAsia="de-DE"/>
        </w:rPr>
        <w:t xml:space="preserve">. Drug-free samples were serially diluted and incubated </w:t>
      </w:r>
      <w:r w:rsidR="00E24393" w:rsidRPr="00A511B6">
        <w:rPr>
          <w:lang w:val="en-GB" w:eastAsia="de-DE"/>
        </w:rPr>
        <w:t xml:space="preserve">in 96-well plates </w:t>
      </w:r>
      <w:r w:rsidR="003E5BBA" w:rsidRPr="00A511B6">
        <w:rPr>
          <w:lang w:val="en-GB" w:eastAsia="de-DE"/>
        </w:rPr>
        <w:t xml:space="preserve">for up to </w:t>
      </w:r>
      <w:r w:rsidR="00BA3788" w:rsidRPr="00A511B6">
        <w:rPr>
          <w:lang w:val="en-GB" w:eastAsia="de-DE"/>
        </w:rPr>
        <w:t xml:space="preserve">14 </w:t>
      </w:r>
      <w:r w:rsidR="003E5BBA" w:rsidRPr="00A511B6">
        <w:rPr>
          <w:lang w:val="en-GB" w:eastAsia="de-DE"/>
        </w:rPr>
        <w:t xml:space="preserve">days </w:t>
      </w:r>
      <w:r w:rsidR="00E24393" w:rsidRPr="00A511B6">
        <w:rPr>
          <w:lang w:val="en-GB" w:eastAsia="de-DE"/>
        </w:rPr>
        <w:t xml:space="preserve">in order </w:t>
      </w:r>
      <w:r w:rsidR="003E5BBA" w:rsidRPr="00A511B6">
        <w:rPr>
          <w:lang w:val="en-GB" w:eastAsia="de-DE"/>
        </w:rPr>
        <w:t xml:space="preserve">to allow </w:t>
      </w:r>
      <w:r w:rsidR="00E24393" w:rsidRPr="00A511B6">
        <w:rPr>
          <w:lang w:val="en-GB" w:eastAsia="de-DE"/>
        </w:rPr>
        <w:t xml:space="preserve">viable </w:t>
      </w:r>
      <w:r w:rsidR="003E5BBA" w:rsidRPr="00A511B6">
        <w:rPr>
          <w:lang w:val="en-GB" w:eastAsia="de-DE"/>
        </w:rPr>
        <w:t xml:space="preserve">parasites to resume growth. </w:t>
      </w:r>
      <w:r w:rsidR="00E24393" w:rsidRPr="00A511B6">
        <w:rPr>
          <w:lang w:val="en-GB" w:eastAsia="de-DE"/>
        </w:rPr>
        <w:t xml:space="preserve">Parasite growth was confirmed using </w:t>
      </w:r>
      <w:r w:rsidR="003E5BBA" w:rsidRPr="00A511B6">
        <w:rPr>
          <w:lang w:val="en-GB" w:eastAsia="de-DE"/>
        </w:rPr>
        <w:t>[</w:t>
      </w:r>
      <w:r w:rsidR="003E5BBA" w:rsidRPr="00A511B6">
        <w:rPr>
          <w:vertAlign w:val="superscript"/>
          <w:lang w:val="en-GB" w:eastAsia="de-DE"/>
        </w:rPr>
        <w:t>3</w:t>
      </w:r>
      <w:r w:rsidR="003E5BBA" w:rsidRPr="00A511B6">
        <w:rPr>
          <w:lang w:val="en-GB" w:eastAsia="de-DE"/>
        </w:rPr>
        <w:t xml:space="preserve">H]hypoxanthine </w:t>
      </w:r>
      <w:r w:rsidR="007775EA" w:rsidRPr="00A511B6">
        <w:rPr>
          <w:lang w:val="en-GB" w:eastAsia="de-DE"/>
        </w:rPr>
        <w:t xml:space="preserve">and filter mat </w:t>
      </w:r>
      <w:r w:rsidR="003E5BBA" w:rsidRPr="00A511B6">
        <w:rPr>
          <w:lang w:val="en-GB" w:eastAsia="de-DE"/>
        </w:rPr>
        <w:t>readout.</w:t>
      </w:r>
      <w:r w:rsidR="000717B0" w:rsidRPr="00A511B6">
        <w:rPr>
          <w:lang w:val="en-GB" w:eastAsia="de-DE"/>
        </w:rPr>
        <w:t xml:space="preserve"> For each time point, t</w:t>
      </w:r>
      <w:r w:rsidR="00E24393" w:rsidRPr="00A511B6">
        <w:rPr>
          <w:lang w:val="en-GB" w:eastAsia="de-DE"/>
        </w:rPr>
        <w:t>he number</w:t>
      </w:r>
      <w:r w:rsidR="00E24393" w:rsidRPr="00BC19F0">
        <w:rPr>
          <w:lang w:val="en-GB" w:eastAsia="de-DE"/>
        </w:rPr>
        <w:t xml:space="preserve"> of viable parasites </w:t>
      </w:r>
      <w:r w:rsidR="00C52DDB" w:rsidRPr="00BC19F0">
        <w:rPr>
          <w:lang w:val="en-GB" w:eastAsia="de-DE"/>
        </w:rPr>
        <w:t>was then</w:t>
      </w:r>
      <w:r w:rsidR="00E24393" w:rsidRPr="00BC19F0">
        <w:rPr>
          <w:lang w:val="en-GB" w:eastAsia="de-DE"/>
        </w:rPr>
        <w:t xml:space="preserve"> </w:t>
      </w:r>
      <w:r w:rsidR="006F37BA" w:rsidRPr="00BC19F0">
        <w:rPr>
          <w:lang w:val="en-GB" w:eastAsia="de-DE"/>
        </w:rPr>
        <w:t>extrapolated</w:t>
      </w:r>
      <w:r w:rsidR="00E24393" w:rsidRPr="00BC19F0">
        <w:rPr>
          <w:lang w:val="en-GB" w:eastAsia="de-DE"/>
        </w:rPr>
        <w:t xml:space="preserve"> from the number of </w:t>
      </w:r>
      <w:r w:rsidR="000717B0" w:rsidRPr="00BC19F0">
        <w:rPr>
          <w:lang w:val="en-GB" w:eastAsia="de-DE"/>
        </w:rPr>
        <w:t>wells rendering parasite growth.</w:t>
      </w:r>
    </w:p>
    <w:p w14:paraId="0D6F1349" w14:textId="660FC986" w:rsidR="00C277CB" w:rsidRPr="00BC19F0" w:rsidRDefault="00A205AB" w:rsidP="00A862E6">
      <w:pPr>
        <w:rPr>
          <w:lang w:val="en-GB" w:eastAsia="de-DE"/>
        </w:rPr>
      </w:pPr>
      <w:r w:rsidRPr="00BC19F0">
        <w:rPr>
          <w:lang w:val="en-GB" w:eastAsia="de-DE"/>
        </w:rPr>
        <w:t xml:space="preserve">The resulting killing curve allows to determine parameters </w:t>
      </w:r>
      <w:r w:rsidR="00D768BE" w:rsidRPr="00BC19F0">
        <w:rPr>
          <w:lang w:val="en-GB" w:eastAsia="de-DE"/>
        </w:rPr>
        <w:t>describing</w:t>
      </w:r>
      <w:r w:rsidRPr="00BC19F0">
        <w:rPr>
          <w:lang w:val="en-GB" w:eastAsia="de-DE"/>
        </w:rPr>
        <w:t xml:space="preserve"> the mode of action of the given compound, such as </w:t>
      </w:r>
      <w:r w:rsidR="00C277CB" w:rsidRPr="00BC19F0">
        <w:rPr>
          <w:lang w:val="en-GB" w:eastAsia="de-DE"/>
        </w:rPr>
        <w:t xml:space="preserve">lag phase (time needed to observe </w:t>
      </w:r>
      <w:r w:rsidR="00F41383">
        <w:rPr>
          <w:lang w:val="en-GB" w:eastAsia="de-DE"/>
        </w:rPr>
        <w:t>parasite decline)</w:t>
      </w:r>
      <w:r w:rsidR="00C277CB" w:rsidRPr="00BC19F0">
        <w:rPr>
          <w:lang w:val="en-GB" w:eastAsia="de-DE"/>
        </w:rPr>
        <w:t>, PRR (</w:t>
      </w:r>
      <w:r w:rsidR="00056798">
        <w:rPr>
          <w:lang w:val="en-GB" w:eastAsia="de-DE"/>
        </w:rPr>
        <w:t xml:space="preserve">Parasite Reduction Ratio in </w:t>
      </w:r>
      <w:r w:rsidR="00D768BE" w:rsidRPr="00BC19F0">
        <w:rPr>
          <w:lang w:val="en-GB" w:eastAsia="de-DE"/>
        </w:rPr>
        <w:t>log</w:t>
      </w:r>
      <w:r w:rsidR="00E52397">
        <w:rPr>
          <w:vertAlign w:val="subscript"/>
          <w:lang w:val="en-GB" w:eastAsia="de-DE"/>
        </w:rPr>
        <w:t>10</w:t>
      </w:r>
      <w:r w:rsidR="00C277CB" w:rsidRPr="00BC19F0">
        <w:rPr>
          <w:lang w:val="en-GB" w:eastAsia="de-DE"/>
        </w:rPr>
        <w:t xml:space="preserve">) and </w:t>
      </w:r>
      <w:r w:rsidR="00D768BE" w:rsidRPr="00BC19F0">
        <w:rPr>
          <w:lang w:val="en-GB" w:eastAsia="de-DE"/>
        </w:rPr>
        <w:t>the 99.9% parasite clearance time (</w:t>
      </w:r>
      <m:oMath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PCT</m:t>
            </m:r>
          </m:e>
          <m:sub>
            <m:r>
              <w:rPr>
                <w:rFonts w:ascii="Cambria Math" w:hAnsi="Cambria Math"/>
                <w:lang w:val="en-GB" w:eastAsia="de-DE"/>
              </w:rPr>
              <m:t>99.9%</m:t>
            </m:r>
          </m:sub>
        </m:sSub>
      </m:oMath>
      <w:r w:rsidR="00D768BE" w:rsidRPr="00BC19F0">
        <w:rPr>
          <w:lang w:val="en-GB" w:eastAsia="de-DE"/>
        </w:rPr>
        <w:t>).</w:t>
      </w:r>
    </w:p>
    <w:p w14:paraId="76BC4E3B" w14:textId="4AC61388" w:rsidR="000717B0" w:rsidRPr="00BC19F0" w:rsidRDefault="00B379F2" w:rsidP="003A2683">
      <w:pPr>
        <w:rPr>
          <w:lang w:val="en-GB" w:eastAsia="de-DE"/>
        </w:rPr>
      </w:pPr>
      <w:r w:rsidRPr="00B379F2">
        <w:rPr>
          <w:lang w:val="en-GB" w:eastAsia="de-DE"/>
        </w:rPr>
        <w:t>MMV025100-09 displays</w:t>
      </w:r>
      <w:r w:rsidRPr="00DC181B">
        <w:rPr>
          <w:lang w:val="en-GB" w:eastAsia="de-DE"/>
        </w:rPr>
        <w:t xml:space="preserve"> a </w:t>
      </w:r>
      <w:r>
        <w:rPr>
          <w:lang w:val="en-GB" w:eastAsia="de-DE"/>
        </w:rPr>
        <w:t>slow</w:t>
      </w:r>
      <w:r w:rsidRPr="00DC181B">
        <w:rPr>
          <w:lang w:val="en-GB" w:eastAsia="de-DE"/>
        </w:rPr>
        <w:t xml:space="preserve"> killing</w:t>
      </w:r>
      <w:r w:rsidRPr="00BC19F0">
        <w:rPr>
          <w:lang w:val="en-GB" w:eastAsia="de-DE"/>
        </w:rPr>
        <w:t xml:space="preserve"> profile</w:t>
      </w:r>
      <w:r>
        <w:rPr>
          <w:lang w:val="en-GB" w:eastAsia="de-DE"/>
        </w:rPr>
        <w:t xml:space="preserve"> best comparable that of Atovaquone</w:t>
      </w:r>
      <w:r>
        <w:rPr>
          <w:lang w:val="en-GB" w:eastAsia="de-DE"/>
        </w:rPr>
        <w:t xml:space="preserve">; it </w:t>
      </w:r>
      <w:r>
        <w:rPr>
          <w:rFonts w:ascii="Arial" w:hAnsi="Arial" w:cs="Arial"/>
          <w:color w:val="000000"/>
          <w:lang w:val="en-GB"/>
        </w:rPr>
        <w:t>does not result in complete killing after 120 hours of drug pressure</w:t>
      </w:r>
      <w:r>
        <w:rPr>
          <w:rFonts w:ascii="Arial" w:hAnsi="Arial" w:cs="Arial"/>
          <w:color w:val="000000"/>
          <w:lang w:val="en-GB"/>
        </w:rPr>
        <w:t>.</w:t>
      </w:r>
      <w:bookmarkStart w:id="10" w:name="_GoBack"/>
      <w:bookmarkEnd w:id="10"/>
      <w:r>
        <w:rPr>
          <w:rFonts w:ascii="Arial" w:hAnsi="Arial" w:cs="Arial"/>
          <w:color w:val="000000"/>
          <w:lang w:val="en-GB"/>
        </w:rPr>
        <w:t xml:space="preserve"> </w:t>
      </w:r>
      <w:r w:rsidR="00E7428A" w:rsidRPr="00BC19F0">
        <w:rPr>
          <w:lang w:val="en-GB" w:eastAsia="de-DE"/>
        </w:rPr>
        <w:br w:type="page"/>
      </w:r>
    </w:p>
    <w:p w14:paraId="5996AEF6" w14:textId="487A1463" w:rsidR="00020027" w:rsidRPr="00BC19F0" w:rsidRDefault="002516B5" w:rsidP="00B457EC">
      <w:pPr>
        <w:pStyle w:val="Heading1"/>
      </w:pPr>
      <w:bookmarkStart w:id="11" w:name="_Toc55294718"/>
      <w:r w:rsidRPr="00BC19F0">
        <w:lastRenderedPageBreak/>
        <w:t xml:space="preserve">Materials </w:t>
      </w:r>
    </w:p>
    <w:p w14:paraId="4B838AD3" w14:textId="2BC5C822" w:rsidR="007E1C14" w:rsidRPr="00BC19F0" w:rsidRDefault="00020027" w:rsidP="007E1C14">
      <w:pPr>
        <w:pStyle w:val="Heading2"/>
        <w:rPr>
          <w:lang w:val="en-GB" w:eastAsia="de-DE"/>
        </w:rPr>
      </w:pPr>
      <w:r w:rsidRPr="00BC19F0">
        <w:rPr>
          <w:lang w:val="en-GB" w:eastAsia="de-DE"/>
        </w:rPr>
        <w:t>Compounds</w:t>
      </w:r>
    </w:p>
    <w:p w14:paraId="662B4512" w14:textId="70A2195F" w:rsidR="00463E1D" w:rsidRPr="00BC19F0" w:rsidRDefault="00920140" w:rsidP="00597D8F">
      <w:pPr>
        <w:rPr>
          <w:lang w:val="en-GB" w:eastAsia="de-DE"/>
        </w:rPr>
      </w:pPr>
      <w:r>
        <w:rPr>
          <w:lang w:val="en-GB" w:eastAsia="de-DE"/>
        </w:rPr>
        <w:t>In this campaign, t</w:t>
      </w:r>
      <w:r w:rsidR="00463E1D" w:rsidRPr="00BC19F0">
        <w:rPr>
          <w:lang w:val="en-GB" w:eastAsia="de-DE"/>
        </w:rPr>
        <w:t xml:space="preserve">he following compounds were tested at concentrations based on </w:t>
      </w:r>
      <w:r w:rsidR="00A511B6">
        <w:rPr>
          <w:lang w:val="en-GB" w:eastAsia="de-DE"/>
        </w:rPr>
        <w:t>published and here reported</w:t>
      </w:r>
      <w:r w:rsidR="00463E1D" w:rsidRPr="007775EA">
        <w:rPr>
          <w:lang w:val="en-GB" w:eastAsia="de-DE"/>
        </w:rPr>
        <w:t xml:space="preserve"> </w:t>
      </w:r>
      <m:oMath>
        <m:r>
          <w:rPr>
            <w:rFonts w:ascii="Cambria Math" w:hAnsi="Cambria Math"/>
            <w:lang w:val="en-GB" w:eastAsia="de-DE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="00463E1D" w:rsidRPr="007775EA">
        <w:rPr>
          <w:lang w:val="en-GB" w:eastAsia="de-DE"/>
        </w:rPr>
        <w:t xml:space="preserve"> values:</w:t>
      </w:r>
    </w:p>
    <w:p w14:paraId="41368E74" w14:textId="11A40F6D" w:rsidR="00EF3E19" w:rsidRPr="00A511B6" w:rsidRDefault="00A511B6" w:rsidP="00A511B6">
      <w:pPr>
        <w:pStyle w:val="Normal-Indent-BulletedList-SwissTPH"/>
        <w:rPr>
          <w:lang w:val="de-CH"/>
        </w:rPr>
      </w:pPr>
      <w:r w:rsidRPr="00A511B6">
        <w:rPr>
          <w:lang w:val="de-CH"/>
        </w:rPr>
        <w:t>MMV025100-09</w:t>
      </w:r>
      <w:r w:rsidR="00C52DDB" w:rsidRPr="00A511B6">
        <w:rPr>
          <w:lang w:val="de-CH"/>
        </w:rPr>
        <w:t xml:space="preserve">,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de-CH"/>
              </w:rPr>
              <m:t>50</m:t>
            </m:r>
          </m:sub>
        </m:sSub>
      </m:oMath>
      <w:r w:rsidR="00C52DDB" w:rsidRPr="00A511B6">
        <w:rPr>
          <w:lang w:val="de-CH"/>
        </w:rPr>
        <w:t xml:space="preserve"> NF54 (72h 3HH) = </w:t>
      </w:r>
      <w:r>
        <w:rPr>
          <w:lang w:val="de-CH"/>
        </w:rPr>
        <w:t>167.9</w:t>
      </w:r>
      <w:r w:rsidR="00196708" w:rsidRPr="00A511B6">
        <w:rPr>
          <w:lang w:val="de-CH"/>
        </w:rPr>
        <w:t xml:space="preserve"> </w:t>
      </w:r>
      <w:r w:rsidR="00C52DDB" w:rsidRPr="00A511B6">
        <w:rPr>
          <w:lang w:val="de-CH"/>
        </w:rPr>
        <w:t>nM</w:t>
      </w:r>
      <w:r w:rsidR="00196708" w:rsidRPr="00A511B6">
        <w:rPr>
          <w:lang w:val="de-CH"/>
        </w:rPr>
        <w:t xml:space="preserve"> </w:t>
      </w:r>
    </w:p>
    <w:p w14:paraId="62FF1B98" w14:textId="3F2BE365" w:rsidR="00451E61" w:rsidRPr="00BC19F0" w:rsidRDefault="00C52DDB" w:rsidP="00056798">
      <w:pPr>
        <w:pStyle w:val="Normal-Indent-BulletedList-SwissTPH"/>
      </w:pPr>
      <w:r w:rsidRPr="00BC19F0">
        <w:t xml:space="preserve">MMV000024-16 (Pyrimethamine control),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Pr="00BC19F0">
        <w:t xml:space="preserve"> NF54 (72h 3HH) = 17 nM </w:t>
      </w:r>
      <w:r w:rsidRPr="00BC19F0">
        <w:fldChar w:fldCharType="begin">
          <w:fldData xml:space="preserve">PEVuZE5vdGU+PENpdGU+PEF1dGhvcj5EZWx2ZXM8L0F1dGhvcj48WWVhcj4yMDEyPC9ZZWFyPjxS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</w:fldData>
        </w:fldChar>
      </w:r>
      <w:r w:rsidR="00196708" w:rsidRPr="00BC19F0">
        <w:instrText xml:space="preserve"> ADDIN EN.CITE </w:instrText>
      </w:r>
      <w:r w:rsidR="00196708" w:rsidRPr="00BC19F0">
        <w:fldChar w:fldCharType="begin">
          <w:fldData xml:space="preserve">PEVuZE5vdGU+PENpdGU+PEF1dGhvcj5EZWx2ZXM8L0F1dGhvcj48WWVhcj4yMDEyPC9ZZWFyPjxS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</w:fldData>
        </w:fldChar>
      </w:r>
      <w:r w:rsidR="00196708" w:rsidRPr="00BC19F0">
        <w:instrText xml:space="preserve"> ADDIN EN.CITE.DATA </w:instrText>
      </w:r>
      <w:r w:rsidR="00196708" w:rsidRPr="00BC19F0">
        <w:fldChar w:fldCharType="end"/>
      </w:r>
      <w:r w:rsidRPr="00BC19F0">
        <w:fldChar w:fldCharType="separate"/>
      </w:r>
      <w:r w:rsidR="00196708" w:rsidRPr="00BC19F0">
        <w:rPr>
          <w:noProof/>
        </w:rPr>
        <w:t>(2)</w:t>
      </w:r>
      <w:r w:rsidRPr="00BC19F0">
        <w:fldChar w:fldCharType="end"/>
      </w:r>
    </w:p>
    <w:p w14:paraId="5BD36DC6" w14:textId="77777777" w:rsidR="00CE7B85" w:rsidRPr="00BC19F0" w:rsidRDefault="00CE7B85" w:rsidP="00CE7B85">
      <w:pPr>
        <w:pStyle w:val="Heading2"/>
      </w:pPr>
      <w:bookmarkStart w:id="12" w:name="_Toc55294723"/>
      <w:bookmarkEnd w:id="12"/>
      <w:r w:rsidRPr="00BC19F0">
        <w:t>Reagents and Consumables</w:t>
      </w:r>
    </w:p>
    <w:p w14:paraId="59272C08" w14:textId="27558D52" w:rsidR="00CE7B85" w:rsidRPr="00BC19F0" w:rsidRDefault="00CE7B85" w:rsidP="00CE7B85">
      <w:pPr>
        <w:pStyle w:val="TableFigure"/>
      </w:pPr>
      <w:r w:rsidRPr="00BC19F0">
        <w:rPr>
          <w:b/>
        </w:rPr>
        <w:t xml:space="preserve">Table </w:t>
      </w:r>
      <w:r w:rsidR="00D458A1" w:rsidRPr="00BC19F0">
        <w:rPr>
          <w:b/>
        </w:rPr>
        <w:t>1</w:t>
      </w:r>
      <w:r w:rsidRPr="00BC19F0">
        <w:rPr>
          <w:b/>
        </w:rPr>
        <w:t>:</w:t>
      </w:r>
      <w:r w:rsidRPr="00BC19F0">
        <w:t xml:space="preserve"> Reagents, their origin and reference number.</w:t>
      </w:r>
    </w:p>
    <w:tbl>
      <w:tblPr>
        <w:tblStyle w:val="TableGrid"/>
        <w:tblW w:w="5000" w:type="pct"/>
        <w:tblInd w:w="0" w:type="dxa"/>
        <w:tblLook w:val="05E0" w:firstRow="1" w:lastRow="1" w:firstColumn="1" w:lastColumn="1" w:noHBand="0" w:noVBand="1"/>
      </w:tblPr>
      <w:tblGrid>
        <w:gridCol w:w="2689"/>
        <w:gridCol w:w="6655"/>
      </w:tblGrid>
      <w:tr w:rsidR="00CE7B85" w:rsidRPr="00BC19F0" w14:paraId="041D3157" w14:textId="77777777" w:rsidTr="004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" w:type="pct"/>
          </w:tcPr>
          <w:p w14:paraId="4ED10659" w14:textId="77777777" w:rsidR="00CE7B85" w:rsidRPr="00BC19F0" w:rsidRDefault="00CE7B85" w:rsidP="00451E61">
            <w:pPr>
              <w:pStyle w:val="Table-Header"/>
              <w:jc w:val="left"/>
              <w:rPr>
                <w:b/>
              </w:rPr>
            </w:pPr>
            <w:r w:rsidRPr="00BC19F0">
              <w:rPr>
                <w:b/>
              </w:rPr>
              <w:t>Reagent/Consumable</w:t>
            </w:r>
          </w:p>
        </w:tc>
        <w:tc>
          <w:tcPr>
            <w:tcW w:w="3561" w:type="pct"/>
          </w:tcPr>
          <w:p w14:paraId="43ED5D32" w14:textId="77777777" w:rsidR="00CE7B85" w:rsidRPr="00BC19F0" w:rsidRDefault="00CE7B85" w:rsidP="00451E61">
            <w:pPr>
              <w:pStyle w:val="Table-Header"/>
              <w:jc w:val="left"/>
              <w:rPr>
                <w:b/>
              </w:rPr>
            </w:pPr>
            <w:r w:rsidRPr="00BC19F0">
              <w:rPr>
                <w:b/>
              </w:rPr>
              <w:t>Origin (Reference No.)</w:t>
            </w:r>
          </w:p>
        </w:tc>
      </w:tr>
      <w:tr w:rsidR="00CE7B85" w:rsidRPr="00BC19F0" w14:paraId="3B56F4E6" w14:textId="77777777" w:rsidTr="00451E61">
        <w:trPr>
          <w:trHeight w:val="42"/>
        </w:trPr>
        <w:tc>
          <w:tcPr>
            <w:tcW w:w="1439" w:type="pct"/>
          </w:tcPr>
          <w:p w14:paraId="6EFA98D7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  <w:noProof/>
              </w:rPr>
              <w:t>RPMI Medium 1640</w:t>
            </w:r>
          </w:p>
        </w:tc>
        <w:tc>
          <w:tcPr>
            <w:tcW w:w="3561" w:type="pct"/>
          </w:tcPr>
          <w:p w14:paraId="1EC65FD3" w14:textId="77777777" w:rsidR="00CE7B85" w:rsidRPr="00BC19F0" w:rsidRDefault="00CE7B85" w:rsidP="00451E61">
            <w:pPr>
              <w:jc w:val="left"/>
            </w:pPr>
            <w:r w:rsidRPr="00BC19F0">
              <w:t>Life technologies</w:t>
            </w:r>
            <w:r w:rsidRPr="00BC19F0">
              <w:rPr>
                <w:vertAlign w:val="superscript"/>
              </w:rPr>
              <w:t>TM</w:t>
            </w:r>
            <w:r w:rsidRPr="00BC19F0">
              <w:t xml:space="preserve"> (51800-043)</w:t>
            </w:r>
          </w:p>
        </w:tc>
      </w:tr>
      <w:tr w:rsidR="00CE7B85" w:rsidRPr="00BC19F0" w14:paraId="01F90339" w14:textId="77777777" w:rsidTr="00451E61">
        <w:tc>
          <w:tcPr>
            <w:tcW w:w="1439" w:type="pct"/>
          </w:tcPr>
          <w:p w14:paraId="11FDEDD4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HEPES</w:t>
            </w:r>
          </w:p>
        </w:tc>
        <w:tc>
          <w:tcPr>
            <w:tcW w:w="3561" w:type="pct"/>
          </w:tcPr>
          <w:p w14:paraId="5599A26D" w14:textId="77777777" w:rsidR="00CE7B85" w:rsidRPr="00BC19F0" w:rsidRDefault="00CE7B85" w:rsidP="00451E61">
            <w:pPr>
              <w:jc w:val="left"/>
            </w:pPr>
            <w:r w:rsidRPr="00BC19F0">
              <w:t>Sigma Life Science (H4034)</w:t>
            </w:r>
          </w:p>
        </w:tc>
      </w:tr>
      <w:tr w:rsidR="00CE7B85" w:rsidRPr="00BC19F0" w14:paraId="64FC00F6" w14:textId="77777777" w:rsidTr="00451E61">
        <w:tc>
          <w:tcPr>
            <w:tcW w:w="1439" w:type="pct"/>
          </w:tcPr>
          <w:p w14:paraId="48FD4A18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albuMAX</w:t>
            </w:r>
            <w:r w:rsidRPr="00BC19F0">
              <w:rPr>
                <w:b/>
                <w:vertAlign w:val="superscript"/>
              </w:rPr>
              <w:t>TM</w:t>
            </w:r>
            <w:r w:rsidRPr="00BC19F0">
              <w:rPr>
                <w:b/>
              </w:rPr>
              <w:t xml:space="preserve"> II</w:t>
            </w:r>
          </w:p>
        </w:tc>
        <w:tc>
          <w:tcPr>
            <w:tcW w:w="3561" w:type="pct"/>
          </w:tcPr>
          <w:p w14:paraId="381050E4" w14:textId="77777777" w:rsidR="00CE7B85" w:rsidRPr="00BC19F0" w:rsidRDefault="00CE7B85" w:rsidP="00451E61">
            <w:pPr>
              <w:jc w:val="left"/>
            </w:pPr>
            <w:r w:rsidRPr="00BC19F0">
              <w:t>Thermo Fisher Scientific (11021-045)</w:t>
            </w:r>
          </w:p>
        </w:tc>
      </w:tr>
      <w:tr w:rsidR="00CE7B85" w:rsidRPr="00BC19F0" w14:paraId="68C9D59C" w14:textId="77777777" w:rsidTr="00451E61">
        <w:tc>
          <w:tcPr>
            <w:tcW w:w="1439" w:type="pct"/>
          </w:tcPr>
          <w:p w14:paraId="32BDB7CF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neomycin powder</w:t>
            </w:r>
          </w:p>
        </w:tc>
        <w:tc>
          <w:tcPr>
            <w:tcW w:w="3561" w:type="pct"/>
          </w:tcPr>
          <w:p w14:paraId="33413CE4" w14:textId="77777777" w:rsidR="00CE7B85" w:rsidRPr="00BC19F0" w:rsidRDefault="00CE7B85" w:rsidP="00451E61">
            <w:pPr>
              <w:jc w:val="left"/>
            </w:pPr>
            <w:r w:rsidRPr="00BC19F0">
              <w:t>Sigma Life Science (N6386)</w:t>
            </w:r>
          </w:p>
        </w:tc>
      </w:tr>
      <w:tr w:rsidR="00CE7B85" w:rsidRPr="00BC19F0" w14:paraId="67C19452" w14:textId="77777777" w:rsidTr="00451E61">
        <w:tc>
          <w:tcPr>
            <w:tcW w:w="1439" w:type="pct"/>
          </w:tcPr>
          <w:p w14:paraId="2214B942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sodium bicarbonate</w:t>
            </w:r>
          </w:p>
        </w:tc>
        <w:tc>
          <w:tcPr>
            <w:tcW w:w="3561" w:type="pct"/>
          </w:tcPr>
          <w:p w14:paraId="1013EEEC" w14:textId="77777777" w:rsidR="00CE7B85" w:rsidRPr="00BC19F0" w:rsidRDefault="00CE7B85" w:rsidP="00451E61">
            <w:pPr>
              <w:jc w:val="left"/>
            </w:pPr>
            <w:r w:rsidRPr="00BC19F0">
              <w:t>Sigma Aldrich (31437-500G-R)</w:t>
            </w:r>
          </w:p>
        </w:tc>
      </w:tr>
      <w:tr w:rsidR="00CE7B85" w:rsidRPr="00BC19F0" w14:paraId="4943E324" w14:textId="77777777" w:rsidTr="00451E61">
        <w:tc>
          <w:tcPr>
            <w:tcW w:w="1439" w:type="pct"/>
          </w:tcPr>
          <w:p w14:paraId="0863FDA9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hypoxanthine</w:t>
            </w:r>
          </w:p>
        </w:tc>
        <w:tc>
          <w:tcPr>
            <w:tcW w:w="3561" w:type="pct"/>
          </w:tcPr>
          <w:p w14:paraId="7F06F723" w14:textId="77777777" w:rsidR="00CE7B85" w:rsidRPr="00BC19F0" w:rsidRDefault="00CE7B85" w:rsidP="00451E61">
            <w:pPr>
              <w:jc w:val="left"/>
            </w:pPr>
            <w:r w:rsidRPr="00BC19F0">
              <w:t>Sigma Life Science (H9377)</w:t>
            </w:r>
          </w:p>
        </w:tc>
      </w:tr>
      <w:tr w:rsidR="00CE7B85" w:rsidRPr="00BC19F0" w14:paraId="6418E170" w14:textId="77777777" w:rsidTr="00451E61">
        <w:tc>
          <w:tcPr>
            <w:tcW w:w="1439" w:type="pct"/>
          </w:tcPr>
          <w:p w14:paraId="4C6DA56F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hypoxanthine [8-3H]</w:t>
            </w:r>
          </w:p>
        </w:tc>
        <w:tc>
          <w:tcPr>
            <w:tcW w:w="3561" w:type="pct"/>
          </w:tcPr>
          <w:p w14:paraId="2570667F" w14:textId="77777777" w:rsidR="00CE7B85" w:rsidRPr="00BC19F0" w:rsidRDefault="00CE7B85" w:rsidP="00451E61">
            <w:pPr>
              <w:jc w:val="left"/>
            </w:pPr>
            <w:r w:rsidRPr="00BC19F0">
              <w:t>American Radiolabeled Chemicals (0266)</w:t>
            </w:r>
          </w:p>
        </w:tc>
      </w:tr>
      <w:tr w:rsidR="00CE7B85" w:rsidRPr="00BC19F0" w14:paraId="495E7425" w14:textId="77777777" w:rsidTr="00451E61">
        <w:tc>
          <w:tcPr>
            <w:tcW w:w="1439" w:type="pct"/>
          </w:tcPr>
          <w:p w14:paraId="298D7495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BETAPLATE SCINT</w:t>
            </w:r>
          </w:p>
        </w:tc>
        <w:tc>
          <w:tcPr>
            <w:tcW w:w="3561" w:type="pct"/>
          </w:tcPr>
          <w:p w14:paraId="32BE4B60" w14:textId="77777777" w:rsidR="00CE7B85" w:rsidRPr="00BC19F0" w:rsidRDefault="00CE7B85" w:rsidP="00451E61">
            <w:pPr>
              <w:jc w:val="left"/>
            </w:pPr>
            <w:r w:rsidRPr="00BC19F0">
              <w:t>Perkin Elmer (1205-440)</w:t>
            </w:r>
          </w:p>
        </w:tc>
      </w:tr>
      <w:tr w:rsidR="00CE7B85" w:rsidRPr="00BC19F0" w14:paraId="5465F9B2" w14:textId="77777777" w:rsidTr="00451E61">
        <w:tc>
          <w:tcPr>
            <w:tcW w:w="1439" w:type="pct"/>
          </w:tcPr>
          <w:p w14:paraId="479A9A37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Dimethyl sulfoxide</w:t>
            </w:r>
          </w:p>
        </w:tc>
        <w:tc>
          <w:tcPr>
            <w:tcW w:w="3561" w:type="pct"/>
          </w:tcPr>
          <w:p w14:paraId="111B039B" w14:textId="77777777" w:rsidR="00CE7B85" w:rsidRPr="00BC19F0" w:rsidRDefault="00CE7B85" w:rsidP="00451E61">
            <w:pPr>
              <w:jc w:val="left"/>
            </w:pPr>
            <w:r w:rsidRPr="00BC19F0">
              <w:t>Sigma Aldrich (41640)</w:t>
            </w:r>
          </w:p>
        </w:tc>
      </w:tr>
      <w:tr w:rsidR="00CE7B85" w:rsidRPr="00BC19F0" w14:paraId="2574FD85" w14:textId="77777777" w:rsidTr="00451E61">
        <w:tc>
          <w:tcPr>
            <w:tcW w:w="1439" w:type="pct"/>
          </w:tcPr>
          <w:p w14:paraId="6728F7D4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96-well plates</w:t>
            </w:r>
          </w:p>
        </w:tc>
        <w:tc>
          <w:tcPr>
            <w:tcW w:w="3561" w:type="pct"/>
          </w:tcPr>
          <w:p w14:paraId="29B87BE0" w14:textId="77777777" w:rsidR="00CE7B85" w:rsidRPr="00BC19F0" w:rsidRDefault="00CE7B85" w:rsidP="00451E61">
            <w:pPr>
              <w:jc w:val="left"/>
            </w:pPr>
            <w:r w:rsidRPr="00BC19F0">
              <w:t>Sarstedt (83.3924)</w:t>
            </w:r>
          </w:p>
        </w:tc>
      </w:tr>
      <w:tr w:rsidR="00CE7B85" w:rsidRPr="00BC19F0" w14:paraId="4E1AB904" w14:textId="77777777" w:rsidTr="00451E61">
        <w:tc>
          <w:tcPr>
            <w:tcW w:w="1439" w:type="pct"/>
          </w:tcPr>
          <w:p w14:paraId="142E9330" w14:textId="77777777" w:rsidR="00CE7B85" w:rsidRPr="00BC19F0" w:rsidRDefault="00CE7B85" w:rsidP="00451E61">
            <w:pPr>
              <w:jc w:val="left"/>
              <w:rPr>
                <w:b/>
              </w:rPr>
            </w:pPr>
            <w:r w:rsidRPr="00BC19F0">
              <w:rPr>
                <w:b/>
              </w:rPr>
              <w:t>6-well plates</w:t>
            </w:r>
          </w:p>
        </w:tc>
        <w:tc>
          <w:tcPr>
            <w:tcW w:w="3561" w:type="pct"/>
          </w:tcPr>
          <w:p w14:paraId="59D150EF" w14:textId="77777777" w:rsidR="00CE7B85" w:rsidRPr="00BC19F0" w:rsidRDefault="00CE7B85" w:rsidP="00451E61">
            <w:pPr>
              <w:jc w:val="left"/>
            </w:pPr>
            <w:r w:rsidRPr="00BC19F0">
              <w:t>Sarstedt (83.3920)</w:t>
            </w:r>
          </w:p>
        </w:tc>
      </w:tr>
    </w:tbl>
    <w:p w14:paraId="425FF999" w14:textId="6307ECA4" w:rsidR="00020027" w:rsidRPr="00BC19F0" w:rsidRDefault="00020027" w:rsidP="00196708">
      <w:pPr>
        <w:pStyle w:val="Heading2"/>
      </w:pPr>
      <w:r w:rsidRPr="00BC19F0">
        <w:t>Recipes</w:t>
      </w:r>
    </w:p>
    <w:p w14:paraId="29634E7F" w14:textId="14181F0D" w:rsidR="00F603BB" w:rsidRPr="00BC19F0" w:rsidRDefault="00F603BB" w:rsidP="00F603BB">
      <w:pPr>
        <w:pStyle w:val="TableFigure"/>
      </w:pPr>
      <w:r w:rsidRPr="00BC19F0">
        <w:rPr>
          <w:b/>
        </w:rPr>
        <w:t xml:space="preserve">Table </w:t>
      </w:r>
      <w:r w:rsidR="00D458A1" w:rsidRPr="00BC19F0">
        <w:rPr>
          <w:b/>
        </w:rPr>
        <w:t>2</w:t>
      </w:r>
      <w:r w:rsidRPr="00BC19F0">
        <w:rPr>
          <w:b/>
        </w:rPr>
        <w:t>:</w:t>
      </w:r>
      <w:r w:rsidRPr="00BC19F0">
        <w:t xml:space="preserve"> Recipes for the solutions used in th</w:t>
      </w:r>
      <w:r w:rsidR="007775EA">
        <w:t>is</w:t>
      </w:r>
      <w:r w:rsidRPr="00BC19F0">
        <w:t xml:space="preserve"> study.</w:t>
      </w:r>
    </w:p>
    <w:tbl>
      <w:tblPr>
        <w:tblStyle w:val="TableGrid"/>
        <w:tblW w:w="5000" w:type="pct"/>
        <w:tblInd w:w="0" w:type="dxa"/>
        <w:tblLook w:val="05E0" w:firstRow="1" w:lastRow="1" w:firstColumn="1" w:lastColumn="1" w:noHBand="0" w:noVBand="1"/>
      </w:tblPr>
      <w:tblGrid>
        <w:gridCol w:w="2519"/>
        <w:gridCol w:w="6825"/>
      </w:tblGrid>
      <w:tr w:rsidR="00020027" w:rsidRPr="00BC19F0" w14:paraId="020886A3" w14:textId="77777777" w:rsidTr="00F6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8" w:type="pct"/>
          </w:tcPr>
          <w:p w14:paraId="76F7391F" w14:textId="77777777" w:rsidR="00020027" w:rsidRPr="00BC19F0" w:rsidRDefault="00020027" w:rsidP="00F63739">
            <w:pPr>
              <w:pStyle w:val="Table-Header"/>
              <w:jc w:val="left"/>
              <w:rPr>
                <w:b/>
              </w:rPr>
            </w:pPr>
            <w:r w:rsidRPr="00BC19F0">
              <w:rPr>
                <w:b/>
              </w:rPr>
              <w:t>Solution</w:t>
            </w:r>
          </w:p>
        </w:tc>
        <w:tc>
          <w:tcPr>
            <w:tcW w:w="3652" w:type="pct"/>
          </w:tcPr>
          <w:p w14:paraId="0557529A" w14:textId="77777777" w:rsidR="00020027" w:rsidRPr="00BC19F0" w:rsidRDefault="00020027" w:rsidP="00F63739">
            <w:pPr>
              <w:pStyle w:val="Table-Header"/>
              <w:jc w:val="left"/>
              <w:rPr>
                <w:b/>
              </w:rPr>
            </w:pPr>
            <w:r w:rsidRPr="00BC19F0">
              <w:rPr>
                <w:b/>
              </w:rPr>
              <w:t>Ingredients</w:t>
            </w:r>
          </w:p>
        </w:tc>
      </w:tr>
      <w:tr w:rsidR="00020027" w:rsidRPr="00BC19F0" w14:paraId="230B6C84" w14:textId="77777777" w:rsidTr="00F63739">
        <w:trPr>
          <w:trHeight w:val="42"/>
        </w:trPr>
        <w:tc>
          <w:tcPr>
            <w:tcW w:w="1348" w:type="pct"/>
          </w:tcPr>
          <w:p w14:paraId="1C21C088" w14:textId="77777777" w:rsidR="00020027" w:rsidRPr="00BC19F0" w:rsidRDefault="00020027" w:rsidP="00F63739">
            <w:pPr>
              <w:jc w:val="left"/>
              <w:rPr>
                <w:b/>
              </w:rPr>
            </w:pPr>
            <w:r w:rsidRPr="00BC19F0">
              <w:rPr>
                <w:b/>
              </w:rPr>
              <w:t xml:space="preserve">screening medium </w:t>
            </w:r>
          </w:p>
        </w:tc>
        <w:tc>
          <w:tcPr>
            <w:tcW w:w="3652" w:type="pct"/>
          </w:tcPr>
          <w:p w14:paraId="55E3E66B" w14:textId="77777777" w:rsidR="00020027" w:rsidRPr="00BC19F0" w:rsidRDefault="00020027" w:rsidP="00F63739">
            <w:pPr>
              <w:jc w:val="left"/>
            </w:pPr>
            <w:r w:rsidRPr="00BC19F0">
              <w:t>RPMI 1640 (10.44 g/l) supplemented with HEPES (5.94 g/l), NaHCO</w:t>
            </w:r>
            <w:r w:rsidRPr="00BC19F0">
              <w:rPr>
                <w:vertAlign w:val="subscript"/>
              </w:rPr>
              <w:t>3</w:t>
            </w:r>
            <w:r w:rsidRPr="00BC19F0">
              <w:t xml:space="preserve"> (2.1 g/l), Neomycin (100 µg/ml), and albuMAX</w:t>
            </w:r>
            <w:r w:rsidRPr="00BC19F0">
              <w:rPr>
                <w:vertAlign w:val="superscript"/>
              </w:rPr>
              <w:t>TM</w:t>
            </w:r>
            <w:r w:rsidRPr="00BC19F0">
              <w:t xml:space="preserve"> II (5 g/l)</w:t>
            </w:r>
          </w:p>
        </w:tc>
      </w:tr>
      <w:tr w:rsidR="00020027" w:rsidRPr="00BC19F0" w14:paraId="2AC513CD" w14:textId="77777777" w:rsidTr="00F63739">
        <w:tc>
          <w:tcPr>
            <w:tcW w:w="1348" w:type="pct"/>
          </w:tcPr>
          <w:p w14:paraId="084ECF09" w14:textId="77777777" w:rsidR="00020027" w:rsidRPr="00BC19F0" w:rsidRDefault="00020027" w:rsidP="00F63739">
            <w:pPr>
              <w:jc w:val="left"/>
              <w:rPr>
                <w:b/>
              </w:rPr>
            </w:pPr>
            <w:r w:rsidRPr="00BC19F0">
              <w:rPr>
                <w:b/>
              </w:rPr>
              <w:t>culture medium</w:t>
            </w:r>
          </w:p>
        </w:tc>
        <w:tc>
          <w:tcPr>
            <w:tcW w:w="3652" w:type="pct"/>
          </w:tcPr>
          <w:p w14:paraId="52693FE5" w14:textId="77777777" w:rsidR="00020027" w:rsidRPr="00BC19F0" w:rsidRDefault="00020027" w:rsidP="00F63739">
            <w:pPr>
              <w:jc w:val="left"/>
            </w:pPr>
            <w:r w:rsidRPr="00BC19F0">
              <w:t>RPMI 1640 (10.44 g/l) supplemented with HEPES (5.94 g/l), NaHCO</w:t>
            </w:r>
            <w:r w:rsidRPr="00BC19F0">
              <w:rPr>
                <w:vertAlign w:val="subscript"/>
              </w:rPr>
              <w:t>3</w:t>
            </w:r>
            <w:r w:rsidRPr="00BC19F0">
              <w:t xml:space="preserve"> (2.1 g/l), Neomycin (100µg/ml), hypoxanthine (50 mg/l), and albuMAX</w:t>
            </w:r>
            <w:r w:rsidRPr="00BC19F0">
              <w:rPr>
                <w:vertAlign w:val="superscript"/>
              </w:rPr>
              <w:t>TM</w:t>
            </w:r>
            <w:r w:rsidRPr="00BC19F0">
              <w:t xml:space="preserve"> (5 g/l)</w:t>
            </w:r>
          </w:p>
        </w:tc>
      </w:tr>
      <w:tr w:rsidR="00020027" w:rsidRPr="00BC19F0" w14:paraId="0D88E15F" w14:textId="77777777" w:rsidTr="00F63739">
        <w:tc>
          <w:tcPr>
            <w:tcW w:w="1348" w:type="pct"/>
          </w:tcPr>
          <w:p w14:paraId="6595709E" w14:textId="77777777" w:rsidR="00020027" w:rsidRPr="00BC19F0" w:rsidRDefault="00020027" w:rsidP="00F63739">
            <w:pPr>
              <w:jc w:val="left"/>
              <w:rPr>
                <w:b/>
              </w:rPr>
            </w:pPr>
            <w:r w:rsidRPr="00BC19F0">
              <w:rPr>
                <w:b/>
              </w:rPr>
              <w:t>[</w:t>
            </w:r>
            <w:r w:rsidRPr="00BC19F0">
              <w:rPr>
                <w:b/>
                <w:vertAlign w:val="superscript"/>
              </w:rPr>
              <w:t>3</w:t>
            </w:r>
            <w:r w:rsidRPr="00BC19F0">
              <w:rPr>
                <w:b/>
              </w:rPr>
              <w:t>H]hypoxanthine</w:t>
            </w:r>
          </w:p>
        </w:tc>
        <w:tc>
          <w:tcPr>
            <w:tcW w:w="3652" w:type="pct"/>
          </w:tcPr>
          <w:p w14:paraId="310E52BD" w14:textId="77777777" w:rsidR="00020027" w:rsidRPr="00BC19F0" w:rsidRDefault="00020027" w:rsidP="00F63739">
            <w:pPr>
              <w:jc w:val="left"/>
            </w:pPr>
            <w:r w:rsidRPr="00BC19F0">
              <w:t>5 mCi/5 ml stocks diluted 1:2 in 50% Ethanol; aliquots of 0.5 ml are then diluted 1:100 in screening medium</w:t>
            </w:r>
          </w:p>
        </w:tc>
      </w:tr>
    </w:tbl>
    <w:p w14:paraId="5C3C07FD" w14:textId="73BB089F" w:rsidR="00E7428A" w:rsidRPr="00BC19F0" w:rsidRDefault="00CE7B85" w:rsidP="00E7428A">
      <w:pPr>
        <w:spacing w:line="259" w:lineRule="auto"/>
        <w:jc w:val="left"/>
        <w:rPr>
          <w:rFonts w:ascii="Arial" w:eastAsia="Times New Roman" w:hAnsi="Arial" w:cs="Times New Roman"/>
          <w:bCs/>
          <w:i/>
          <w:color w:val="auto"/>
          <w:sz w:val="20"/>
          <w:szCs w:val="20"/>
          <w:lang w:val="en-GB" w:eastAsia="de-DE"/>
        </w:rPr>
      </w:pPr>
      <w:r w:rsidRPr="00BC19F0">
        <w:rPr>
          <w:rFonts w:ascii="Arial" w:eastAsia="Times New Roman" w:hAnsi="Arial" w:cs="Times New Roman"/>
          <w:bCs/>
          <w:i/>
          <w:color w:val="auto"/>
          <w:sz w:val="20"/>
          <w:szCs w:val="20"/>
          <w:lang w:val="en-GB" w:eastAsia="de-DE"/>
        </w:rPr>
        <w:br w:type="page"/>
      </w:r>
    </w:p>
    <w:bookmarkEnd w:id="11"/>
    <w:p w14:paraId="3A291D36" w14:textId="105F9EAC" w:rsidR="00D560C7" w:rsidRPr="00BC19F0" w:rsidRDefault="00020027" w:rsidP="00B457EC">
      <w:pPr>
        <w:pStyle w:val="Heading1"/>
      </w:pPr>
      <w:r w:rsidRPr="00BC19F0">
        <w:lastRenderedPageBreak/>
        <w:t>Experimental procedure</w:t>
      </w:r>
    </w:p>
    <w:p w14:paraId="56527FED" w14:textId="4EF1EE62" w:rsidR="00D560C7" w:rsidRPr="00BC19F0" w:rsidRDefault="00020027" w:rsidP="00D560C7">
      <w:pPr>
        <w:pStyle w:val="Heading2"/>
        <w:rPr>
          <w:lang w:val="en-GB" w:eastAsia="de-DE"/>
        </w:rPr>
      </w:pPr>
      <w:bookmarkStart w:id="13" w:name="_Toc55294719"/>
      <w:r w:rsidRPr="00BC19F0">
        <w:rPr>
          <w:lang w:val="en-GB" w:eastAsia="de-DE"/>
        </w:rPr>
        <w:t xml:space="preserve">Determination of </w:t>
      </w:r>
      <w:bookmarkEnd w:id="13"/>
      <m:oMath>
        <m:r>
          <m:rPr>
            <m:sty m:val="bi"/>
          </m:rPr>
          <w:rPr>
            <w:rFonts w:ascii="Cambria Math" w:hAnsi="Cambria Math"/>
            <w:lang w:val="en-GB" w:eastAsia="de-DE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="00CE7B85" w:rsidRPr="00BC19F0">
        <w:rPr>
          <w:vertAlign w:val="subscript"/>
          <w:lang w:val="en-GB" w:eastAsia="de-DE"/>
        </w:rPr>
        <w:t xml:space="preserve"> </w:t>
      </w:r>
      <w:r w:rsidR="00CE7B85" w:rsidRPr="00BC19F0">
        <w:rPr>
          <w:lang w:val="en-GB" w:eastAsia="de-DE"/>
        </w:rPr>
        <w:t>values</w:t>
      </w:r>
    </w:p>
    <w:p w14:paraId="360282BC" w14:textId="3C550F19" w:rsidR="002516B5" w:rsidRPr="00BC19F0" w:rsidRDefault="002516B5" w:rsidP="00C208D5">
      <w:pPr>
        <w:rPr>
          <w:lang w:val="en-GB"/>
        </w:rPr>
      </w:pPr>
      <w:r w:rsidRPr="00BC19F0">
        <w:rPr>
          <w:lang w:val="en-GB"/>
        </w:rPr>
        <w:t xml:space="preserve">The initial compound concentration used in the PRR assay is based on the dose-response curve generated with the </w:t>
      </w:r>
      <w:r w:rsidRPr="00BC19F0">
        <w:rPr>
          <w:i/>
          <w:lang w:val="en-GB"/>
        </w:rPr>
        <w:t>Plasmodium falciparum</w:t>
      </w:r>
      <w:r w:rsidRPr="00BC19F0">
        <w:rPr>
          <w:lang w:val="en-GB"/>
        </w:rPr>
        <w:t xml:space="preserve"> growth inhibition assay. It </w:t>
      </w:r>
      <w:r w:rsidR="00A55DAB" w:rsidRPr="00BC19F0">
        <w:rPr>
          <w:lang w:val="en-GB"/>
        </w:rPr>
        <w:t xml:space="preserve">equals </w:t>
      </w:r>
      <m:oMath>
        <m:r>
          <w:rPr>
            <w:rFonts w:ascii="Cambria Math" w:hAnsi="Cambria Math"/>
            <w:lang w:val="en-GB" w:eastAsia="de-DE"/>
          </w:rPr>
          <m:t>10×I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="00C208D5" w:rsidRPr="00BC19F0">
        <w:rPr>
          <w:lang w:val="en-GB"/>
        </w:rPr>
        <w:t xml:space="preserve"> </w:t>
      </w:r>
      <w:r w:rsidR="00C208D5" w:rsidRPr="00BC19F0">
        <w:rPr>
          <w:lang w:val="en-GB"/>
        </w:rPr>
        <w:fldChar w:fldCharType="begin">
          <w:fldData xml:space="preserve">PEVuZE5vdGU+PENpdGU+PEF1dGhvcj5TYW56PC9BdXRob3I+PFllYXI+MjAxMjwvWWVhcj48UmVj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</w:fldData>
        </w:fldChar>
      </w:r>
      <w:r w:rsidR="00196708" w:rsidRPr="00BC19F0">
        <w:rPr>
          <w:lang w:val="en-GB"/>
        </w:rPr>
        <w:instrText xml:space="preserve"> ADDIN EN.CITE </w:instrText>
      </w:r>
      <w:r w:rsidR="00196708" w:rsidRPr="00BC19F0">
        <w:rPr>
          <w:lang w:val="en-GB"/>
        </w:rPr>
        <w:fldChar w:fldCharType="begin">
          <w:fldData xml:space="preserve">PEVuZE5vdGU+PENpdGU+PEF1dGhvcj5TYW56PC9BdXRob3I+PFllYXI+MjAxMjwvWWVhcj48UmVj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</w:fldData>
        </w:fldChar>
      </w:r>
      <w:r w:rsidR="00196708" w:rsidRPr="00BC19F0">
        <w:rPr>
          <w:lang w:val="en-GB"/>
        </w:rPr>
        <w:instrText xml:space="preserve"> ADDIN EN.CITE.DATA </w:instrText>
      </w:r>
      <w:r w:rsidR="00196708" w:rsidRPr="00BC19F0">
        <w:rPr>
          <w:lang w:val="en-GB"/>
        </w:rPr>
      </w:r>
      <w:r w:rsidR="00196708" w:rsidRPr="00BC19F0">
        <w:rPr>
          <w:lang w:val="en-GB"/>
        </w:rPr>
        <w:fldChar w:fldCharType="end"/>
      </w:r>
      <w:r w:rsidR="00C208D5" w:rsidRPr="00BC19F0">
        <w:rPr>
          <w:lang w:val="en-GB"/>
        </w:rPr>
      </w:r>
      <w:r w:rsidR="00C208D5" w:rsidRPr="00BC19F0">
        <w:rPr>
          <w:lang w:val="en-GB"/>
        </w:rPr>
        <w:fldChar w:fldCharType="separate"/>
      </w:r>
      <w:r w:rsidR="00196708" w:rsidRPr="00BC19F0">
        <w:rPr>
          <w:noProof/>
          <w:lang w:val="en-GB"/>
        </w:rPr>
        <w:t>(1)</w:t>
      </w:r>
      <w:r w:rsidR="00C208D5" w:rsidRPr="00BC19F0">
        <w:rPr>
          <w:lang w:val="en-GB"/>
        </w:rPr>
        <w:fldChar w:fldCharType="end"/>
      </w:r>
      <w:r w:rsidRPr="00BC19F0">
        <w:rPr>
          <w:lang w:val="en-GB"/>
        </w:rPr>
        <w:t>.</w:t>
      </w:r>
    </w:p>
    <w:p w14:paraId="1CD909BD" w14:textId="021B23A1" w:rsidR="00A55DAB" w:rsidRPr="00BC19F0" w:rsidRDefault="00C208D5" w:rsidP="00A55DAB">
      <w:pPr>
        <w:rPr>
          <w:lang w:val="en-GB"/>
        </w:rPr>
      </w:pPr>
      <w:r w:rsidRPr="00BC19F0">
        <w:rPr>
          <w:lang w:val="en-GB"/>
        </w:rPr>
        <w:t xml:space="preserve">The </w:t>
      </w:r>
      <w:r w:rsidRPr="00BC19F0">
        <w:rPr>
          <w:i/>
          <w:lang w:val="en-GB"/>
        </w:rPr>
        <w:t>Plasmodium falciparum</w:t>
      </w:r>
      <w:r w:rsidRPr="00BC19F0">
        <w:rPr>
          <w:lang w:val="en-GB"/>
        </w:rPr>
        <w:t xml:space="preserve"> growth inhibition assay is used to determine the </w:t>
      </w:r>
      <m:oMath>
        <m:r>
          <w:rPr>
            <w:rFonts w:ascii="Cambria Math" w:hAnsi="Cambria Math"/>
            <w:lang w:val="en-GB" w:eastAsia="de-DE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Pr="00BC19F0">
        <w:rPr>
          <w:lang w:val="en-GB"/>
        </w:rPr>
        <w:t xml:space="preserve"> of a given compound in accordance with Snyder et al. (2007) </w:t>
      </w:r>
      <w:r w:rsidRPr="00BC19F0">
        <w:rPr>
          <w:lang w:val="en-GB"/>
        </w:rPr>
        <w:fldChar w:fldCharType="begin">
          <w:fldData xml:space="preserve">PEVuZE5vdGU+PENpdGU+PEF1dGhvcj5TbnlkZXI8L0F1dGhvcj48WWVhcj4yMDA3PC9ZZWFyPjxS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</w:fldData>
        </w:fldChar>
      </w:r>
      <w:r w:rsidR="00196708" w:rsidRPr="00BC19F0">
        <w:rPr>
          <w:lang w:val="en-GB"/>
        </w:rPr>
        <w:instrText xml:space="preserve"> ADDIN EN.CITE </w:instrText>
      </w:r>
      <w:r w:rsidR="00196708" w:rsidRPr="00BC19F0">
        <w:rPr>
          <w:lang w:val="en-GB"/>
        </w:rPr>
        <w:fldChar w:fldCharType="begin">
          <w:fldData xml:space="preserve">PEVuZE5vdGU+PENpdGU+PEF1dGhvcj5TbnlkZXI8L0F1dGhvcj48WWVhcj4yMDA3PC9ZZWFyPjxS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</w:fldData>
        </w:fldChar>
      </w:r>
      <w:r w:rsidR="00196708" w:rsidRPr="00BC19F0">
        <w:rPr>
          <w:lang w:val="en-GB"/>
        </w:rPr>
        <w:instrText xml:space="preserve"> ADDIN EN.CITE.DATA </w:instrText>
      </w:r>
      <w:r w:rsidR="00196708" w:rsidRPr="00BC19F0">
        <w:rPr>
          <w:lang w:val="en-GB"/>
        </w:rPr>
      </w:r>
      <w:r w:rsidR="00196708" w:rsidRPr="00BC19F0">
        <w:rPr>
          <w:lang w:val="en-GB"/>
        </w:rPr>
        <w:fldChar w:fldCharType="end"/>
      </w:r>
      <w:r w:rsidRPr="00BC19F0">
        <w:rPr>
          <w:lang w:val="en-GB"/>
        </w:rPr>
      </w:r>
      <w:r w:rsidRPr="00BC19F0">
        <w:rPr>
          <w:lang w:val="en-GB"/>
        </w:rPr>
        <w:fldChar w:fldCharType="separate"/>
      </w:r>
      <w:r w:rsidR="00196708" w:rsidRPr="00BC19F0">
        <w:rPr>
          <w:noProof/>
          <w:lang w:val="en-GB"/>
        </w:rPr>
        <w:t>(3)</w:t>
      </w:r>
      <w:r w:rsidRPr="00BC19F0">
        <w:rPr>
          <w:lang w:val="en-GB"/>
        </w:rPr>
        <w:fldChar w:fldCharType="end"/>
      </w:r>
      <w:r w:rsidRPr="00BC19F0">
        <w:rPr>
          <w:lang w:val="en-GB"/>
        </w:rPr>
        <w:t xml:space="preserve">. In brief, naïve parasites of strain NF54 (BEI Resources, accession no. MRA-1000) are exposed to a serial dilution of compounds for 72 hours. The readout method is based on incorporation of radiolabelled hypoxanthine into the parasites DNA, which serves as indicator of parasite growth </w:t>
      </w:r>
      <w:r w:rsidRPr="00BC19F0">
        <w:rPr>
          <w:lang w:val="en-GB"/>
        </w:rPr>
        <w:fldChar w:fldCharType="begin"/>
      </w:r>
      <w:r w:rsidR="00196708" w:rsidRPr="00BC19F0">
        <w:rPr>
          <w:lang w:val="en-GB"/>
        </w:rPr>
        <w:instrText xml:space="preserve"> ADDIN EN.CITE &lt;EndNote&gt;&lt;Cite&gt;&lt;Author&gt;Desjardins&lt;/Author&gt;&lt;Year&gt;1979&lt;/Year&gt;&lt;RecNum&gt;2&lt;/RecNum&gt;&lt;DisplayText&gt;(4)&lt;/DisplayText&gt;&lt;record&gt;&lt;rec-number&gt;2&lt;/rec-number&gt;&lt;foreign-keys&gt;&lt;key app="EN" db-id="t2p5fpefqffe94ex0z25wa57dz5ft5f9wwvf" timestamp="0"&gt;2&lt;/key&gt;&lt;/foreign-keys&gt;&lt;ref-type name="Journal Article"&gt;17&lt;/ref-type&gt;&lt;contributors&gt;&lt;authors&gt;&lt;author&gt;Desjardins, R. E.&lt;/author&gt;&lt;author&gt;Canfield, C. J.&lt;/author&gt;&lt;author&gt;Haynes, J. D.&lt;/author&gt;&lt;author&gt;Chulay, J. D.&lt;/author&gt;&lt;/authors&gt;&lt;/contributors&gt;&lt;titles&gt;&lt;title&gt;Quantitative assessment of antimalarial activity in vitro by a semiautomated microdilution technique&lt;/title&gt;&lt;secondary-title&gt;Antimicrob Agents Chemother&lt;/secondary-title&gt;&lt;/titles&gt;&lt;pages&gt;710-8&lt;/pages&gt;&lt;volume&gt;16&lt;/volume&gt;&lt;number&gt;6&lt;/number&gt;&lt;edition&gt;1979/12/01&lt;/edition&gt;&lt;keywords&gt;&lt;keyword&gt;Animals&lt;/keyword&gt;&lt;keyword&gt;Antimalarials/*pharmacology&lt;/keyword&gt;&lt;keyword&gt;Chloroquine/pharmacology&lt;/keyword&gt;&lt;keyword&gt;Drug Evaluation, Preclinical/methods&lt;/keyword&gt;&lt;keyword&gt;Drug Resistance, Microbial&lt;/keyword&gt;&lt;keyword&gt;Hypoxanthines/pharmacology&lt;/keyword&gt;&lt;keyword&gt;Plasmodium falciparum/drug effects&lt;/keyword&gt;&lt;keyword&gt;Plasmodium vivax/drug effects&lt;/keyword&gt;&lt;/keywords&gt;&lt;dates&gt;&lt;year&gt;1979&lt;/year&gt;&lt;pub-dates&gt;&lt;date&gt;Dec&lt;/date&gt;&lt;/pub-dates&gt;&lt;/dates&gt;&lt;isbn&gt;0066-4804 (Print)&amp;#xD;0066-4804&lt;/isbn&gt;&lt;accession-num&gt;394674&lt;/accession-num&gt;&lt;urls&gt;&lt;/urls&gt;&lt;custom2&gt;PMC352941&lt;/custom2&gt;&lt;electronic-resource-num&gt;10.1128/aac.16.6.710&lt;/electronic-resource-num&gt;&lt;remote-database-provider&gt;NLM&lt;/remote-database-provider&gt;&lt;language&gt;eng&lt;/language&gt;&lt;/record&gt;&lt;/Cite&gt;&lt;/EndNote&gt;</w:instrText>
      </w:r>
      <w:r w:rsidRPr="00BC19F0">
        <w:rPr>
          <w:lang w:val="en-GB"/>
        </w:rPr>
        <w:fldChar w:fldCharType="separate"/>
      </w:r>
      <w:r w:rsidR="00196708" w:rsidRPr="00BC19F0">
        <w:rPr>
          <w:noProof/>
          <w:lang w:val="en-GB"/>
        </w:rPr>
        <w:t>(4)</w:t>
      </w:r>
      <w:r w:rsidRPr="00BC19F0">
        <w:rPr>
          <w:lang w:val="en-GB"/>
        </w:rPr>
        <w:fldChar w:fldCharType="end"/>
      </w:r>
      <w:r w:rsidRPr="00BC19F0">
        <w:rPr>
          <w:lang w:val="en-GB"/>
        </w:rPr>
        <w:t xml:space="preserve">. </w:t>
      </w:r>
    </w:p>
    <w:p w14:paraId="72AEDF66" w14:textId="030974F8" w:rsidR="00276453" w:rsidRPr="00BC19F0" w:rsidRDefault="004F2127" w:rsidP="00A55DAB">
      <w:pPr>
        <w:rPr>
          <w:lang w:val="en-GB"/>
        </w:rPr>
      </w:pPr>
      <w:r w:rsidRPr="00BC19F0">
        <w:rPr>
          <w:lang w:val="en-GB"/>
        </w:rPr>
        <w:t>For details, see the attached PDF file.</w:t>
      </w:r>
    </w:p>
    <w:p w14:paraId="333D5405" w14:textId="6002F3A6" w:rsidR="00AA3CCF" w:rsidRPr="00BC19F0" w:rsidRDefault="00AA3CCF" w:rsidP="00276453">
      <w:pPr>
        <w:rPr>
          <w:lang w:val="en-GB" w:eastAsia="de-DE"/>
        </w:rPr>
      </w:pPr>
      <w:r w:rsidRPr="00BC19F0">
        <w:rPr>
          <w:color w:val="FFFFFF"/>
          <w:lang w:val="en-GB" w:eastAsia="de-DE"/>
        </w:rPr>
        <w:t>0 determination.pdf</w:t>
      </w:r>
      <w:r w:rsidR="00AE60AF" w:rsidRPr="00BC19F0">
        <w:rPr>
          <w:color w:val="FFFFFF"/>
          <w:lang w:val="en-GB" w:eastAsia="de-DE"/>
        </w:rPr>
        <w:t>”</w:t>
      </w:r>
      <w:r w:rsidRPr="00BC19F0">
        <w:rPr>
          <w:color w:val="FFFFFF"/>
          <w:lang w:val="en-GB" w:eastAsia="de-DE"/>
        </w:rPr>
        <w:t>).</w:t>
      </w:r>
      <w:r w:rsidRPr="00BC19F0">
        <w:rPr>
          <w:lang w:val="en-GB" w:eastAsia="de-DE"/>
        </w:rPr>
        <w:t xml:space="preserve"> </w:t>
      </w:r>
      <w:r w:rsidR="00A55DAB" w:rsidRPr="00BC19F0">
        <w:rPr>
          <w:lang w:val="en-GB" w:eastAsia="de-DE"/>
        </w:rPr>
        <w:t xml:space="preserve">                            </w:t>
      </w:r>
      <w:r w:rsidR="00A55DAB" w:rsidRPr="00BC19F0">
        <w:rPr>
          <w:lang w:val="en-GB" w:eastAsia="de-DE"/>
        </w:rPr>
        <w:object w:dxaOrig="1508" w:dyaOrig="984" w14:anchorId="5E5D2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1.75pt" o:ole="">
            <v:imagedata r:id="rId17" o:title=""/>
          </v:shape>
          <o:OLEObject Type="Embed" ProgID="AcroExch.Document.DC" ShapeID="_x0000_i1025" DrawAspect="Icon" ObjectID="_1704800410" r:id="rId18"/>
        </w:object>
      </w:r>
    </w:p>
    <w:p w14:paraId="7F6CC6FC" w14:textId="65F780AF" w:rsidR="00E24393" w:rsidRPr="00BC19F0" w:rsidRDefault="002516B5" w:rsidP="00E24393">
      <w:pPr>
        <w:pStyle w:val="Heading2"/>
        <w:rPr>
          <w:lang w:val="en-GB" w:eastAsia="de-DE"/>
        </w:rPr>
      </w:pPr>
      <w:bookmarkStart w:id="14" w:name="_Toc55294720"/>
      <w:r w:rsidRPr="00BC19F0">
        <w:rPr>
          <w:lang w:val="en-GB" w:eastAsia="de-DE"/>
        </w:rPr>
        <w:t>P</w:t>
      </w:r>
      <w:bookmarkEnd w:id="14"/>
      <w:r w:rsidR="00845BB6" w:rsidRPr="00BC19F0">
        <w:rPr>
          <w:lang w:val="en-GB" w:eastAsia="de-DE"/>
        </w:rPr>
        <w:t>arasite Reduction Ra</w:t>
      </w:r>
      <w:r w:rsidR="00A53537" w:rsidRPr="00BC19F0">
        <w:rPr>
          <w:lang w:val="en-GB" w:eastAsia="de-DE"/>
        </w:rPr>
        <w:t>tio</w:t>
      </w:r>
      <w:r w:rsidR="00845BB6" w:rsidRPr="00BC19F0">
        <w:rPr>
          <w:lang w:val="en-GB" w:eastAsia="de-DE"/>
        </w:rPr>
        <w:t xml:space="preserve"> </w:t>
      </w:r>
      <w:r w:rsidR="00A862E6" w:rsidRPr="00BC19F0">
        <w:rPr>
          <w:lang w:val="en-GB" w:eastAsia="de-DE"/>
        </w:rPr>
        <w:t>Assay</w:t>
      </w:r>
    </w:p>
    <w:p w14:paraId="0B1ABA4B" w14:textId="2FB178DB" w:rsidR="00E24393" w:rsidRPr="00BC19F0" w:rsidRDefault="00E24393" w:rsidP="005E0274">
      <w:pPr>
        <w:pStyle w:val="Heading3"/>
      </w:pPr>
      <w:r w:rsidRPr="00BC19F0">
        <w:t>C</w:t>
      </w:r>
      <w:r w:rsidR="00020027" w:rsidRPr="00BC19F0">
        <w:t>ompound P</w:t>
      </w:r>
      <w:r w:rsidRPr="00BC19F0">
        <w:t>reparation</w:t>
      </w:r>
    </w:p>
    <w:p w14:paraId="29DAD4B1" w14:textId="30DD5168" w:rsidR="00134947" w:rsidRPr="00BC19F0" w:rsidRDefault="00E24393" w:rsidP="00597D8F">
      <w:pPr>
        <w:rPr>
          <w:lang w:eastAsia="de-DE"/>
        </w:rPr>
      </w:pPr>
      <w:r w:rsidRPr="00BC19F0">
        <w:rPr>
          <w:lang w:eastAsia="de-DE"/>
        </w:rPr>
        <w:t xml:space="preserve">Compounds are dissolved in DMSO or other solvent (if insoluble) to obtain a 10 mM stock. Stocks are stored at 4°C for </w:t>
      </w:r>
      <w:r w:rsidRPr="00BC19F0">
        <w:rPr>
          <w:rFonts w:cstheme="minorHAnsi"/>
          <w:lang w:eastAsia="de-DE"/>
        </w:rPr>
        <w:t>≥</w:t>
      </w:r>
      <w:r w:rsidRPr="00BC19F0">
        <w:rPr>
          <w:lang w:eastAsia="de-DE"/>
        </w:rPr>
        <w:t xml:space="preserve"> 2 weeks. Working dilutions are 100-fold concentrated and must be prepared freshly in </w:t>
      </w:r>
      <w:r w:rsidR="00FD2146" w:rsidRPr="00BC19F0">
        <w:rPr>
          <w:lang w:eastAsia="de-DE"/>
        </w:rPr>
        <w:t>culture medium</w:t>
      </w:r>
      <w:r w:rsidRPr="00BC19F0">
        <w:rPr>
          <w:lang w:eastAsia="de-DE"/>
        </w:rPr>
        <w:t>.</w:t>
      </w:r>
    </w:p>
    <w:p w14:paraId="3CA2E408" w14:textId="2AEC7B2E" w:rsidR="00E24393" w:rsidRPr="00BC19F0" w:rsidRDefault="00FD2146" w:rsidP="005E0274">
      <w:pPr>
        <w:pStyle w:val="Heading3"/>
      </w:pPr>
      <w:r w:rsidRPr="00BC19F0">
        <w:t>A</w:t>
      </w:r>
      <w:r w:rsidR="00020027" w:rsidRPr="00BC19F0">
        <w:t>ssay P</w:t>
      </w:r>
      <w:r w:rsidRPr="00BC19F0">
        <w:t>rocedure</w:t>
      </w:r>
    </w:p>
    <w:p w14:paraId="7D8FE4B6" w14:textId="46B1C35C" w:rsidR="00E24393" w:rsidRPr="00A511B6" w:rsidRDefault="00CE7B85" w:rsidP="00597D8F">
      <w:pPr>
        <w:rPr>
          <w:lang w:eastAsia="de-DE"/>
        </w:rPr>
      </w:pPr>
      <w:r w:rsidRPr="00BC19F0">
        <w:rPr>
          <w:lang w:eastAsia="de-DE"/>
        </w:rPr>
        <w:t>A</w:t>
      </w:r>
      <w:r w:rsidR="00463E1D" w:rsidRPr="00BC19F0">
        <w:rPr>
          <w:lang w:eastAsia="de-DE"/>
        </w:rPr>
        <w:t>n</w:t>
      </w:r>
      <w:r w:rsidR="00C52DDB" w:rsidRPr="00BC19F0">
        <w:rPr>
          <w:lang w:eastAsia="de-DE"/>
        </w:rPr>
        <w:t xml:space="preserve"> unsynchronized</w:t>
      </w:r>
      <w:r w:rsidRPr="00BC19F0">
        <w:rPr>
          <w:lang w:eastAsia="de-DE"/>
        </w:rPr>
        <w:t xml:space="preserve"> </w:t>
      </w:r>
      <w:r w:rsidR="00FD2146" w:rsidRPr="00BC19F0">
        <w:rPr>
          <w:i/>
          <w:lang w:eastAsia="de-DE"/>
        </w:rPr>
        <w:t>P.</w:t>
      </w:r>
      <w:r w:rsidR="0094528B" w:rsidRPr="00BC19F0">
        <w:rPr>
          <w:i/>
          <w:lang w:eastAsia="de-DE"/>
        </w:rPr>
        <w:t xml:space="preserve"> </w:t>
      </w:r>
      <w:r w:rsidR="00FD2146" w:rsidRPr="00BC19F0">
        <w:rPr>
          <w:i/>
          <w:lang w:eastAsia="de-DE"/>
        </w:rPr>
        <w:t xml:space="preserve">falciparum </w:t>
      </w:r>
      <w:r w:rsidRPr="00BC19F0">
        <w:rPr>
          <w:lang w:eastAsia="de-DE"/>
        </w:rPr>
        <w:t xml:space="preserve">culture, strain </w:t>
      </w:r>
      <w:r w:rsidR="00FD2146" w:rsidRPr="00BC19F0">
        <w:rPr>
          <w:lang w:eastAsia="de-DE"/>
        </w:rPr>
        <w:t>NF54</w:t>
      </w:r>
      <w:r w:rsidRPr="00BC19F0">
        <w:rPr>
          <w:lang w:eastAsia="de-DE"/>
        </w:rPr>
        <w:t xml:space="preserve">, is </w:t>
      </w:r>
      <w:r w:rsidR="00E24393" w:rsidRPr="00BC19F0">
        <w:rPr>
          <w:lang w:eastAsia="de-DE"/>
        </w:rPr>
        <w:t xml:space="preserve">adjusted to </w:t>
      </w:r>
      <w:r w:rsidRPr="00BC19F0">
        <w:rPr>
          <w:lang w:eastAsia="de-DE"/>
        </w:rPr>
        <w:t>0.3</w:t>
      </w:r>
      <w:r w:rsidR="00E24393" w:rsidRPr="00BC19F0">
        <w:rPr>
          <w:lang w:eastAsia="de-DE"/>
        </w:rPr>
        <w:t xml:space="preserve">% </w:t>
      </w:r>
      <w:r w:rsidR="00FD2146" w:rsidRPr="00BC19F0">
        <w:rPr>
          <w:lang w:eastAsia="de-DE"/>
        </w:rPr>
        <w:t>parasitaemia</w:t>
      </w:r>
      <w:r w:rsidRPr="00BC19F0">
        <w:rPr>
          <w:lang w:eastAsia="de-DE"/>
        </w:rPr>
        <w:t xml:space="preserve"> and 1.25</w:t>
      </w:r>
      <w:r w:rsidR="00E24393" w:rsidRPr="00BC19F0">
        <w:rPr>
          <w:lang w:eastAsia="de-DE"/>
        </w:rPr>
        <w:t xml:space="preserve">% </w:t>
      </w:r>
      <w:r w:rsidR="00291EAF" w:rsidRPr="00BC19F0">
        <w:rPr>
          <w:lang w:eastAsia="de-DE"/>
        </w:rPr>
        <w:t>hematocrit</w:t>
      </w:r>
      <w:r w:rsidR="00FD2146" w:rsidRPr="00BC19F0">
        <w:rPr>
          <w:lang w:eastAsia="de-DE"/>
        </w:rPr>
        <w:t xml:space="preserve"> </w:t>
      </w:r>
      <w:r w:rsidRPr="00BC19F0">
        <w:rPr>
          <w:lang w:eastAsia="de-DE"/>
        </w:rPr>
        <w:t xml:space="preserve">(corresponding to growth inhibition assay conditions) </w:t>
      </w:r>
      <w:r w:rsidR="00FD2146" w:rsidRPr="00BC19F0">
        <w:rPr>
          <w:lang w:eastAsia="de-DE"/>
        </w:rPr>
        <w:t>using fresh human erythrocytes and culture medium</w:t>
      </w:r>
      <w:r w:rsidR="00E24393" w:rsidRPr="00BC19F0">
        <w:rPr>
          <w:lang w:eastAsia="de-DE"/>
        </w:rPr>
        <w:t xml:space="preserve">. </w:t>
      </w:r>
      <w:r w:rsidR="00FD2146" w:rsidRPr="00BC19F0">
        <w:rPr>
          <w:lang w:eastAsia="de-DE"/>
        </w:rPr>
        <w:t xml:space="preserve">To initiate the assay, </w:t>
      </w:r>
      <w:r w:rsidRPr="00BC19F0">
        <w:rPr>
          <w:lang w:eastAsia="de-DE"/>
        </w:rPr>
        <w:t>culture aliquots</w:t>
      </w:r>
      <w:r w:rsidR="00BB6BAA" w:rsidRPr="00BC19F0">
        <w:rPr>
          <w:lang w:eastAsia="de-DE"/>
        </w:rPr>
        <w:t xml:space="preserve"> are incubated with </w:t>
      </w:r>
      <w:r w:rsidRPr="00BC19F0">
        <w:rPr>
          <w:lang w:eastAsia="de-DE"/>
        </w:rPr>
        <w:t xml:space="preserve">fresh </w:t>
      </w:r>
      <w:r w:rsidR="00BB6BAA" w:rsidRPr="00BC19F0">
        <w:rPr>
          <w:lang w:eastAsia="de-DE"/>
        </w:rPr>
        <w:t xml:space="preserve">compound solution </w:t>
      </w:r>
      <w:r w:rsidR="00E24393" w:rsidRPr="00BC19F0">
        <w:rPr>
          <w:lang w:eastAsia="de-DE"/>
        </w:rPr>
        <w:t xml:space="preserve">at 37°C </w:t>
      </w:r>
      <w:r w:rsidR="00FD2146" w:rsidRPr="00BC19F0">
        <w:rPr>
          <w:lang w:eastAsia="de-DE"/>
        </w:rPr>
        <w:t xml:space="preserve">and </w:t>
      </w:r>
      <w:r w:rsidR="00E24393" w:rsidRPr="00BC19F0">
        <w:rPr>
          <w:lang w:eastAsia="de-DE"/>
        </w:rPr>
        <w:t>93% N</w:t>
      </w:r>
      <w:r w:rsidR="00E24393" w:rsidRPr="00BC19F0">
        <w:rPr>
          <w:vertAlign w:val="subscript"/>
          <w:lang w:eastAsia="de-DE"/>
        </w:rPr>
        <w:t>2</w:t>
      </w:r>
      <w:r w:rsidR="00E24393" w:rsidRPr="00BC19F0">
        <w:rPr>
          <w:lang w:eastAsia="de-DE"/>
        </w:rPr>
        <w:t>, 4% CO</w:t>
      </w:r>
      <w:r w:rsidR="00E24393" w:rsidRPr="00BC19F0">
        <w:rPr>
          <w:vertAlign w:val="subscript"/>
          <w:lang w:eastAsia="de-DE"/>
        </w:rPr>
        <w:t>2</w:t>
      </w:r>
      <w:r w:rsidR="00E24393" w:rsidRPr="00BC19F0">
        <w:rPr>
          <w:lang w:eastAsia="de-DE"/>
        </w:rPr>
        <w:t xml:space="preserve">, </w:t>
      </w:r>
      <w:r w:rsidR="00E24393" w:rsidRPr="00A511B6">
        <w:rPr>
          <w:lang w:eastAsia="de-DE"/>
        </w:rPr>
        <w:t>and 3% O</w:t>
      </w:r>
      <w:r w:rsidR="00E24393" w:rsidRPr="00A511B6">
        <w:rPr>
          <w:vertAlign w:val="subscript"/>
          <w:lang w:eastAsia="de-DE"/>
        </w:rPr>
        <w:t>2</w:t>
      </w:r>
      <w:r w:rsidR="00821ABC" w:rsidRPr="00A511B6">
        <w:rPr>
          <w:lang w:eastAsia="de-DE"/>
        </w:rPr>
        <w:t xml:space="preserve">. </w:t>
      </w:r>
      <w:r w:rsidR="00291EAF" w:rsidRPr="00A511B6">
        <w:rPr>
          <w:lang w:eastAsia="de-DE"/>
        </w:rPr>
        <w:t>Culture medium and compound are</w:t>
      </w:r>
      <w:r w:rsidR="00BB6BAA" w:rsidRPr="00A511B6">
        <w:rPr>
          <w:lang w:eastAsia="de-DE"/>
        </w:rPr>
        <w:t xml:space="preserve"> re</w:t>
      </w:r>
      <w:r w:rsidR="00DF5B83" w:rsidRPr="00A511B6">
        <w:rPr>
          <w:lang w:eastAsia="de-DE"/>
        </w:rPr>
        <w:t>plenished</w:t>
      </w:r>
      <w:r w:rsidR="00BB6BAA" w:rsidRPr="00A511B6">
        <w:rPr>
          <w:lang w:eastAsia="de-DE"/>
        </w:rPr>
        <w:t xml:space="preserve"> every 2</w:t>
      </w:r>
      <w:r w:rsidR="00DF5B83" w:rsidRPr="00A511B6">
        <w:rPr>
          <w:lang w:eastAsia="de-DE"/>
        </w:rPr>
        <w:t>4 hours. Untreat</w:t>
      </w:r>
      <w:r w:rsidR="00B37040" w:rsidRPr="00A511B6">
        <w:rPr>
          <w:lang w:eastAsia="de-DE"/>
        </w:rPr>
        <w:t>ed cultures (0, 24, and 48 hours</w:t>
      </w:r>
      <w:r w:rsidR="00DF5B83" w:rsidRPr="00A511B6">
        <w:rPr>
          <w:lang w:eastAsia="de-DE"/>
        </w:rPr>
        <w:t xml:space="preserve"> incubation) serve as growth controls.</w:t>
      </w:r>
    </w:p>
    <w:p w14:paraId="731E66DE" w14:textId="1D7BEADC" w:rsidR="00DF5B83" w:rsidRPr="00BC19F0" w:rsidRDefault="001B0601" w:rsidP="00597D8F">
      <w:pPr>
        <w:rPr>
          <w:lang w:eastAsia="de-DE"/>
        </w:rPr>
      </w:pPr>
      <w:r w:rsidRPr="00A511B6">
        <w:rPr>
          <w:lang w:eastAsia="de-DE"/>
        </w:rPr>
        <w:t xml:space="preserve">Before </w:t>
      </w:r>
      <w:r w:rsidR="00EF3E19" w:rsidRPr="00A511B6">
        <w:rPr>
          <w:lang w:eastAsia="de-DE"/>
        </w:rPr>
        <w:t>the first treatment</w:t>
      </w:r>
      <w:r w:rsidRPr="00A511B6">
        <w:rPr>
          <w:lang w:eastAsia="de-DE"/>
        </w:rPr>
        <w:t xml:space="preserve"> (0 hours) and a</w:t>
      </w:r>
      <w:r w:rsidR="00E24393" w:rsidRPr="00A511B6">
        <w:rPr>
          <w:lang w:eastAsia="de-DE"/>
        </w:rPr>
        <w:t xml:space="preserve">fter </w:t>
      </w:r>
      <w:r w:rsidR="00821ABC" w:rsidRPr="00A511B6">
        <w:rPr>
          <w:lang w:eastAsia="de-DE"/>
        </w:rPr>
        <w:t xml:space="preserve">24, </w:t>
      </w:r>
      <w:r w:rsidR="00E24393" w:rsidRPr="00A511B6">
        <w:rPr>
          <w:lang w:eastAsia="de-DE"/>
        </w:rPr>
        <w:t>48</w:t>
      </w:r>
      <w:r w:rsidR="00821ABC" w:rsidRPr="00A511B6">
        <w:rPr>
          <w:lang w:eastAsia="de-DE"/>
        </w:rPr>
        <w:t>, 72, 96 and 120</w:t>
      </w:r>
      <w:r w:rsidR="00CE7B85" w:rsidRPr="00A511B6">
        <w:rPr>
          <w:lang w:eastAsia="de-DE"/>
        </w:rPr>
        <w:t xml:space="preserve"> hours, </w:t>
      </w:r>
      <w:r w:rsidR="00B37040" w:rsidRPr="00A511B6">
        <w:rPr>
          <w:lang w:eastAsia="de-DE"/>
        </w:rPr>
        <w:t>3</w:t>
      </w:r>
      <w:r w:rsidR="00CE7B85" w:rsidRPr="00A511B6">
        <w:rPr>
          <w:lang w:eastAsia="de-DE"/>
        </w:rPr>
        <w:t xml:space="preserve"> ml of culture are</w:t>
      </w:r>
      <w:r w:rsidR="00E24393" w:rsidRPr="00A511B6">
        <w:rPr>
          <w:lang w:eastAsia="de-DE"/>
        </w:rPr>
        <w:t xml:space="preserve"> sampled from </w:t>
      </w:r>
      <w:r w:rsidR="00821ABC" w:rsidRPr="00A511B6">
        <w:rPr>
          <w:lang w:eastAsia="de-DE"/>
        </w:rPr>
        <w:t xml:space="preserve">the corresponding </w:t>
      </w:r>
      <w:r w:rsidR="00E24393" w:rsidRPr="00A511B6">
        <w:rPr>
          <w:lang w:eastAsia="de-DE"/>
        </w:rPr>
        <w:t>well and compound is removed by w</w:t>
      </w:r>
      <w:r w:rsidR="00CE7B85" w:rsidRPr="00A511B6">
        <w:rPr>
          <w:lang w:eastAsia="de-DE"/>
        </w:rPr>
        <w:t xml:space="preserve">ashing </w:t>
      </w:r>
      <w:r w:rsidR="00EF3E19" w:rsidRPr="00A511B6">
        <w:rPr>
          <w:lang w:eastAsia="de-DE"/>
        </w:rPr>
        <w:t>three</w:t>
      </w:r>
      <w:r w:rsidR="00CE7B85" w:rsidRPr="00A511B6">
        <w:rPr>
          <w:lang w:eastAsia="de-DE"/>
        </w:rPr>
        <w:t xml:space="preserve"> times in </w:t>
      </w:r>
      <w:r w:rsidR="00B37040" w:rsidRPr="00A511B6">
        <w:rPr>
          <w:lang w:eastAsia="de-DE"/>
        </w:rPr>
        <w:t>3</w:t>
      </w:r>
      <w:r w:rsidR="00E24393" w:rsidRPr="00A511B6">
        <w:rPr>
          <w:lang w:eastAsia="de-DE"/>
        </w:rPr>
        <w:t xml:space="preserve"> ml o</w:t>
      </w:r>
      <w:r w:rsidR="00821ABC" w:rsidRPr="00A511B6">
        <w:rPr>
          <w:lang w:eastAsia="de-DE"/>
        </w:rPr>
        <w:t>f c</w:t>
      </w:r>
      <w:r w:rsidR="00CE7B85" w:rsidRPr="00A511B6">
        <w:rPr>
          <w:lang w:eastAsia="de-DE"/>
        </w:rPr>
        <w:t>ulture medium (centrifugation: 2</w:t>
      </w:r>
      <w:r w:rsidR="00821ABC" w:rsidRPr="00A511B6">
        <w:rPr>
          <w:lang w:eastAsia="de-DE"/>
        </w:rPr>
        <w:t xml:space="preserve"> min, 600 x </w:t>
      </w:r>
      <w:r w:rsidR="00E24393" w:rsidRPr="00A511B6">
        <w:rPr>
          <w:lang w:eastAsia="de-DE"/>
        </w:rPr>
        <w:t>g).</w:t>
      </w:r>
      <w:r w:rsidR="004E7D75" w:rsidRPr="00A511B6">
        <w:rPr>
          <w:lang w:eastAsia="de-DE"/>
        </w:rPr>
        <w:t xml:space="preserve"> </w:t>
      </w:r>
      <w:r w:rsidR="00BB6BAA" w:rsidRPr="00A511B6">
        <w:rPr>
          <w:lang w:eastAsia="de-DE"/>
        </w:rPr>
        <w:t>In a 96-well plate, four technical replicates of each sample</w:t>
      </w:r>
      <w:r w:rsidR="00EF3E19" w:rsidRPr="00A511B6">
        <w:rPr>
          <w:lang w:eastAsia="de-DE"/>
        </w:rPr>
        <w:t xml:space="preserve"> (eight</w:t>
      </w:r>
      <w:r w:rsidR="00DF5B83" w:rsidRPr="00A511B6">
        <w:rPr>
          <w:lang w:eastAsia="de-DE"/>
        </w:rPr>
        <w:t xml:space="preserve"> for growth controls)</w:t>
      </w:r>
      <w:r w:rsidR="00BB6BAA" w:rsidRPr="00A511B6">
        <w:rPr>
          <w:lang w:eastAsia="de-DE"/>
        </w:rPr>
        <w:t xml:space="preserve"> are </w:t>
      </w:r>
      <w:r w:rsidR="00E24393" w:rsidRPr="00A511B6">
        <w:rPr>
          <w:lang w:eastAsia="de-DE"/>
        </w:rPr>
        <w:t xml:space="preserve">serially diluted </w:t>
      </w:r>
      <w:r w:rsidR="00CE7B85" w:rsidRPr="00A511B6">
        <w:rPr>
          <w:lang w:eastAsia="de-DE"/>
        </w:rPr>
        <w:t>by factor four</w:t>
      </w:r>
      <w:r w:rsidR="00BB6BAA" w:rsidRPr="00A511B6">
        <w:rPr>
          <w:lang w:eastAsia="de-DE"/>
        </w:rPr>
        <w:t xml:space="preserve"> before incubating again for up to </w:t>
      </w:r>
      <w:r w:rsidR="00BA3788" w:rsidRPr="00A511B6">
        <w:rPr>
          <w:lang w:eastAsia="de-DE"/>
        </w:rPr>
        <w:t>14</w:t>
      </w:r>
      <w:r w:rsidR="00BB6BAA" w:rsidRPr="00A511B6">
        <w:rPr>
          <w:lang w:eastAsia="de-DE"/>
        </w:rPr>
        <w:t xml:space="preserve"> days. </w:t>
      </w:r>
      <w:r w:rsidR="005A3ABA" w:rsidRPr="00A511B6">
        <w:rPr>
          <w:lang w:eastAsia="de-DE"/>
        </w:rPr>
        <w:t>Once a week, culture m</w:t>
      </w:r>
      <w:r w:rsidR="00BB6BAA" w:rsidRPr="00A511B6">
        <w:rPr>
          <w:lang w:eastAsia="de-DE"/>
        </w:rPr>
        <w:t>edium is re</w:t>
      </w:r>
      <w:r w:rsidR="00DF5B83" w:rsidRPr="00A511B6">
        <w:rPr>
          <w:lang w:eastAsia="de-DE"/>
        </w:rPr>
        <w:t>plenished</w:t>
      </w:r>
      <w:r w:rsidR="00D768BE" w:rsidRPr="00A511B6">
        <w:rPr>
          <w:lang w:eastAsia="de-DE"/>
        </w:rPr>
        <w:t xml:space="preserve"> and fresh erythrocytes are provided</w:t>
      </w:r>
      <w:r w:rsidR="005A3ABA" w:rsidRPr="00A511B6">
        <w:rPr>
          <w:lang w:eastAsia="de-DE"/>
        </w:rPr>
        <w:t xml:space="preserve">. </w:t>
      </w:r>
      <w:r w:rsidR="00E24393" w:rsidRPr="00A511B6">
        <w:rPr>
          <w:lang w:eastAsia="de-DE"/>
        </w:rPr>
        <w:t xml:space="preserve">After </w:t>
      </w:r>
      <w:r w:rsidR="00BA3788" w:rsidRPr="00A511B6">
        <w:rPr>
          <w:lang w:eastAsia="de-DE"/>
        </w:rPr>
        <w:t>13</w:t>
      </w:r>
      <w:r w:rsidR="00E24393" w:rsidRPr="00A511B6">
        <w:rPr>
          <w:lang w:eastAsia="de-DE"/>
        </w:rPr>
        <w:t xml:space="preserve"> days,</w:t>
      </w:r>
      <w:r w:rsidR="005A3ABA" w:rsidRPr="00A511B6">
        <w:rPr>
          <w:lang w:eastAsia="de-DE"/>
        </w:rPr>
        <w:t xml:space="preserve"> the medium is replaced with</w:t>
      </w:r>
      <w:r w:rsidR="00E24393" w:rsidRPr="00A511B6">
        <w:rPr>
          <w:lang w:eastAsia="de-DE"/>
        </w:rPr>
        <w:t xml:space="preserve"> [</w:t>
      </w:r>
      <w:r w:rsidR="00DF5B83" w:rsidRPr="00A511B6">
        <w:rPr>
          <w:vertAlign w:val="superscript"/>
          <w:lang w:eastAsia="de-DE"/>
        </w:rPr>
        <w:t>3</w:t>
      </w:r>
      <w:r w:rsidR="005A3ABA" w:rsidRPr="00A511B6">
        <w:rPr>
          <w:lang w:eastAsia="de-DE"/>
        </w:rPr>
        <w:t>H]hypoxanthine</w:t>
      </w:r>
      <w:r w:rsidR="005A3ABA" w:rsidRPr="00BC19F0">
        <w:rPr>
          <w:lang w:eastAsia="de-DE"/>
        </w:rPr>
        <w:t xml:space="preserve"> in screening medium, before freezing the plates </w:t>
      </w:r>
      <w:r w:rsidR="00DF5B83" w:rsidRPr="00BC19F0">
        <w:rPr>
          <w:lang w:eastAsia="de-DE"/>
        </w:rPr>
        <w:t>24 hours later at</w:t>
      </w:r>
      <w:r w:rsidR="005A3ABA" w:rsidRPr="00BC19F0">
        <w:rPr>
          <w:lang w:eastAsia="de-DE"/>
        </w:rPr>
        <w:t xml:space="preserve"> -20°C</w:t>
      </w:r>
      <w:r w:rsidR="00E24393" w:rsidRPr="00BC19F0">
        <w:rPr>
          <w:lang w:eastAsia="de-DE"/>
        </w:rPr>
        <w:t>.</w:t>
      </w:r>
    </w:p>
    <w:p w14:paraId="6401C98E" w14:textId="54EA97E3" w:rsidR="00DC0BE2" w:rsidRDefault="00E24393" w:rsidP="00597D8F">
      <w:pPr>
        <w:rPr>
          <w:lang w:eastAsia="de-DE"/>
        </w:rPr>
      </w:pPr>
      <w:r w:rsidRPr="00BC19F0">
        <w:rPr>
          <w:lang w:eastAsia="de-DE"/>
        </w:rPr>
        <w:t xml:space="preserve">Thawed plates </w:t>
      </w:r>
      <w:r w:rsidR="005A3ABA" w:rsidRPr="00BC19F0">
        <w:rPr>
          <w:lang w:eastAsia="de-DE"/>
        </w:rPr>
        <w:t>are</w:t>
      </w:r>
      <w:r w:rsidRPr="00BC19F0">
        <w:rPr>
          <w:lang w:eastAsia="de-DE"/>
        </w:rPr>
        <w:t xml:space="preserve"> harvested with a Betaplate</w:t>
      </w:r>
      <w:r w:rsidRPr="00BC19F0">
        <w:rPr>
          <w:vertAlign w:val="superscript"/>
          <w:lang w:eastAsia="de-DE"/>
        </w:rPr>
        <w:t xml:space="preserve">TM </w:t>
      </w:r>
      <w:r w:rsidRPr="00BC19F0">
        <w:rPr>
          <w:lang w:eastAsia="de-DE"/>
        </w:rPr>
        <w:t>cell harvester (Wallac, Zurich, Switzerland), which transfers the lysed red blood cells onto a glass fiber filter. The dried filters are inserted into a plastic foil with 10 ml of scintillation fluid and counted in a Betaplate</w:t>
      </w:r>
      <w:r w:rsidRPr="00BC19F0">
        <w:rPr>
          <w:vertAlign w:val="superscript"/>
          <w:lang w:eastAsia="de-DE"/>
        </w:rPr>
        <w:t>TM</w:t>
      </w:r>
      <w:r w:rsidRPr="00BC19F0">
        <w:rPr>
          <w:lang w:eastAsia="de-DE"/>
        </w:rPr>
        <w:t xml:space="preserve"> liquid scintillation counter (Wallac, Zurich, Switzerland). The results are recorded as counts per minute (cpm</w:t>
      </w:r>
      <w:r w:rsidR="00DF5B83" w:rsidRPr="00BC19F0">
        <w:rPr>
          <w:lang w:eastAsia="de-DE"/>
        </w:rPr>
        <w:t xml:space="preserve">). </w:t>
      </w:r>
      <w:r w:rsidRPr="00BC19F0">
        <w:rPr>
          <w:lang w:eastAsia="de-DE"/>
        </w:rPr>
        <w:t xml:space="preserve">In addition, </w:t>
      </w:r>
      <w:r w:rsidR="005A3ABA" w:rsidRPr="00BC19F0">
        <w:rPr>
          <w:lang w:eastAsia="de-DE"/>
        </w:rPr>
        <w:t>colored</w:t>
      </w:r>
      <w:r w:rsidRPr="00BC19F0">
        <w:rPr>
          <w:lang w:eastAsia="de-DE"/>
        </w:rPr>
        <w:t xml:space="preserve"> spots on the</w:t>
      </w:r>
      <w:r w:rsidR="002D7F62">
        <w:rPr>
          <w:lang w:eastAsia="de-DE"/>
        </w:rPr>
        <w:t xml:space="preserve"> dry</w:t>
      </w:r>
      <w:r w:rsidRPr="00BC19F0">
        <w:rPr>
          <w:lang w:eastAsia="de-DE"/>
        </w:rPr>
        <w:t xml:space="preserve"> filter mat </w:t>
      </w:r>
      <w:r w:rsidR="008F27C5" w:rsidRPr="00BC19F0">
        <w:rPr>
          <w:lang w:eastAsia="de-DE"/>
        </w:rPr>
        <w:t>are</w:t>
      </w:r>
      <w:r w:rsidRPr="00BC19F0">
        <w:rPr>
          <w:lang w:eastAsia="de-DE"/>
        </w:rPr>
        <w:t xml:space="preserve"> recorded. They serve as visual indicator </w:t>
      </w:r>
      <w:r w:rsidR="009106C4">
        <w:rPr>
          <w:lang w:eastAsia="de-DE"/>
        </w:rPr>
        <w:t>for</w:t>
      </w:r>
      <w:r w:rsidRPr="00BC19F0">
        <w:rPr>
          <w:lang w:eastAsia="de-DE"/>
        </w:rPr>
        <w:t xml:space="preserve"> parasite growth.</w:t>
      </w:r>
    </w:p>
    <w:p w14:paraId="6169D01B" w14:textId="77777777" w:rsidR="005E0274" w:rsidRPr="00BC19F0" w:rsidRDefault="005E0274" w:rsidP="005E0274">
      <w:pPr>
        <w:rPr>
          <w:lang w:eastAsia="de-DE"/>
        </w:rPr>
      </w:pPr>
      <w:r w:rsidRPr="00BC19F0">
        <w:rPr>
          <w:lang w:eastAsia="de-DE"/>
        </w:rPr>
        <w:t>The reference compound MMV000024 (</w:t>
      </w:r>
      <w:r w:rsidRPr="00597D8F">
        <w:rPr>
          <w:lang w:eastAsia="de-DE"/>
        </w:rPr>
        <w:t>Pyrimethamine) is included</w:t>
      </w:r>
      <w:r w:rsidRPr="00BC19F0">
        <w:rPr>
          <w:lang w:eastAsia="de-DE"/>
        </w:rPr>
        <w:t xml:space="preserve"> in every campaign at </w:t>
      </w:r>
      <m:oMath>
        <m:r>
          <w:rPr>
            <w:rFonts w:ascii="Cambria Math" w:hAnsi="Cambria Math"/>
            <w:lang w:val="en-GB" w:eastAsia="de-DE"/>
          </w:rPr>
          <m:t>10×I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Pr="00BC19F0">
        <w:rPr>
          <w:lang w:eastAsia="de-DE"/>
        </w:rPr>
        <w:t xml:space="preserve"> to validate the experiment. </w:t>
      </w:r>
    </w:p>
    <w:p w14:paraId="799963FA" w14:textId="127EC927" w:rsidR="00020027" w:rsidRPr="00BC19F0" w:rsidRDefault="00020027" w:rsidP="005E0274">
      <w:pPr>
        <w:pStyle w:val="Heading3"/>
      </w:pPr>
      <w:r w:rsidRPr="00BC19F0">
        <w:lastRenderedPageBreak/>
        <w:t>Data Analysis</w:t>
      </w:r>
    </w:p>
    <w:p w14:paraId="0805E961" w14:textId="70F989E4" w:rsidR="00E24393" w:rsidRPr="00BC19F0" w:rsidRDefault="005A3ABA" w:rsidP="00597D8F">
      <w:pPr>
        <w:rPr>
          <w:lang w:eastAsia="de-DE"/>
        </w:rPr>
      </w:pPr>
      <w:r w:rsidRPr="00BC19F0">
        <w:rPr>
          <w:lang w:eastAsia="de-DE"/>
        </w:rPr>
        <w:t>F</w:t>
      </w:r>
      <w:r w:rsidR="00E24393" w:rsidRPr="00BC19F0">
        <w:rPr>
          <w:lang w:eastAsia="de-DE"/>
        </w:rPr>
        <w:t xml:space="preserve">or each technical replicate of a sample, the number of viable parasites is </w:t>
      </w:r>
      <w:r w:rsidR="00DF5B83" w:rsidRPr="00BC19F0">
        <w:rPr>
          <w:lang w:eastAsia="de-DE"/>
        </w:rPr>
        <w:t>extrapolated</w:t>
      </w:r>
      <w:r w:rsidR="00E24393" w:rsidRPr="00BC19F0">
        <w:rPr>
          <w:lang w:eastAsia="de-DE"/>
        </w:rPr>
        <w:t xml:space="preserve"> using the following equation:</w:t>
      </w:r>
      <w:r w:rsidR="00663328" w:rsidRPr="00BC19F0">
        <w:rPr>
          <w:lang w:eastAsia="de-DE"/>
        </w:rPr>
        <w:tab/>
      </w:r>
      <w:r w:rsidR="00663328" w:rsidRPr="00BC19F0">
        <w:rPr>
          <w:lang w:eastAsia="de-DE"/>
        </w:rPr>
        <w:tab/>
      </w:r>
      <w:r w:rsidR="00663328" w:rsidRPr="00BC19F0">
        <w:rPr>
          <w:lang w:eastAsia="de-DE"/>
        </w:rPr>
        <w:tab/>
      </w:r>
      <w:r w:rsidR="00663328" w:rsidRPr="00BC19F0">
        <w:rPr>
          <w:lang w:eastAsia="de-DE"/>
        </w:rPr>
        <w:tab/>
      </w:r>
      <w:r w:rsidR="00663328" w:rsidRPr="00BC19F0">
        <w:rPr>
          <w:lang w:eastAsia="de-DE"/>
        </w:rPr>
        <w:tab/>
      </w:r>
      <w:r w:rsidR="00663328" w:rsidRPr="00BC19F0">
        <w:rPr>
          <w:lang w:eastAsia="de-DE"/>
        </w:rPr>
        <w:tab/>
      </w:r>
      <w:r w:rsidR="00663328" w:rsidRPr="00BC19F0">
        <w:rPr>
          <w:lang w:eastAsia="de-DE"/>
        </w:rPr>
        <w:tab/>
      </w:r>
    </w:p>
    <w:p w14:paraId="5122180B" w14:textId="519705F5" w:rsidR="005A3ABA" w:rsidRPr="00A47787" w:rsidRDefault="00AF6A59" w:rsidP="00597D8F">
      <w:pPr>
        <w:pStyle w:val="Equation"/>
        <w:numPr>
          <w:ilvl w:val="0"/>
          <w:numId w:val="0"/>
        </w:numPr>
        <w:spacing w:after="160" w:line="264" w:lineRule="auto"/>
        <w:jc w:val="left"/>
      </w:pPr>
      <w:r w:rsidRPr="00BC19F0">
        <w:rPr>
          <w:rFonts w:asciiTheme="minorHAnsi" w:eastAsiaTheme="minorEastAsia" w:hAnsiTheme="minorHAnsi" w:cstheme="minorBidi"/>
          <w:bCs/>
        </w:rPr>
        <w:tab/>
      </w:r>
      <w:r w:rsidRPr="00BC19F0">
        <w:rPr>
          <w:rFonts w:asciiTheme="minorHAnsi" w:eastAsiaTheme="minorEastAsia" w:hAnsiTheme="minorHAnsi" w:cstheme="minorBidi"/>
          <w:bCs/>
        </w:rPr>
        <w:tab/>
      </w:r>
      <w:r w:rsidRPr="00BC19F0">
        <w:rPr>
          <w:rFonts w:asciiTheme="minorHAnsi" w:eastAsiaTheme="minorEastAsia" w:hAnsiTheme="minorHAnsi" w:cstheme="minorBidi"/>
          <w:bCs/>
        </w:rPr>
        <w:tab/>
      </w:r>
      <w:r w:rsidRPr="00BC19F0">
        <w:rPr>
          <w:rFonts w:asciiTheme="minorHAnsi" w:eastAsiaTheme="minorEastAsia" w:hAnsiTheme="minorHAnsi" w:cstheme="minorBidi"/>
          <w:bCs/>
        </w:rPr>
        <w:tab/>
      </w:r>
      <w:r w:rsidRPr="00BC19F0">
        <w:rPr>
          <w:rFonts w:asciiTheme="minorHAnsi" w:eastAsiaTheme="minorEastAsia" w:hAnsiTheme="minorHAnsi" w:cstheme="minorBidi"/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viable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 &amp;n≥1</m:t>
                </m:r>
              </m:e>
              <m:e>
                <m:r>
                  <w:rPr>
                    <w:rFonts w:ascii="Cambria Math" w:hAnsi="Cambria Math"/>
                  </w:rPr>
                  <m:t xml:space="preserve">0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 &amp;n=0</m:t>
                </m:r>
              </m:e>
            </m:eqArr>
          </m:e>
        </m:d>
      </m:oMath>
      <w:r w:rsidRPr="00BC19F0">
        <w:t xml:space="preserve"> </w:t>
      </w:r>
      <w:r w:rsidRPr="00BC19F0">
        <w:tab/>
      </w:r>
      <w:r w:rsidRPr="00BC19F0">
        <w:tab/>
      </w:r>
      <w:r w:rsidR="00DF6856">
        <w:tab/>
      </w:r>
      <w:r w:rsidRPr="00BC19F0">
        <w:tab/>
        <w:t>eq. (1)</w:t>
      </w:r>
    </w:p>
    <w:p w14:paraId="799B20A2" w14:textId="134614A9" w:rsidR="00020027" w:rsidRPr="00BC19F0" w:rsidRDefault="006D4925" w:rsidP="00597D8F">
      <w:pPr>
        <w:rPr>
          <w:lang w:eastAsia="de-DE"/>
        </w:rPr>
      </w:pPr>
      <w:r>
        <w:rPr>
          <w:lang w:eastAsia="de-DE"/>
        </w:rPr>
        <w:t>w</w:t>
      </w:r>
      <w:r w:rsidR="007C1A7F">
        <w:rPr>
          <w:lang w:eastAsia="de-DE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P</m:t>
            </m:r>
          </m:e>
          <m:sub>
            <m:r>
              <w:rPr>
                <w:rFonts w:ascii="Cambria Math" w:hAnsi="Cambria Math"/>
                <w:lang w:val="en-GB" w:eastAsia="de-DE"/>
              </w:rPr>
              <m:t>viable</m:t>
            </m:r>
          </m:sub>
        </m:sSub>
      </m:oMath>
      <w:r w:rsidR="00E24393" w:rsidRPr="00BC19F0">
        <w:rPr>
          <w:lang w:eastAsia="de-DE"/>
        </w:rPr>
        <w:t xml:space="preserve"> represent</w:t>
      </w:r>
      <w:r w:rsidR="007C1A7F">
        <w:rPr>
          <w:lang w:eastAsia="de-DE"/>
        </w:rPr>
        <w:t>s</w:t>
      </w:r>
      <w:r w:rsidR="00E24393" w:rsidRPr="00BC19F0">
        <w:rPr>
          <w:lang w:eastAsia="de-DE"/>
        </w:rPr>
        <w:t xml:space="preserve"> the number of viable parasites, </w:t>
      </w:r>
      <m:oMath>
        <m:r>
          <w:rPr>
            <w:rFonts w:ascii="Cambria Math" w:hAnsi="Cambria Math"/>
            <w:lang w:eastAsia="de-DE"/>
          </w:rPr>
          <m:t>X</m:t>
        </m:r>
      </m:oMath>
      <w:r w:rsidR="00E24393" w:rsidRPr="00BC19F0">
        <w:rPr>
          <w:lang w:eastAsia="de-DE"/>
        </w:rPr>
        <w:t xml:space="preserve"> the dilution factor used for serial dilution, and </w:t>
      </w:r>
      <m:oMath>
        <m:r>
          <w:rPr>
            <w:rFonts w:ascii="Cambria Math" w:hAnsi="Cambria Math"/>
            <w:lang w:eastAsia="de-DE"/>
          </w:rPr>
          <m:t>n</m:t>
        </m:r>
      </m:oMath>
      <w:r w:rsidR="00E24393" w:rsidRPr="00BC19F0">
        <w:rPr>
          <w:lang w:eastAsia="de-DE"/>
        </w:rPr>
        <w:t xml:space="preserve"> the number of wells with </w:t>
      </w:r>
      <w:r w:rsidR="007C1A7F">
        <w:rPr>
          <w:lang w:eastAsia="de-DE"/>
        </w:rPr>
        <w:t xml:space="preserve">detected </w:t>
      </w:r>
      <w:r w:rsidR="00E24393" w:rsidRPr="00BC19F0">
        <w:rPr>
          <w:lang w:eastAsia="de-DE"/>
        </w:rPr>
        <w:t xml:space="preserve">parasite growth </w:t>
      </w:r>
      <w:r w:rsidR="002C520B" w:rsidRPr="00BC19F0">
        <w:rPr>
          <w:lang w:eastAsia="de-DE"/>
        </w:rPr>
        <w:fldChar w:fldCharType="begin">
          <w:fldData xml:space="preserve">PEVuZE5vdGU+PENpdGU+PEF1dGhvcj5TYW56PC9BdXRob3I+PFllYXI+MjAxMjwvWWVhcj48UmVj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</w:fldData>
        </w:fldChar>
      </w:r>
      <w:r w:rsidR="00196708" w:rsidRPr="00BC19F0">
        <w:rPr>
          <w:lang w:eastAsia="de-DE"/>
        </w:rPr>
        <w:instrText xml:space="preserve"> ADDIN EN.CITE </w:instrText>
      </w:r>
      <w:r w:rsidR="00196708" w:rsidRPr="00BC19F0">
        <w:rPr>
          <w:lang w:eastAsia="de-DE"/>
        </w:rPr>
        <w:fldChar w:fldCharType="begin">
          <w:fldData xml:space="preserve">PEVuZE5vdGU+PENpdGU+PEF1dGhvcj5TYW56PC9BdXRob3I+PFllYXI+MjAxMjwvWWVhcj48UmVj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</w:fldData>
        </w:fldChar>
      </w:r>
      <w:r w:rsidR="00196708" w:rsidRPr="00BC19F0">
        <w:rPr>
          <w:lang w:eastAsia="de-DE"/>
        </w:rPr>
        <w:instrText xml:space="preserve"> ADDIN EN.CITE.DATA </w:instrText>
      </w:r>
      <w:r w:rsidR="00196708" w:rsidRPr="00BC19F0">
        <w:rPr>
          <w:lang w:eastAsia="de-DE"/>
        </w:rPr>
      </w:r>
      <w:r w:rsidR="00196708" w:rsidRPr="00BC19F0">
        <w:rPr>
          <w:lang w:eastAsia="de-DE"/>
        </w:rPr>
        <w:fldChar w:fldCharType="end"/>
      </w:r>
      <w:r w:rsidR="002C520B" w:rsidRPr="00BC19F0">
        <w:rPr>
          <w:lang w:eastAsia="de-DE"/>
        </w:rPr>
      </w:r>
      <w:r w:rsidR="002C520B" w:rsidRPr="00BC19F0">
        <w:rPr>
          <w:lang w:eastAsia="de-DE"/>
        </w:rPr>
        <w:fldChar w:fldCharType="separate"/>
      </w:r>
      <w:r w:rsidR="00196708" w:rsidRPr="00BC19F0">
        <w:rPr>
          <w:noProof/>
          <w:lang w:eastAsia="de-DE"/>
        </w:rPr>
        <w:t>(1)</w:t>
      </w:r>
      <w:r w:rsidR="002C520B" w:rsidRPr="00BC19F0">
        <w:rPr>
          <w:lang w:eastAsia="de-DE"/>
        </w:rPr>
        <w:fldChar w:fldCharType="end"/>
      </w:r>
      <w:r w:rsidR="00E24393" w:rsidRPr="00BC19F0">
        <w:rPr>
          <w:lang w:eastAsia="de-DE"/>
        </w:rPr>
        <w:t>.</w:t>
      </w:r>
      <w:r w:rsidR="001B0B6B" w:rsidRPr="00BC19F0">
        <w:rPr>
          <w:lang w:eastAsia="de-DE"/>
        </w:rPr>
        <w:t xml:space="preserve"> </w:t>
      </w:r>
      <w:r w:rsidR="007C1A7F">
        <w:rPr>
          <w:lang w:eastAsia="de-DE"/>
        </w:rPr>
        <w:t>In the case of</w:t>
      </w:r>
      <w:r w:rsidR="001B0B6B" w:rsidRPr="00BC19F0">
        <w:rPr>
          <w:lang w:eastAsia="de-DE"/>
        </w:rPr>
        <w:t xml:space="preserve"> </w:t>
      </w:r>
      <m:oMath>
        <m:r>
          <w:rPr>
            <w:rFonts w:ascii="Cambria Math" w:hAnsi="Cambria Math"/>
            <w:lang w:eastAsia="de-DE"/>
          </w:rPr>
          <m:t>n = 0</m:t>
        </m:r>
      </m:oMath>
      <w:r w:rsidR="00020027" w:rsidRPr="00BC19F0">
        <w:rPr>
          <w:lang w:eastAsia="de-DE"/>
        </w:rPr>
        <w:t xml:space="preserve">, the number of viable parasites is </w:t>
      </w:r>
      <w:r w:rsidR="00E52397">
        <w:rPr>
          <w:lang w:eastAsia="de-DE"/>
        </w:rPr>
        <w:t xml:space="preserve">considered to be </w:t>
      </w:r>
      <w:r w:rsidR="00020027" w:rsidRPr="00BC19F0">
        <w:rPr>
          <w:lang w:eastAsia="de-DE"/>
        </w:rPr>
        <w:t>zero.</w:t>
      </w:r>
    </w:p>
    <w:p w14:paraId="7B4B9B5B" w14:textId="445441A8" w:rsidR="006C15EA" w:rsidRDefault="00020027" w:rsidP="00597D8F">
      <w:pPr>
        <w:rPr>
          <w:lang w:eastAsia="de-DE"/>
        </w:rPr>
      </w:pPr>
      <w:r w:rsidRPr="00D76F48">
        <w:rPr>
          <w:lang w:eastAsia="de-DE"/>
        </w:rPr>
        <w:t>The number of viable parasites</w:t>
      </w:r>
      <w:r w:rsidR="007C1A7F">
        <w:rPr>
          <w:lang w:eastAsia="de-DE"/>
        </w:rPr>
        <w:t xml:space="preserve"> at each sample time</w:t>
      </w:r>
      <w:r w:rsidRPr="00D76F48">
        <w:rPr>
          <w:lang w:eastAsia="de-DE"/>
        </w:rPr>
        <w:t xml:space="preserve"> </w:t>
      </w:r>
      <w:r w:rsidR="007C1A7F">
        <w:rPr>
          <w:lang w:eastAsia="de-DE"/>
        </w:rPr>
        <w:t xml:space="preserve">is then normalized </w:t>
      </w:r>
      <w:r w:rsidR="006C15EA">
        <w:rPr>
          <w:lang w:eastAsia="de-DE"/>
        </w:rPr>
        <w:t>as follow</w:t>
      </w:r>
      <w:r w:rsidR="00A765D9">
        <w:rPr>
          <w:lang w:eastAsia="de-DE"/>
        </w:rPr>
        <w:t>s</w:t>
      </w:r>
      <w:r w:rsidR="006C15EA">
        <w:rPr>
          <w:lang w:eastAsia="de-DE"/>
        </w:rPr>
        <w:t>:</w:t>
      </w:r>
    </w:p>
    <w:p w14:paraId="07382CB0" w14:textId="26F0BEDB" w:rsidR="006C15EA" w:rsidRDefault="00A511B6" w:rsidP="00597D8F">
      <w:pPr>
        <w:rPr>
          <w:lang w:eastAsia="de-D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de-DE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de-DE"/>
                              </w:rPr>
                              <m:t>10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de-D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 w:eastAsia="de-DE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 w:eastAsia="de-D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 w:eastAsia="de-DE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 w:eastAsia="de-DE"/>
                                  </w:rPr>
                                  <m:t>viable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 w:eastAsia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 w:eastAsia="de-DE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GB" w:eastAsia="de-DE"/>
                              </w:rPr>
                              <m:t>+1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 w:eastAsia="de-DE"/>
                              </w:rPr>
                            </m:ctrlP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eastAsia="de-DE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de-DE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de-DE"/>
                              </w:rPr>
                              <m:t>10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de-D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 w:eastAsia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 w:eastAsia="de-DE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 w:eastAsia="de-DE"/>
                                  </w:rPr>
                                  <m:t>viable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 w:eastAsia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GB" w:eastAsia="de-DE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GB" w:eastAsia="de-DE"/>
                              </w:rPr>
                              <m:t>+1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 w:eastAsia="de-DE"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de-DE"/>
                      </w:rPr>
                      <m:t>=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de-DE"/>
                          </w:rPr>
                          <m:t>5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de-DE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de-D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de-DE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de-DE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de-D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 w:eastAsia="de-D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 w:eastAsia="de-DE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 w:eastAsia="de-DE"/>
                                      </w:rPr>
                                      <m:t>viable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 w:eastAsia="de-D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 w:eastAsia="de-DE"/>
                                      </w:rPr>
                                      <m:t>t=0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 w:eastAsia="de-DE"/>
                                      </w:rPr>
                                      <m:t>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GB" w:eastAsia="de-DE"/>
                                  </w:rPr>
                                  <m:t>+1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 w:eastAsia="de-DE"/>
                                  </w:rPr>
                                </m:ctrlP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14:paraId="1A044B9E" w14:textId="5972B1CC" w:rsidR="007A7A9E" w:rsidRPr="00D76F48" w:rsidRDefault="006C15EA" w:rsidP="00597D8F">
      <w:pPr>
        <w:rPr>
          <w:lang w:eastAsia="de-DE"/>
        </w:rPr>
      </w:pPr>
      <w:r>
        <w:rPr>
          <w:lang w:eastAsia="de-DE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N</m:t>
            </m:r>
          </m:e>
          <m:sub>
            <m:r>
              <w:rPr>
                <w:rFonts w:ascii="Cambria Math" w:hAnsi="Cambria Math"/>
                <w:lang w:eastAsia="de-DE"/>
              </w:rPr>
              <m:t>0</m:t>
            </m:r>
          </m:sub>
        </m:sSub>
      </m:oMath>
      <w:r>
        <w:rPr>
          <w:lang w:eastAsia="de-DE"/>
        </w:rPr>
        <w:t xml:space="preserve"> is the normalization factor and </w:t>
      </w:r>
      <m:oMath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 w:eastAsia="de-DE"/>
                  </w:rPr>
                </m:ctrlPr>
              </m:accPr>
              <m:e>
                <m:r>
                  <w:rPr>
                    <w:rFonts w:ascii="Cambria Math" w:hAnsi="Cambria Math"/>
                    <w:lang w:val="en-GB" w:eastAsia="de-DE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en-GB" w:eastAsia="de-DE"/>
              </w:rPr>
              <m:t>viable</m:t>
            </m:r>
          </m:sub>
        </m:sSub>
        <m:d>
          <m:dPr>
            <m:ctrlPr>
              <w:rPr>
                <w:rFonts w:ascii="Cambria Math" w:hAnsi="Cambria Math"/>
                <w:i/>
                <w:lang w:val="en-GB" w:eastAsia="de-DE"/>
              </w:rPr>
            </m:ctrlPr>
          </m:dPr>
          <m:e>
            <m:r>
              <w:rPr>
                <w:rFonts w:ascii="Cambria Math" w:hAnsi="Cambria Math"/>
                <w:lang w:val="en-GB" w:eastAsia="de-DE"/>
              </w:rPr>
              <m:t>t</m:t>
            </m:r>
          </m:e>
        </m:d>
      </m:oMath>
      <w:r>
        <w:rPr>
          <w:rFonts w:eastAsiaTheme="minorEastAsia"/>
          <w:lang w:val="en-GB" w:eastAsia="de-DE"/>
        </w:rPr>
        <w:t xml:space="preserve"> the normalized level of parasites. </w:t>
      </w:r>
      <w:r>
        <w:rPr>
          <w:lang w:eastAsia="de-DE"/>
        </w:rPr>
        <w:t xml:space="preserve">This normalization corrects </w:t>
      </w:r>
      <m:oMath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P</m:t>
            </m:r>
          </m:e>
          <m:sub>
            <m:r>
              <w:rPr>
                <w:rFonts w:ascii="Cambria Math" w:hAnsi="Cambria Math"/>
                <w:lang w:val="en-GB" w:eastAsia="de-DE"/>
              </w:rPr>
              <m:t>viable</m:t>
            </m:r>
          </m:sub>
        </m:sSub>
        <m:d>
          <m:dPr>
            <m:ctrlPr>
              <w:rPr>
                <w:rFonts w:ascii="Cambria Math" w:hAnsi="Cambria Math"/>
                <w:i/>
                <w:lang w:val="en-GB" w:eastAsia="de-DE"/>
              </w:rPr>
            </m:ctrlPr>
          </m:dPr>
          <m:e>
            <m:r>
              <w:rPr>
                <w:rFonts w:ascii="Cambria Math" w:hAnsi="Cambria Math"/>
                <w:lang w:val="en-GB" w:eastAsia="de-DE"/>
              </w:rPr>
              <m:t>t=0</m:t>
            </m:r>
            <m:r>
              <m:rPr>
                <m:sty m:val="p"/>
              </m:rPr>
              <w:rPr>
                <w:rFonts w:ascii="Cambria Math" w:hAnsi="Cambria Math"/>
                <w:lang w:val="en-GB" w:eastAsia="de-DE"/>
              </w:rPr>
              <m:t>h</m:t>
            </m:r>
          </m:e>
        </m:d>
      </m:oMath>
      <w:r w:rsidR="00140F44">
        <w:rPr>
          <w:rFonts w:eastAsiaTheme="minorEastAsia"/>
          <w:lang w:val="en-GB" w:eastAsia="de-DE"/>
        </w:rPr>
        <w:t xml:space="preserve"> </w:t>
      </w:r>
      <w:r>
        <w:rPr>
          <w:rFonts w:eastAsiaTheme="minorEastAsia"/>
          <w:lang w:val="en-GB" w:eastAsia="de-DE"/>
        </w:rPr>
        <w:t xml:space="preserve">such that it </w:t>
      </w:r>
      <w:r w:rsidR="00140F44">
        <w:rPr>
          <w:rFonts w:eastAsiaTheme="minorEastAsia"/>
          <w:lang w:val="en-GB" w:eastAsia="de-DE"/>
        </w:rPr>
        <w:t xml:space="preserve">equals </w:t>
      </w:r>
      <w:r w:rsidR="005F770E" w:rsidRPr="00D76F48">
        <w:rPr>
          <w:lang w:eastAsia="de-DE"/>
        </w:rPr>
        <w:t>~10</w:t>
      </w:r>
      <w:r w:rsidR="005F770E" w:rsidRPr="00D76F48">
        <w:rPr>
          <w:vertAlign w:val="superscript"/>
          <w:lang w:eastAsia="de-DE"/>
        </w:rPr>
        <w:t>5</w:t>
      </w:r>
      <w:r w:rsidR="005F770E" w:rsidRPr="00D76F48">
        <w:rPr>
          <w:lang w:eastAsia="de-DE"/>
        </w:rPr>
        <w:t xml:space="preserve"> parasites in </w:t>
      </w:r>
      <w:r w:rsidR="007C1A7F">
        <w:rPr>
          <w:lang w:eastAsia="de-DE"/>
        </w:rPr>
        <w:t xml:space="preserve">a </w:t>
      </w:r>
      <w:r w:rsidR="005F770E" w:rsidRPr="00D76F48">
        <w:rPr>
          <w:lang w:eastAsia="de-DE"/>
        </w:rPr>
        <w:t xml:space="preserve">267 </w:t>
      </w:r>
      <w:r w:rsidR="005F770E" w:rsidRPr="00D76F48">
        <w:rPr>
          <w:rFonts w:cstheme="minorHAnsi"/>
          <w:lang w:eastAsia="de-DE"/>
        </w:rPr>
        <w:t>μ</w:t>
      </w:r>
      <w:r w:rsidR="005F770E" w:rsidRPr="00D76F48">
        <w:rPr>
          <w:lang w:eastAsia="de-DE"/>
        </w:rPr>
        <w:t>l sample from a culture of 0.3% parasitaemia and 1.25% hematocrit</w:t>
      </w:r>
      <w:r>
        <w:rPr>
          <w:lang w:eastAsia="de-DE"/>
        </w:rPr>
        <w:t>, and</w:t>
      </w:r>
      <w:r w:rsidR="00F63739" w:rsidRPr="00D76F48">
        <w:rPr>
          <w:lang w:eastAsia="de-DE"/>
        </w:rPr>
        <w:t xml:space="preserve"> enables comparison between different experiments</w:t>
      </w:r>
      <w:r w:rsidR="002C520B" w:rsidRPr="00D76F48">
        <w:rPr>
          <w:lang w:eastAsia="de-DE"/>
        </w:rPr>
        <w:t xml:space="preserve"> </w:t>
      </w:r>
      <w:r w:rsidR="002C520B" w:rsidRPr="00D76F48">
        <w:rPr>
          <w:lang w:eastAsia="de-DE"/>
        </w:rPr>
        <w:fldChar w:fldCharType="begin">
          <w:fldData xml:space="preserve">PEVuZE5vdGU+PENpdGU+PEF1dGhvcj5TYW56PC9BdXRob3I+PFllYXI+MjAxMjwvWWVhcj48UmVj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</w:fldData>
        </w:fldChar>
      </w:r>
      <w:r w:rsidR="00196708" w:rsidRPr="00140F44">
        <w:rPr>
          <w:lang w:eastAsia="de-DE"/>
        </w:rPr>
        <w:instrText xml:space="preserve"> ADDIN EN.CITE </w:instrText>
      </w:r>
      <w:r w:rsidR="00196708" w:rsidRPr="00140F44">
        <w:rPr>
          <w:lang w:eastAsia="de-DE"/>
        </w:rPr>
        <w:fldChar w:fldCharType="begin">
          <w:fldData xml:space="preserve">PEVuZE5vdGU+PENpdGU+PEF1dGhvcj5TYW56PC9BdXRob3I+PFllYXI+MjAxMjwvWWVhcj48UmVj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</w:fldData>
        </w:fldChar>
      </w:r>
      <w:r w:rsidR="00196708" w:rsidRPr="00140F44">
        <w:rPr>
          <w:lang w:eastAsia="de-DE"/>
        </w:rPr>
        <w:instrText xml:space="preserve"> ADDIN EN.CITE.DATA </w:instrText>
      </w:r>
      <w:r w:rsidR="00196708" w:rsidRPr="00140F44">
        <w:rPr>
          <w:lang w:eastAsia="de-DE"/>
        </w:rPr>
      </w:r>
      <w:r w:rsidR="00196708" w:rsidRPr="00140F44">
        <w:rPr>
          <w:lang w:eastAsia="de-DE"/>
        </w:rPr>
        <w:fldChar w:fldCharType="end"/>
      </w:r>
      <w:r w:rsidR="002C520B" w:rsidRPr="00D76F48">
        <w:rPr>
          <w:lang w:eastAsia="de-DE"/>
        </w:rPr>
      </w:r>
      <w:r w:rsidR="002C520B" w:rsidRPr="00D76F48">
        <w:rPr>
          <w:lang w:eastAsia="de-DE"/>
        </w:rPr>
        <w:fldChar w:fldCharType="separate"/>
      </w:r>
      <w:r w:rsidR="00196708" w:rsidRPr="00D76F48">
        <w:rPr>
          <w:noProof/>
          <w:lang w:eastAsia="de-DE"/>
        </w:rPr>
        <w:t>(1)</w:t>
      </w:r>
      <w:r w:rsidR="002C520B" w:rsidRPr="00D76F48">
        <w:rPr>
          <w:lang w:eastAsia="de-DE"/>
        </w:rPr>
        <w:fldChar w:fldCharType="end"/>
      </w:r>
      <w:r w:rsidR="00F63739" w:rsidRPr="00D76F48">
        <w:rPr>
          <w:lang w:eastAsia="de-DE"/>
        </w:rPr>
        <w:t>.</w:t>
      </w:r>
    </w:p>
    <w:p w14:paraId="4458ACCB" w14:textId="1B63ED3A" w:rsidR="000F7433" w:rsidRPr="00D76F48" w:rsidRDefault="00B725E7" w:rsidP="00597D8F">
      <w:pPr>
        <w:rPr>
          <w:lang w:eastAsia="de-DE"/>
        </w:rPr>
      </w:pPr>
      <w:r w:rsidRPr="00D76F48">
        <w:rPr>
          <w:lang w:eastAsia="de-DE"/>
        </w:rPr>
        <w:t xml:space="preserve">The normalized data </w:t>
      </w:r>
      <w:r w:rsidR="00140F44">
        <w:rPr>
          <w:lang w:eastAsia="de-DE"/>
        </w:rPr>
        <w:t>is then</w:t>
      </w:r>
      <w:r w:rsidR="000F7433" w:rsidRPr="00D76F48">
        <w:rPr>
          <w:lang w:eastAsia="de-DE"/>
        </w:rPr>
        <w:t xml:space="preserve"> analyzed in</w:t>
      </w:r>
      <w:r w:rsidRPr="00D76F48">
        <w:rPr>
          <w:lang w:eastAsia="de-DE"/>
        </w:rPr>
        <w:t xml:space="preserve"> R</w:t>
      </w:r>
      <w:r w:rsidR="00B37040" w:rsidRPr="00D76F48">
        <w:rPr>
          <w:lang w:eastAsia="de-DE"/>
        </w:rPr>
        <w:t xml:space="preserve"> (version 4.0.3)</w:t>
      </w:r>
      <w:r w:rsidR="00140F44">
        <w:rPr>
          <w:lang w:eastAsia="de-DE"/>
        </w:rPr>
        <w:t xml:space="preserve"> to derive the growth rate, the lag phase, the rate of parasite decline</w:t>
      </w:r>
      <w:r w:rsidR="000951A0">
        <w:rPr>
          <w:lang w:eastAsia="de-DE"/>
        </w:rPr>
        <w:t xml:space="preserve">, </w:t>
      </w:r>
      <w:r w:rsidR="008750A6">
        <w:rPr>
          <w:lang w:eastAsia="de-DE"/>
        </w:rPr>
        <w:t xml:space="preserve">the PRR </w:t>
      </w:r>
      <w:r w:rsidR="000951A0">
        <w:rPr>
          <w:lang w:eastAsia="de-DE"/>
        </w:rPr>
        <w:t>and the 99.9% parasite clearance time</w:t>
      </w:r>
      <w:r w:rsidR="006D4925">
        <w:rPr>
          <w:lang w:eastAsia="de-DE"/>
        </w:rPr>
        <w:t>.</w:t>
      </w:r>
      <w:r w:rsidR="000F7433" w:rsidRPr="00D76F48">
        <w:rPr>
          <w:lang w:eastAsia="de-DE"/>
        </w:rPr>
        <w:t xml:space="preserve"> </w:t>
      </w:r>
    </w:p>
    <w:p w14:paraId="277079DE" w14:textId="5774FA7F" w:rsidR="006D4925" w:rsidRDefault="00E459A6" w:rsidP="00597D8F">
      <w:pPr>
        <w:rPr>
          <w:lang w:eastAsia="de-DE"/>
        </w:rPr>
      </w:pPr>
      <w:r>
        <w:rPr>
          <w:lang w:eastAsia="de-DE"/>
        </w:rPr>
        <w:t>The</w:t>
      </w:r>
      <w:r w:rsidR="000951A0">
        <w:rPr>
          <w:lang w:eastAsia="de-DE"/>
        </w:rPr>
        <w:t xml:space="preserve"> lag time and rate of parasite decline is estimated </w:t>
      </w:r>
      <w:r w:rsidR="00140F44">
        <w:rPr>
          <w:lang w:eastAsia="de-DE"/>
        </w:rPr>
        <w:t>f</w:t>
      </w:r>
      <w:r w:rsidR="00215DAA" w:rsidRPr="00D76F48">
        <w:rPr>
          <w:lang w:eastAsia="de-DE"/>
        </w:rPr>
        <w:t>or each compound</w:t>
      </w:r>
      <w:r w:rsidR="000951A0">
        <w:rPr>
          <w:lang w:eastAsia="de-DE"/>
        </w:rPr>
        <w:t xml:space="preserve"> assuming</w:t>
      </w:r>
      <w:r w:rsidR="00251621">
        <w:rPr>
          <w:lang w:eastAsia="de-DE"/>
        </w:rPr>
        <w:t xml:space="preserve"> </w:t>
      </w:r>
      <w:r w:rsidR="00315A65" w:rsidRPr="00D76F48">
        <w:rPr>
          <w:lang w:eastAsia="de-DE"/>
        </w:rPr>
        <w:t>non-linear</w:t>
      </w:r>
      <w:r w:rsidR="006D4925">
        <w:rPr>
          <w:lang w:eastAsia="de-DE"/>
        </w:rPr>
        <w:t xml:space="preserve"> relationship between duration of exposition</w:t>
      </w:r>
      <w:r w:rsidR="00D34C52">
        <w:rPr>
          <w:lang w:eastAsia="de-DE"/>
        </w:rPr>
        <w:t xml:space="preserve"> to a given compound</w:t>
      </w:r>
      <w:r w:rsidR="006D4925">
        <w:rPr>
          <w:lang w:eastAsia="de-DE"/>
        </w:rPr>
        <w:t xml:space="preserve"> </w:t>
      </w:r>
      <m:oMath>
        <m:r>
          <w:rPr>
            <w:rFonts w:ascii="Cambria Math" w:hAnsi="Cambria Math"/>
            <w:lang w:eastAsia="de-DE"/>
          </w:rPr>
          <m:t>t</m:t>
        </m:r>
      </m:oMath>
      <w:r w:rsidR="006D4925">
        <w:rPr>
          <w:lang w:eastAsia="de-DE"/>
        </w:rPr>
        <w:t xml:space="preserve"> and number of viable </w:t>
      </w:r>
      <w:r w:rsidR="00D34C52">
        <w:rPr>
          <w:lang w:eastAsia="de-DE"/>
        </w:rPr>
        <w:t xml:space="preserve">parasites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accPr>
              <m:e>
                <m:r>
                  <w:rPr>
                    <w:rFonts w:ascii="Cambria Math" w:hAnsi="Cambria Math"/>
                    <w:lang w:eastAsia="de-DE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eastAsia="de-DE"/>
              </w:rPr>
              <m:t>viable</m:t>
            </m:r>
          </m:sub>
        </m:sSub>
      </m:oMath>
      <w:r w:rsidR="006D4925">
        <w:rPr>
          <w:lang w:eastAsia="de-DE"/>
        </w:rPr>
        <w:t>.</w:t>
      </w:r>
      <w:r w:rsidR="006D4925" w:rsidRPr="00D76F48">
        <w:rPr>
          <w:lang w:eastAsia="de-DE"/>
        </w:rPr>
        <w:t>The formula consists of a lag phase, a linear phase and a tail phase</w:t>
      </w:r>
      <w:r w:rsidR="006D4925">
        <w:rPr>
          <w:lang w:eastAsia="de-DE"/>
        </w:rPr>
        <w:t xml:space="preserve"> expressed as:</w:t>
      </w:r>
    </w:p>
    <w:p w14:paraId="08D4D800" w14:textId="268EF403" w:rsidR="006D4925" w:rsidRPr="00BC19F0" w:rsidRDefault="00DF6856" w:rsidP="00597D8F">
      <w:pPr>
        <w:pStyle w:val="Equation"/>
        <w:numPr>
          <w:ilvl w:val="0"/>
          <w:numId w:val="0"/>
        </w:numPr>
        <w:spacing w:after="160" w:line="264" w:lineRule="auto"/>
        <w:jc w:val="center"/>
      </w:pPr>
      <w:r>
        <w:rPr>
          <w:rFonts w:asciiTheme="minorHAnsi" w:eastAsiaTheme="minorEastAsia" w:hAnsiTheme="minorHAnsi" w:cstheme="minorBidi"/>
        </w:rPr>
        <w:tab/>
      </w:r>
      <w:r>
        <w:rPr>
          <w:rFonts w:asciiTheme="minorHAnsi" w:eastAsiaTheme="minorEastAsia" w:hAnsiTheme="minorHAnsi" w:cstheme="minorBidi"/>
        </w:rPr>
        <w:tab/>
      </w:r>
      <w:r>
        <w:rPr>
          <w:rFonts w:asciiTheme="minorHAnsi" w:eastAsiaTheme="minorEastAsia" w:hAnsiTheme="minorHAnsi" w:cstheme="minorBidi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-a⋅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t-lag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+5, minima</m:t>
                        </m:r>
                      </m:e>
                    </m:d>
                  </m:e>
                </m:func>
              </m:e>
            </m:d>
          </m:e>
        </m:func>
      </m:oMath>
      <w:r>
        <w:tab/>
      </w:r>
      <w:r>
        <w:tab/>
      </w:r>
      <w:r>
        <w:tab/>
      </w:r>
      <w:r w:rsidR="006D4925" w:rsidRPr="00BC19F0">
        <w:t>eq. (2)</w:t>
      </w:r>
    </w:p>
    <w:p w14:paraId="3FC6427A" w14:textId="21F885D2" w:rsidR="006D4925" w:rsidRDefault="000951A0" w:rsidP="00597D8F">
      <w:pPr>
        <w:rPr>
          <w:lang w:eastAsia="de-DE"/>
        </w:rPr>
      </w:pPr>
      <w:r>
        <w:rPr>
          <w:lang w:eastAsia="de-DE"/>
        </w:rPr>
        <w:t>w</w:t>
      </w:r>
      <w:r w:rsidR="006D4925">
        <w:rPr>
          <w:lang w:eastAsia="de-DE"/>
        </w:rPr>
        <w:t>here</w:t>
      </w:r>
      <w:r w:rsidR="00D34C52">
        <w:rPr>
          <w:lang w:eastAsia="de-DE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34C52">
        <w:rPr>
          <w:rFonts w:eastAsiaTheme="minorEastAsia"/>
        </w:rPr>
        <w:t xml:space="preserve"> equals to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de-DE"/>
                      </w:rPr>
                      <m:t>viable</m:t>
                    </m:r>
                  </m:sub>
                </m:sSub>
                <m:r>
                  <w:rPr>
                    <w:rFonts w:ascii="Cambria Math" w:hAnsi="Cambria Math"/>
                    <w:lang w:eastAsia="de-DE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lang w:eastAsia="de-DE"/>
              </w:rPr>
            </m:ctrlPr>
          </m:e>
        </m:func>
      </m:oMath>
      <w:r w:rsidR="00D34C52">
        <w:rPr>
          <w:rFonts w:eastAsiaTheme="minorEastAsia"/>
          <w:lang w:eastAsia="de-DE"/>
        </w:rPr>
        <w:t>, and</w:t>
      </w:r>
      <w:r w:rsidR="00D34C52">
        <w:rPr>
          <w:lang w:eastAsia="de-DE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6D4925">
        <w:rPr>
          <w:rFonts w:eastAsiaTheme="minorEastAsia"/>
        </w:rPr>
        <w:t xml:space="preserve"> represent</w:t>
      </w:r>
      <w:r w:rsidR="00D34C52">
        <w:rPr>
          <w:rFonts w:eastAsiaTheme="minorEastAsia"/>
        </w:rPr>
        <w:t>s</w:t>
      </w:r>
      <w:r w:rsidR="006D4925">
        <w:rPr>
          <w:rFonts w:eastAsiaTheme="minorEastAsia"/>
        </w:rPr>
        <w:t xml:space="preserve"> the parasite decline rate, </w:t>
      </w:r>
      <m:oMath>
        <m:r>
          <w:rPr>
            <w:rFonts w:ascii="Cambria Math" w:eastAsiaTheme="minorEastAsia" w:hAnsi="Cambria Math"/>
          </w:rPr>
          <m:t>lag</m:t>
        </m:r>
      </m:oMath>
      <w:r w:rsidR="006D4925">
        <w:rPr>
          <w:rFonts w:eastAsiaTheme="minorEastAsia"/>
        </w:rPr>
        <w:t xml:space="preserve"> the lag phase</w:t>
      </w:r>
      <w:r w:rsidR="00D34C5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minima</m:t>
        </m:r>
      </m:oMath>
      <w:r w:rsidR="00D34C52">
        <w:rPr>
          <w:rFonts w:eastAsiaTheme="minorEastAsia"/>
        </w:rPr>
        <w:t xml:space="preserve"> the tail taken as </w:t>
      </w:r>
      <w:r w:rsidR="00D34C52" w:rsidRPr="00BC19F0">
        <w:rPr>
          <w:lang w:eastAsia="de-DE"/>
        </w:rPr>
        <w:t xml:space="preserve">the minimum </w:t>
      </w:r>
      <w:r w:rsidR="00D34C52" w:rsidRPr="00D76F48">
        <w:rPr>
          <w:lang w:eastAsia="de-DE"/>
        </w:rPr>
        <w:t xml:space="preserve">average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de-DE"/>
                      </w:rPr>
                      <m:t>viable</m:t>
                    </m:r>
                  </m:sub>
                </m:sSub>
                <m:r>
                  <w:rPr>
                    <w:rFonts w:ascii="Cambria Math" w:hAnsi="Cambria Math"/>
                    <w:lang w:eastAsia="de-DE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lang w:eastAsia="de-DE"/>
              </w:rPr>
            </m:ctrlPr>
          </m:e>
        </m:func>
      </m:oMath>
      <w:r w:rsidR="00D34C52">
        <w:rPr>
          <w:lang w:eastAsia="de-DE"/>
        </w:rPr>
        <w:t xml:space="preserve"> (however, i</w:t>
      </w:r>
      <w:r w:rsidR="00D34C52" w:rsidRPr="00D76F48">
        <w:rPr>
          <w:lang w:eastAsia="de-DE"/>
        </w:rPr>
        <w:t>f</w:t>
      </w:r>
      <w:r w:rsidR="00D34C52" w:rsidRPr="00BC19F0">
        <w:rPr>
          <w:lang w:eastAsia="de-DE"/>
        </w:rPr>
        <w:t xml:space="preserve"> the</w:t>
      </w:r>
      <w:r w:rsidR="00D34C52">
        <w:rPr>
          <w:lang w:eastAsia="de-DE"/>
        </w:rPr>
        <w:t xml:space="preserve"> drop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  <w:lang w:eastAsia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eastAsia="de-DE"/>
                      </w:rPr>
                      <m:t>viable</m:t>
                    </m:r>
                  </m:sub>
                </m:sSub>
                <m:r>
                  <w:rPr>
                    <w:rFonts w:ascii="Cambria Math" w:hAnsi="Cambria Math"/>
                    <w:lang w:eastAsia="de-DE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  <w:lang w:eastAsia="de-DE"/>
              </w:rPr>
            </m:ctrlPr>
          </m:e>
        </m:func>
      </m:oMath>
      <w:r w:rsidR="00D34C52" w:rsidRPr="00D76F48">
        <w:rPr>
          <w:lang w:eastAsia="de-DE"/>
        </w:rPr>
        <w:t xml:space="preserve"> </w:t>
      </w:r>
      <w:r w:rsidR="00D34C52" w:rsidRPr="00BC19F0">
        <w:rPr>
          <w:lang w:eastAsia="de-DE"/>
        </w:rPr>
        <w:t xml:space="preserve">between 96 and 120 hours is larger than the average standard deviation, </w:t>
      </w:r>
      <m:oMath>
        <m:r>
          <w:rPr>
            <w:rFonts w:ascii="Cambria Math" w:hAnsi="Cambria Math"/>
            <w:lang w:eastAsia="de-DE"/>
          </w:rPr>
          <m:t>minima</m:t>
        </m:r>
      </m:oMath>
      <w:r w:rsidR="00D34C52" w:rsidRPr="00BC19F0">
        <w:rPr>
          <w:lang w:eastAsia="de-DE"/>
        </w:rPr>
        <w:t xml:space="preserve"> is </w:t>
      </w:r>
      <w:r w:rsidR="00D34C52">
        <w:rPr>
          <w:lang w:eastAsia="de-DE"/>
        </w:rPr>
        <w:t>fixed</w:t>
      </w:r>
      <w:r w:rsidR="00D34C52" w:rsidRPr="00BC19F0">
        <w:rPr>
          <w:lang w:eastAsia="de-DE"/>
        </w:rPr>
        <w:t xml:space="preserve"> to </w:t>
      </w:r>
      <w:r w:rsidR="00D34C52">
        <w:rPr>
          <w:lang w:eastAsia="de-DE"/>
        </w:rPr>
        <w:t>0).</w:t>
      </w:r>
    </w:p>
    <w:p w14:paraId="30516776" w14:textId="77908E4E" w:rsidR="00215DAA" w:rsidRPr="00D76F48" w:rsidRDefault="006D4925" w:rsidP="00597D8F">
      <w:pPr>
        <w:rPr>
          <w:lang w:eastAsia="de-DE"/>
        </w:rPr>
      </w:pPr>
      <w:r>
        <w:rPr>
          <w:lang w:eastAsia="de-DE"/>
        </w:rPr>
        <w:t xml:space="preserve">The parameters </w:t>
      </w:r>
      <m:oMath>
        <m:r>
          <w:rPr>
            <w:rFonts w:ascii="Cambria Math" w:hAnsi="Cambria Math"/>
            <w:lang w:eastAsia="de-DE"/>
          </w:rPr>
          <m:t>a</m:t>
        </m:r>
      </m:oMath>
      <w:r w:rsidR="00D34C52">
        <w:rPr>
          <w:lang w:eastAsia="de-DE"/>
        </w:rPr>
        <w:t xml:space="preserve"> and </w:t>
      </w:r>
      <m:oMath>
        <m:r>
          <w:rPr>
            <w:rFonts w:ascii="Cambria Math" w:hAnsi="Cambria Math"/>
            <w:lang w:eastAsia="de-DE"/>
          </w:rPr>
          <m:t>minima</m:t>
        </m:r>
      </m:oMath>
      <w:r w:rsidR="00D34C52">
        <w:rPr>
          <w:lang w:eastAsia="de-DE"/>
        </w:rPr>
        <w:t xml:space="preserve"> </w:t>
      </w:r>
      <w:r>
        <w:rPr>
          <w:lang w:eastAsia="de-DE"/>
        </w:rPr>
        <w:t>of the non-linear model are estimated using the non-linear</w:t>
      </w:r>
      <w:r w:rsidR="00315A65" w:rsidRPr="00D76F48">
        <w:rPr>
          <w:lang w:eastAsia="de-DE"/>
        </w:rPr>
        <w:t xml:space="preserve"> least square</w:t>
      </w:r>
      <w:r w:rsidR="00251621">
        <w:rPr>
          <w:lang w:eastAsia="de-DE"/>
        </w:rPr>
        <w:t>s</w:t>
      </w:r>
      <w:r w:rsidR="006F5C28" w:rsidRPr="00D76F48">
        <w:rPr>
          <w:lang w:eastAsia="de-DE"/>
        </w:rPr>
        <w:t xml:space="preserve"> </w:t>
      </w:r>
      <w:r w:rsidR="00315A65" w:rsidRPr="00D76F48">
        <w:rPr>
          <w:lang w:eastAsia="de-DE"/>
        </w:rPr>
        <w:t xml:space="preserve">function </w:t>
      </w:r>
      <w:r w:rsidR="00140F44" w:rsidRPr="00251621">
        <w:rPr>
          <w:rFonts w:ascii="Consolas" w:hAnsi="Consolas"/>
          <w:lang w:eastAsia="de-DE"/>
        </w:rPr>
        <w:t>nls</w:t>
      </w:r>
      <w:r w:rsidR="00140F44">
        <w:rPr>
          <w:lang w:eastAsia="de-DE"/>
        </w:rPr>
        <w:t xml:space="preserve"> of R</w:t>
      </w:r>
      <w:r w:rsidR="00D34C52">
        <w:rPr>
          <w:lang w:eastAsia="de-DE"/>
        </w:rPr>
        <w:t xml:space="preserve"> for various fixed lag time </w:t>
      </w:r>
      <m:oMath>
        <m:r>
          <w:rPr>
            <w:rFonts w:ascii="Cambria Math" w:hAnsi="Cambria Math"/>
            <w:lang w:eastAsia="de-DE"/>
          </w:rPr>
          <m:t>lag</m:t>
        </m:r>
      </m:oMath>
      <w:r w:rsidR="00140F44">
        <w:rPr>
          <w:lang w:eastAsia="de-DE"/>
        </w:rPr>
        <w:t xml:space="preserve"> </w:t>
      </w:r>
      <w:r w:rsidR="00D34C52" w:rsidRPr="00D76F48">
        <w:rPr>
          <w:lang w:eastAsia="de-DE"/>
        </w:rPr>
        <w:t>(0, 6, 12, 18, […], 72 hours)</w:t>
      </w:r>
      <w:r w:rsidR="00D34C52">
        <w:rPr>
          <w:lang w:eastAsia="de-DE"/>
        </w:rPr>
        <w:t>.</w:t>
      </w:r>
      <w:r w:rsidR="00A33192" w:rsidRPr="00D76F48">
        <w:rPr>
          <w:lang w:eastAsia="de-DE"/>
        </w:rPr>
        <w:t xml:space="preserve"> </w:t>
      </w:r>
      <w:r w:rsidR="000951A0">
        <w:rPr>
          <w:lang w:eastAsia="de-DE"/>
        </w:rPr>
        <w:t xml:space="preserve">The model with </w:t>
      </w:r>
      <w:r w:rsidR="00A33192" w:rsidRPr="00D76F48">
        <w:rPr>
          <w:lang w:eastAsia="de-DE"/>
        </w:rPr>
        <w:t>the best</w:t>
      </w:r>
      <w:r w:rsidR="00B33AF1" w:rsidRPr="00D76F48">
        <w:rPr>
          <w:lang w:eastAsia="de-DE"/>
        </w:rPr>
        <w:t xml:space="preserve"> </w:t>
      </w:r>
      <w:r w:rsidR="00A33192" w:rsidRPr="00D76F48">
        <w:rPr>
          <w:lang w:eastAsia="de-DE"/>
        </w:rPr>
        <w:t>fit (</w:t>
      </w:r>
      <w:r w:rsidR="00D34C52" w:rsidRPr="00251621">
        <w:rPr>
          <w:i/>
          <w:iCs/>
          <w:lang w:eastAsia="de-DE"/>
        </w:rPr>
        <w:t>i.e.</w:t>
      </w:r>
      <w:r w:rsidR="00D34C52">
        <w:rPr>
          <w:lang w:eastAsia="de-DE"/>
        </w:rPr>
        <w:t xml:space="preserve"> </w:t>
      </w:r>
      <w:r w:rsidR="00A33192" w:rsidRPr="00D76F48">
        <w:rPr>
          <w:lang w:eastAsia="de-DE"/>
        </w:rPr>
        <w:t xml:space="preserve">smallest </w:t>
      </w:r>
      <w:r w:rsidR="00A33192" w:rsidRPr="00D76F48">
        <w:rPr>
          <w:rFonts w:cstheme="minorHAnsi"/>
          <w:lang w:eastAsia="de-DE"/>
        </w:rPr>
        <w:t>σ</w:t>
      </w:r>
      <w:r w:rsidR="00A33192" w:rsidRPr="00D76F48">
        <w:rPr>
          <w:lang w:eastAsia="de-DE"/>
        </w:rPr>
        <w:t xml:space="preserve"> value) is considered </w:t>
      </w:r>
      <w:r w:rsidR="00D34C52">
        <w:rPr>
          <w:lang w:eastAsia="de-DE"/>
        </w:rPr>
        <w:t xml:space="preserve">as </w:t>
      </w:r>
      <w:r w:rsidR="00A33192" w:rsidRPr="00D76F48">
        <w:rPr>
          <w:lang w:eastAsia="de-DE"/>
        </w:rPr>
        <w:t>final</w:t>
      </w:r>
      <w:r w:rsidR="00056998" w:rsidRPr="00D76F48">
        <w:rPr>
          <w:lang w:eastAsia="de-DE"/>
        </w:rPr>
        <w:t xml:space="preserve">, unless </w:t>
      </w:r>
      <w:r w:rsidR="00A33192" w:rsidRPr="00D76F48">
        <w:rPr>
          <w:lang w:eastAsia="de-DE"/>
        </w:rPr>
        <w:t xml:space="preserve">one of </w:t>
      </w:r>
      <w:r w:rsidR="00920140" w:rsidRPr="00D76F48">
        <w:rPr>
          <w:lang w:eastAsia="de-DE"/>
        </w:rPr>
        <w:t>four</w:t>
      </w:r>
      <w:r w:rsidR="00A33192" w:rsidRPr="00D76F48">
        <w:rPr>
          <w:lang w:eastAsia="de-DE"/>
        </w:rPr>
        <w:t xml:space="preserve"> </w:t>
      </w:r>
      <w:r w:rsidR="00D76F48">
        <w:rPr>
          <w:lang w:eastAsia="de-DE"/>
        </w:rPr>
        <w:t xml:space="preserve">so-called </w:t>
      </w:r>
      <w:r w:rsidR="00920140" w:rsidRPr="00D76F48">
        <w:rPr>
          <w:lang w:eastAsia="de-DE"/>
        </w:rPr>
        <w:t>’</w:t>
      </w:r>
      <w:r w:rsidR="00A33192" w:rsidRPr="00D76F48">
        <w:rPr>
          <w:lang w:eastAsia="de-DE"/>
        </w:rPr>
        <w:t>dominant rules</w:t>
      </w:r>
      <w:r w:rsidR="00920140" w:rsidRPr="00D76F48">
        <w:rPr>
          <w:lang w:eastAsia="de-DE"/>
        </w:rPr>
        <w:t xml:space="preserve">‘ </w:t>
      </w:r>
      <w:r w:rsidR="00A33192" w:rsidRPr="00D76F48">
        <w:rPr>
          <w:lang w:eastAsia="de-DE"/>
        </w:rPr>
        <w:t>applies</w:t>
      </w:r>
      <w:r w:rsidR="00920140" w:rsidRPr="00D76F48">
        <w:rPr>
          <w:lang w:eastAsia="de-DE"/>
        </w:rPr>
        <w:t xml:space="preserve"> (</w:t>
      </w:r>
      <w:r w:rsidR="00920140" w:rsidRPr="009106C4">
        <w:rPr>
          <w:lang w:eastAsia="de-DE"/>
        </w:rPr>
        <w:t>see</w:t>
      </w:r>
      <w:r w:rsidR="00F503E4" w:rsidRPr="009106C4">
        <w:rPr>
          <w:lang w:eastAsia="de-DE"/>
        </w:rPr>
        <w:t xml:space="preserve"> </w:t>
      </w:r>
      <w:r w:rsidR="009106C4" w:rsidRPr="009106C4">
        <w:rPr>
          <w:lang w:eastAsia="de-DE"/>
        </w:rPr>
        <w:t xml:space="preserve">chapter </w:t>
      </w:r>
      <w:r w:rsidR="00A22D6E">
        <w:rPr>
          <w:lang w:eastAsia="de-DE"/>
        </w:rPr>
        <w:t>5</w:t>
      </w:r>
      <w:r w:rsidR="009106C4" w:rsidRPr="009106C4">
        <w:rPr>
          <w:lang w:eastAsia="de-DE"/>
        </w:rPr>
        <w:t>.3</w:t>
      </w:r>
      <w:r w:rsidR="00F503E4" w:rsidRPr="009106C4">
        <w:rPr>
          <w:lang w:eastAsia="de-DE"/>
        </w:rPr>
        <w:t xml:space="preserve">, </w:t>
      </w:r>
      <w:r w:rsidR="00920140" w:rsidRPr="009106C4">
        <w:rPr>
          <w:lang w:eastAsia="de-DE"/>
        </w:rPr>
        <w:t>Appendix</w:t>
      </w:r>
      <w:r w:rsidR="00920140" w:rsidRPr="00D76F48">
        <w:rPr>
          <w:lang w:eastAsia="de-DE"/>
        </w:rPr>
        <w:t>).</w:t>
      </w:r>
      <w:r w:rsidR="00A33192" w:rsidRPr="00D76F48">
        <w:rPr>
          <w:lang w:eastAsia="de-DE"/>
        </w:rPr>
        <w:t xml:space="preserve">  </w:t>
      </w:r>
    </w:p>
    <w:p w14:paraId="6AA904E6" w14:textId="1C837F32" w:rsidR="00E4432C" w:rsidRPr="00BC19F0" w:rsidRDefault="008817C8" w:rsidP="00597D8F">
      <w:pPr>
        <w:rPr>
          <w:lang w:eastAsia="de-DE"/>
        </w:rPr>
      </w:pPr>
      <w:r w:rsidRPr="00BC19F0">
        <w:rPr>
          <w:lang w:eastAsia="de-DE"/>
        </w:rPr>
        <w:t xml:space="preserve">From the </w:t>
      </w:r>
      <w:r w:rsidR="000951A0">
        <w:rPr>
          <w:lang w:eastAsia="de-DE"/>
        </w:rPr>
        <w:t xml:space="preserve">best model fit, </w:t>
      </w:r>
      <m:oMath>
        <m:r>
          <w:rPr>
            <w:rFonts w:ascii="Cambria Math" w:hAnsi="Cambria Math"/>
            <w:lang w:eastAsia="de-DE"/>
          </w:rPr>
          <m:t>lag</m:t>
        </m:r>
      </m:oMath>
      <w:r w:rsidR="000951A0">
        <w:rPr>
          <w:lang w:eastAsia="de-DE"/>
        </w:rPr>
        <w:t xml:space="preserve"> and </w:t>
      </w:r>
      <m:oMath>
        <m:r>
          <w:rPr>
            <w:rFonts w:ascii="Cambria Math" w:hAnsi="Cambria Math"/>
            <w:lang w:eastAsia="de-DE"/>
          </w:rPr>
          <m:t>a</m:t>
        </m:r>
      </m:oMath>
      <w:r w:rsidR="000951A0">
        <w:rPr>
          <w:lang w:eastAsia="de-DE"/>
        </w:rPr>
        <w:t xml:space="preserve"> are extracted and used to estimate PRR, maximum killing rate and the 99.9% parasite clearance time</w:t>
      </w:r>
      <w:r w:rsidR="00127FC4" w:rsidRPr="00BC19F0">
        <w:rPr>
          <w:lang w:eastAsia="de-DE"/>
        </w:rPr>
        <w:t xml:space="preserve">. They allow </w:t>
      </w:r>
      <w:r w:rsidR="000F7433" w:rsidRPr="00BC19F0">
        <w:rPr>
          <w:lang w:eastAsia="de-DE"/>
        </w:rPr>
        <w:t>discriminating</w:t>
      </w:r>
      <w:r w:rsidR="00127FC4" w:rsidRPr="00BC19F0">
        <w:rPr>
          <w:lang w:eastAsia="de-DE"/>
        </w:rPr>
        <w:t xml:space="preserve"> compounds based on their potency levels</w:t>
      </w:r>
      <w:r w:rsidR="00FD090E" w:rsidRPr="00BC19F0">
        <w:rPr>
          <w:lang w:eastAsia="de-DE"/>
        </w:rPr>
        <w:t xml:space="preserve"> </w:t>
      </w:r>
      <w:r w:rsidR="00C410C2" w:rsidRPr="00BC19F0">
        <w:rPr>
          <w:lang w:eastAsia="de-DE"/>
        </w:rPr>
        <w:fldChar w:fldCharType="begin">
          <w:fldData xml:space="preserve">PEVuZE5vdGU+PENpdGU+PEF1dGhvcj5TYW56PC9BdXRob3I+PFllYXI+MjAxMjwvWWVhcj48UmVj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</w:fldData>
        </w:fldChar>
      </w:r>
      <w:r w:rsidR="00196708" w:rsidRPr="000951A0">
        <w:rPr>
          <w:lang w:eastAsia="de-DE"/>
        </w:rPr>
        <w:instrText xml:space="preserve"> ADDIN EN.CITE </w:instrText>
      </w:r>
      <w:r w:rsidR="00196708" w:rsidRPr="000951A0">
        <w:rPr>
          <w:lang w:eastAsia="de-DE"/>
        </w:rPr>
        <w:fldChar w:fldCharType="begin">
          <w:fldData xml:space="preserve">PEVuZE5vdGU+PENpdGU+PEF1dGhvcj5TYW56PC9BdXRob3I+PFllYXI+MjAxMjwvWWVhcj48UmVj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</w:fldData>
        </w:fldChar>
      </w:r>
      <w:r w:rsidR="00196708" w:rsidRPr="000951A0">
        <w:rPr>
          <w:lang w:eastAsia="de-DE"/>
        </w:rPr>
        <w:instrText xml:space="preserve"> ADDIN EN.CITE.DATA </w:instrText>
      </w:r>
      <w:r w:rsidR="00196708" w:rsidRPr="000951A0">
        <w:rPr>
          <w:lang w:eastAsia="de-DE"/>
        </w:rPr>
      </w:r>
      <w:r w:rsidR="00196708" w:rsidRPr="000951A0">
        <w:rPr>
          <w:lang w:eastAsia="de-DE"/>
        </w:rPr>
        <w:fldChar w:fldCharType="end"/>
      </w:r>
      <w:r w:rsidR="00C410C2" w:rsidRPr="00BC19F0">
        <w:rPr>
          <w:lang w:eastAsia="de-DE"/>
        </w:rPr>
      </w:r>
      <w:r w:rsidR="00C410C2" w:rsidRPr="00BC19F0">
        <w:rPr>
          <w:lang w:eastAsia="de-DE"/>
        </w:rPr>
        <w:fldChar w:fldCharType="separate"/>
      </w:r>
      <w:r w:rsidR="00196708" w:rsidRPr="00BC19F0">
        <w:rPr>
          <w:noProof/>
          <w:lang w:eastAsia="de-DE"/>
        </w:rPr>
        <w:t>(1, 5)</w:t>
      </w:r>
      <w:r w:rsidR="00C410C2" w:rsidRPr="00BC19F0">
        <w:rPr>
          <w:lang w:eastAsia="de-DE"/>
        </w:rPr>
        <w:fldChar w:fldCharType="end"/>
      </w:r>
      <w:r w:rsidR="00C410C2" w:rsidRPr="00BC19F0">
        <w:rPr>
          <w:lang w:eastAsia="de-DE"/>
        </w:rPr>
        <w:t>.</w:t>
      </w:r>
      <w:r w:rsidR="001D405E" w:rsidRPr="00BC19F0">
        <w:rPr>
          <w:lang w:eastAsia="de-DE"/>
        </w:rPr>
        <w:t xml:space="preserve"> </w:t>
      </w:r>
      <w:r w:rsidR="00127FC4" w:rsidRPr="00BC19F0">
        <w:rPr>
          <w:lang w:eastAsia="de-DE"/>
        </w:rPr>
        <w:tab/>
      </w:r>
      <w:r w:rsidR="00127FC4" w:rsidRPr="00BC19F0">
        <w:rPr>
          <w:lang w:eastAsia="de-DE"/>
        </w:rPr>
        <w:tab/>
      </w:r>
      <w:r w:rsidR="00127FC4" w:rsidRPr="00BC19F0">
        <w:rPr>
          <w:lang w:eastAsia="de-DE"/>
        </w:rPr>
        <w:tab/>
      </w:r>
      <w:r w:rsidR="00FD090E" w:rsidRPr="00BC19F0">
        <w:rPr>
          <w:lang w:eastAsia="de-DE"/>
        </w:rPr>
        <w:tab/>
        <w:t xml:space="preserve">       </w:t>
      </w:r>
      <w:r w:rsidR="00AF6A59" w:rsidRPr="00BC19F0">
        <w:rPr>
          <w:lang w:eastAsia="de-DE"/>
        </w:rPr>
        <w:tab/>
        <w:t xml:space="preserve">                     </w:t>
      </w:r>
    </w:p>
    <w:p w14:paraId="58FB9AFE" w14:textId="4E241E98" w:rsidR="00FD090E" w:rsidRPr="00BC19F0" w:rsidRDefault="001D405E" w:rsidP="00597D8F">
      <w:pPr>
        <w:rPr>
          <w:lang w:eastAsia="de-DE"/>
        </w:rPr>
      </w:pPr>
      <w:r w:rsidRPr="00BC19F0">
        <w:rPr>
          <w:lang w:eastAsia="de-DE"/>
        </w:rPr>
        <w:t>T</w:t>
      </w:r>
      <w:r w:rsidR="008817C8" w:rsidRPr="00BC19F0">
        <w:rPr>
          <w:lang w:eastAsia="de-DE"/>
        </w:rPr>
        <w:t xml:space="preserve">he parasite reduction ratio </w:t>
      </w:r>
      <w:r w:rsidR="005D432D" w:rsidRPr="00BC19F0">
        <w:rPr>
          <w:lang w:eastAsia="de-DE"/>
        </w:rPr>
        <w:t xml:space="preserve">PRR, </w:t>
      </w:r>
      <w:r w:rsidR="00CD70DD">
        <w:rPr>
          <w:lang w:eastAsia="de-DE"/>
        </w:rPr>
        <w:t>defined as</w:t>
      </w:r>
      <w:r w:rsidR="005D432D" w:rsidRPr="00BC19F0">
        <w:rPr>
          <w:lang w:eastAsia="de-DE"/>
        </w:rPr>
        <w:t xml:space="preserve"> </w:t>
      </w:r>
      <w:r w:rsidR="0051568B" w:rsidRPr="00BC19F0">
        <w:rPr>
          <w:lang w:eastAsia="de-DE"/>
        </w:rPr>
        <w:t>the</w:t>
      </w:r>
      <w:r w:rsidR="00E4432C" w:rsidRPr="00BC19F0">
        <w:rPr>
          <w:lang w:eastAsia="de-DE"/>
        </w:rPr>
        <w:t xml:space="preserve"> </w:t>
      </w:r>
      <w:r w:rsidR="00C410C2" w:rsidRPr="00BC19F0">
        <w:rPr>
          <w:lang w:eastAsia="de-DE"/>
        </w:rPr>
        <w:t>log</w:t>
      </w:r>
      <w:r w:rsidR="0051568B" w:rsidRPr="00BC19F0">
        <w:rPr>
          <w:vertAlign w:val="subscript"/>
          <w:lang w:eastAsia="de-DE"/>
        </w:rPr>
        <w:t>10</w:t>
      </w:r>
      <w:r w:rsidR="0051568B" w:rsidRPr="00BC19F0">
        <w:rPr>
          <w:lang w:eastAsia="de-DE"/>
        </w:rPr>
        <w:t xml:space="preserve"> </w:t>
      </w:r>
      <w:r w:rsidR="00E4432C" w:rsidRPr="00BC19F0">
        <w:rPr>
          <w:lang w:eastAsia="de-DE"/>
        </w:rPr>
        <w:t xml:space="preserve">drop </w:t>
      </w:r>
      <w:r w:rsidR="008A4249" w:rsidRPr="00BC19F0">
        <w:rPr>
          <w:lang w:eastAsia="de-DE"/>
        </w:rPr>
        <w:t xml:space="preserve">of </w:t>
      </w:r>
      <w:r w:rsidR="00E4432C" w:rsidRPr="00BC19F0">
        <w:rPr>
          <w:lang w:eastAsia="de-DE"/>
        </w:rPr>
        <w:t xml:space="preserve">viable parasites </w:t>
      </w:r>
      <w:r w:rsidR="00C410C2" w:rsidRPr="00BC19F0">
        <w:rPr>
          <w:lang w:eastAsia="de-DE"/>
        </w:rPr>
        <w:t>within 48 hours</w:t>
      </w:r>
      <w:r w:rsidR="00CD70DD">
        <w:rPr>
          <w:lang w:eastAsia="de-DE"/>
        </w:rPr>
        <w:t>, can be calculated as</w:t>
      </w:r>
      <w:r w:rsidR="005964E5">
        <w:rPr>
          <w:lang w:eastAsia="de-DE"/>
        </w:rPr>
        <w:t>:</w:t>
      </w:r>
    </w:p>
    <w:p w14:paraId="7F7F23FC" w14:textId="0862FF9F" w:rsidR="00663328" w:rsidRPr="00BC19F0" w:rsidRDefault="00AF6A59" w:rsidP="00597D8F">
      <w:pPr>
        <w:pStyle w:val="Equation"/>
        <w:numPr>
          <w:ilvl w:val="0"/>
          <w:numId w:val="0"/>
        </w:numPr>
        <w:spacing w:after="160" w:line="264" w:lineRule="auto"/>
        <w:rPr>
          <w:color w:val="000000" w:themeColor="text1"/>
        </w:rPr>
      </w:pPr>
      <w:r w:rsidRPr="00BC19F0">
        <w:rPr>
          <w:rFonts w:asciiTheme="minorHAnsi" w:eastAsiaTheme="minorEastAsia" w:hAnsiTheme="minorHAnsi" w:cstheme="minorBidi"/>
          <w:color w:val="000000" w:themeColor="text1"/>
        </w:rPr>
        <w:tab/>
      </w:r>
      <w:r w:rsidRPr="00BC19F0">
        <w:rPr>
          <w:rFonts w:asciiTheme="minorHAnsi" w:eastAsiaTheme="minorEastAsia" w:hAnsiTheme="minorHAnsi" w:cstheme="minorBidi"/>
          <w:color w:val="000000" w:themeColor="text1"/>
        </w:rPr>
        <w:tab/>
      </w:r>
      <w:r w:rsidRPr="00BC19F0">
        <w:rPr>
          <w:rFonts w:asciiTheme="minorHAnsi" w:eastAsiaTheme="minorEastAsia" w:hAnsiTheme="minorHAnsi" w:cstheme="minorBidi"/>
          <w:color w:val="000000" w:themeColor="text1"/>
        </w:rPr>
        <w:tab/>
      </w:r>
      <w:r w:rsidRPr="00BC19F0">
        <w:rPr>
          <w:rFonts w:asciiTheme="minorHAnsi" w:eastAsiaTheme="minorEastAsia" w:hAnsiTheme="minorHAnsi" w:cstheme="minorBidi"/>
          <w:color w:val="000000" w:themeColor="text1"/>
        </w:rPr>
        <w:tab/>
      </w:r>
      <w:r w:rsidRPr="00BC19F0">
        <w:rPr>
          <w:rFonts w:asciiTheme="minorHAnsi" w:eastAsiaTheme="minorEastAsia" w:hAnsiTheme="minorHAnsi" w:cstheme="minorBidi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PRR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=</m:t>
        </m:r>
        <m:r>
          <w:rPr>
            <w:rFonts w:ascii="Cambria Math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⋅48h</m:t>
        </m:r>
      </m:oMath>
      <w:r w:rsidRPr="00BC19F0">
        <w:rPr>
          <w:color w:val="000000" w:themeColor="text1"/>
        </w:rPr>
        <w:tab/>
      </w:r>
      <w:r w:rsidRPr="00BC19F0">
        <w:rPr>
          <w:color w:val="000000" w:themeColor="text1"/>
        </w:rPr>
        <w:tab/>
        <w:t>eq. (3)</w:t>
      </w:r>
    </w:p>
    <w:p w14:paraId="13A06E2A" w14:textId="6BD4E201" w:rsidR="00663328" w:rsidRPr="00BC19F0" w:rsidRDefault="00663328" w:rsidP="00597D8F">
      <w:pPr>
        <w:pStyle w:val="Equation"/>
        <w:numPr>
          <w:ilvl w:val="0"/>
          <w:numId w:val="0"/>
        </w:numPr>
        <w:spacing w:after="160" w:line="264" w:lineRule="auto"/>
        <w:rPr>
          <w:color w:val="000000" w:themeColor="text1"/>
        </w:rPr>
      </w:pPr>
      <w:r w:rsidRPr="00BC19F0">
        <w:rPr>
          <w:color w:val="000000" w:themeColor="text1"/>
        </w:rPr>
        <w:t>The 99.9% p</w:t>
      </w:r>
      <w:r w:rsidR="00D76F48">
        <w:rPr>
          <w:color w:val="000000" w:themeColor="text1"/>
        </w:rPr>
        <w:t>arasite clearance time</w:t>
      </w:r>
      <w:r w:rsidR="00CD70DD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PC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99.9%</m:t>
            </m:r>
          </m:sub>
        </m:sSub>
      </m:oMath>
      <w:r w:rsidR="00CD70DD">
        <w:rPr>
          <w:color w:val="000000" w:themeColor="text1"/>
        </w:rPr>
        <w:t>, defined as</w:t>
      </w:r>
      <w:r w:rsidRPr="00BC19F0">
        <w:rPr>
          <w:color w:val="000000" w:themeColor="text1"/>
        </w:rPr>
        <w:t xml:space="preserve"> the time </w:t>
      </w:r>
      <w:r w:rsidR="00CD70DD">
        <w:rPr>
          <w:color w:val="000000" w:themeColor="text1"/>
        </w:rPr>
        <w:t>to kill</w:t>
      </w:r>
      <w:r w:rsidR="00CD70DD" w:rsidRPr="00BC19F0">
        <w:rPr>
          <w:color w:val="000000" w:themeColor="text1"/>
        </w:rPr>
        <w:t xml:space="preserve"> </w:t>
      </w:r>
      <w:r w:rsidRPr="00BC19F0">
        <w:rPr>
          <w:color w:val="000000" w:themeColor="text1"/>
        </w:rPr>
        <w:t>99.9% of parasites by the drug</w:t>
      </w:r>
      <w:r w:rsidR="001D14C6">
        <w:rPr>
          <w:color w:val="000000" w:themeColor="text1"/>
        </w:rPr>
        <w:t>,</w:t>
      </w:r>
      <w:r w:rsidRPr="00BC19F0">
        <w:rPr>
          <w:color w:val="000000" w:themeColor="text1"/>
        </w:rPr>
        <w:t xml:space="preserve"> </w:t>
      </w:r>
      <w:r w:rsidRPr="008C7B5F">
        <w:rPr>
          <w:i/>
          <w:iCs/>
          <w:color w:val="000000" w:themeColor="text1"/>
        </w:rPr>
        <w:t>i.e.</w:t>
      </w:r>
      <w:r w:rsidRPr="00BC19F0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CD70DD">
        <w:rPr>
          <w:color w:val="000000" w:themeColor="text1"/>
        </w:rPr>
        <w:t xml:space="preserve"> such as </w:t>
      </w:r>
      <w:r w:rsidRPr="00BC19F0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=2</m:t>
        </m:r>
      </m:oMath>
      <w:r w:rsidRPr="00BC19F0">
        <w:rPr>
          <w:color w:val="000000" w:themeColor="text1"/>
        </w:rPr>
        <w:t xml:space="preserve"> (eq</w:t>
      </w:r>
      <w:r w:rsidR="00CD70DD">
        <w:rPr>
          <w:color w:val="000000" w:themeColor="text1"/>
        </w:rPr>
        <w:t>.</w:t>
      </w:r>
      <w:r w:rsidRPr="00BC19F0">
        <w:rPr>
          <w:color w:val="000000" w:themeColor="text1"/>
        </w:rPr>
        <w:t xml:space="preserve"> 2</w:t>
      </w:r>
      <w:r w:rsidR="005964E5">
        <w:rPr>
          <w:color w:val="000000" w:themeColor="text1"/>
        </w:rPr>
        <w:t>)</w:t>
      </w:r>
      <w:r w:rsidR="00CD70DD">
        <w:rPr>
          <w:color w:val="000000" w:themeColor="text1"/>
        </w:rPr>
        <w:t>, can be calculated as</w:t>
      </w:r>
      <w:r w:rsidR="005964E5">
        <w:rPr>
          <w:color w:val="000000" w:themeColor="text1"/>
        </w:rPr>
        <w:t>:</w:t>
      </w:r>
    </w:p>
    <w:p w14:paraId="0B902A7E" w14:textId="7CFD20F0" w:rsidR="00663328" w:rsidRPr="00BC19F0" w:rsidRDefault="00663328" w:rsidP="00597D8F">
      <w:pPr>
        <w:pStyle w:val="Equation"/>
        <w:numPr>
          <w:ilvl w:val="0"/>
          <w:numId w:val="0"/>
        </w:numPr>
        <w:spacing w:after="160" w:line="264" w:lineRule="auto"/>
        <w:rPr>
          <w:color w:val="000000" w:themeColor="text1"/>
        </w:rPr>
      </w:pPr>
      <w:r w:rsidRPr="00BC19F0">
        <w:rPr>
          <w:color w:val="000000" w:themeColor="text1"/>
        </w:rPr>
        <w:tab/>
      </w:r>
      <w:r w:rsidRPr="00BC19F0">
        <w:rPr>
          <w:color w:val="000000" w:themeColor="text1"/>
        </w:rPr>
        <w:tab/>
      </w:r>
      <w:r w:rsidRPr="00BC19F0">
        <w:rPr>
          <w:color w:val="000000" w:themeColor="text1"/>
        </w:rPr>
        <w:tab/>
      </w:r>
      <w:r w:rsidRPr="00BC19F0">
        <w:rPr>
          <w:color w:val="000000" w:themeColor="text1"/>
        </w:rPr>
        <w:tab/>
      </w:r>
      <w:r w:rsidRPr="00BC19F0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PCT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99.9%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</m:t>
            </m:r>
          </m:den>
        </m:f>
        <m:r>
          <w:rPr>
            <w:rFonts w:ascii="Cambria Math" w:hAnsi="Cambria Math"/>
            <w:color w:val="000000" w:themeColor="text1"/>
          </w:rPr>
          <m:t>+lag</m:t>
        </m:r>
      </m:oMath>
      <w:r w:rsidRPr="00BC19F0">
        <w:rPr>
          <w:color w:val="000000" w:themeColor="text1"/>
        </w:rPr>
        <w:tab/>
      </w:r>
      <w:r w:rsidRPr="00BC19F0">
        <w:rPr>
          <w:color w:val="000000" w:themeColor="text1"/>
        </w:rPr>
        <w:tab/>
        <w:t>eq. (4)</w:t>
      </w:r>
    </w:p>
    <w:p w14:paraId="04D7D4FF" w14:textId="3445BB7C" w:rsidR="00EC6858" w:rsidRPr="001D14C6" w:rsidRDefault="00B85ED6" w:rsidP="00597D8F">
      <w:pPr>
        <w:rPr>
          <w:lang w:val="en-GB" w:eastAsia="de-DE"/>
        </w:rPr>
      </w:pPr>
      <w:r w:rsidRPr="001D14C6">
        <w:rPr>
          <w:lang w:val="en-GB" w:eastAsia="de-DE"/>
        </w:rPr>
        <w:t xml:space="preserve">The </w:t>
      </w:r>
      <w:r w:rsidRPr="002D7F62">
        <w:rPr>
          <w:lang w:val="en-GB" w:eastAsia="de-DE"/>
        </w:rPr>
        <w:t>PRR</w:t>
      </w:r>
      <w:r w:rsidRPr="001D14C6">
        <w:rPr>
          <w:lang w:val="en-GB" w:eastAsia="de-DE"/>
        </w:rPr>
        <w:t xml:space="preserve"> and </w:t>
      </w:r>
      <m:oMath>
        <m:r>
          <w:rPr>
            <w:rFonts w:ascii="Cambria Math" w:hAnsi="Cambria Math"/>
            <w:lang w:val="en-GB" w:eastAsia="de-DE"/>
          </w:rPr>
          <m:t>lag</m:t>
        </m:r>
      </m:oMath>
      <w:r w:rsidRPr="001D14C6">
        <w:rPr>
          <w:lang w:val="en-GB" w:eastAsia="de-DE"/>
        </w:rPr>
        <w:t xml:space="preserve"> are used to </w:t>
      </w:r>
      <w:r w:rsidR="0091262C" w:rsidRPr="001D14C6">
        <w:rPr>
          <w:lang w:val="en-GB" w:eastAsia="de-DE"/>
        </w:rPr>
        <w:t xml:space="preserve">assign a compound to </w:t>
      </w:r>
      <w:r w:rsidR="00FB401C" w:rsidRPr="001D14C6">
        <w:rPr>
          <w:lang w:val="en-GB" w:eastAsia="de-DE"/>
        </w:rPr>
        <w:t xml:space="preserve">one of five </w:t>
      </w:r>
      <w:r w:rsidR="00402B00">
        <w:rPr>
          <w:lang w:val="en-GB" w:eastAsia="de-DE"/>
        </w:rPr>
        <w:t>possible</w:t>
      </w:r>
      <w:r w:rsidR="00FB401C">
        <w:rPr>
          <w:lang w:val="en-GB" w:eastAsia="de-DE"/>
        </w:rPr>
        <w:t xml:space="preserve"> killing profiles</w:t>
      </w:r>
      <w:r w:rsidR="00FB401C" w:rsidRPr="001D14C6">
        <w:rPr>
          <w:lang w:val="en-GB" w:eastAsia="de-DE"/>
        </w:rPr>
        <w:t xml:space="preserve"> </w:t>
      </w:r>
      <w:r w:rsidR="00FB401C">
        <w:rPr>
          <w:lang w:val="en-GB" w:eastAsia="de-DE"/>
        </w:rPr>
        <w:t>ranging from ‘slow’ to ‘fast’ pharmacodynamic categories</w:t>
      </w:r>
      <w:r w:rsidR="00EC6858" w:rsidRPr="001D14C6">
        <w:rPr>
          <w:lang w:val="en-GB" w:eastAsia="de-DE"/>
        </w:rPr>
        <w:t xml:space="preserve">. </w:t>
      </w:r>
      <w:r w:rsidR="00597D8F">
        <w:rPr>
          <w:lang w:val="en-GB" w:eastAsia="de-DE"/>
        </w:rPr>
        <w:t>Hence</w:t>
      </w:r>
      <w:r w:rsidR="0091262C" w:rsidRPr="001D14C6">
        <w:rPr>
          <w:lang w:val="en-GB" w:eastAsia="de-DE"/>
        </w:rPr>
        <w:t>, a</w:t>
      </w:r>
      <w:r w:rsidR="00EC6858" w:rsidRPr="001D14C6">
        <w:rPr>
          <w:lang w:val="en-GB" w:eastAsia="de-DE"/>
        </w:rPr>
        <w:t xml:space="preserve"> compound can be categorized as </w:t>
      </w:r>
      <w:r w:rsidR="00EC6858" w:rsidRPr="001D14C6">
        <w:rPr>
          <w:lang w:val="en-GB" w:eastAsia="de-DE"/>
        </w:rPr>
        <w:lastRenderedPageBreak/>
        <w:t>‘fast’ (</w:t>
      </w:r>
      <m:oMath>
        <m:r>
          <m:rPr>
            <m:sty m:val="p"/>
          </m:rPr>
          <w:rPr>
            <w:rFonts w:ascii="Cambria Math" w:hAnsi="Cambria Math"/>
            <w:lang w:val="en-GB" w:eastAsia="de-DE"/>
          </w:rPr>
          <m:t>PRR</m:t>
        </m:r>
        <m:r>
          <w:rPr>
            <w:rFonts w:ascii="Cambria Math" w:hAnsi="Cambria Math"/>
            <w:lang w:val="en-GB" w:eastAsia="de-DE"/>
          </w:rPr>
          <m:t xml:space="preserve"> </m:t>
        </m:r>
        <m:r>
          <w:rPr>
            <w:rFonts w:ascii="Cambria Math" w:hAnsi="Cambria Math" w:cstheme="minorHAnsi"/>
            <w:lang w:val="en-GB" w:eastAsia="de-DE"/>
          </w:rPr>
          <m:t>≥</m:t>
        </m:r>
        <m:r>
          <w:rPr>
            <w:rFonts w:ascii="Cambria Math" w:hAnsi="Cambria Math"/>
            <w:lang w:val="en-GB" w:eastAsia="de-DE"/>
          </w:rPr>
          <m:t xml:space="preserve"> 4</m:t>
        </m:r>
      </m:oMath>
      <w:r w:rsidR="00F70788" w:rsidRPr="001D14C6">
        <w:rPr>
          <w:lang w:val="en-GB" w:eastAsia="de-DE"/>
        </w:rPr>
        <w:t xml:space="preserve">, </w:t>
      </w:r>
      <m:oMath>
        <m:r>
          <w:rPr>
            <w:rFonts w:ascii="Cambria Math" w:hAnsi="Cambria Math"/>
            <w:lang w:val="en-GB" w:eastAsia="de-DE"/>
          </w:rPr>
          <m:t>lag = 0</m:t>
        </m:r>
        <m:r>
          <m:rPr>
            <m:sty m:val="p"/>
          </m:rPr>
          <w:rPr>
            <w:rFonts w:ascii="Cambria Math" w:hAnsi="Cambria Math"/>
            <w:lang w:val="en-GB" w:eastAsia="de-DE"/>
          </w:rPr>
          <m:t>h</m:t>
        </m:r>
      </m:oMath>
      <w:r w:rsidR="00EC6858" w:rsidRPr="001D14C6">
        <w:rPr>
          <w:lang w:val="en-GB" w:eastAsia="de-DE"/>
        </w:rPr>
        <w:t xml:space="preserve">), ‘fast with lag </w:t>
      </w:r>
      <w:r w:rsidR="00F70788" w:rsidRPr="001D14C6">
        <w:rPr>
          <w:lang w:val="en-GB" w:eastAsia="de-DE"/>
        </w:rPr>
        <w:t>phase</w:t>
      </w:r>
      <w:r w:rsidR="00EC6858" w:rsidRPr="001D14C6">
        <w:rPr>
          <w:lang w:val="en-GB" w:eastAsia="de-DE"/>
        </w:rPr>
        <w:t>’ (</w:t>
      </w:r>
      <m:oMath>
        <m:r>
          <m:rPr>
            <m:sty m:val="p"/>
          </m:rPr>
          <w:rPr>
            <w:rFonts w:ascii="Cambria Math" w:hAnsi="Cambria Math"/>
            <w:lang w:val="en-GB" w:eastAsia="de-DE"/>
          </w:rPr>
          <m:t>PRR</m:t>
        </m:r>
        <m:r>
          <w:rPr>
            <w:rFonts w:ascii="Cambria Math" w:hAnsi="Cambria Math"/>
            <w:lang w:val="en-GB" w:eastAsia="de-DE"/>
          </w:rPr>
          <m:t xml:space="preserve"> </m:t>
        </m:r>
        <m:r>
          <w:rPr>
            <w:rFonts w:ascii="Cambria Math" w:hAnsi="Cambria Math" w:cstheme="minorHAnsi"/>
            <w:lang w:val="en-GB" w:eastAsia="de-DE"/>
          </w:rPr>
          <m:t>≥</m:t>
        </m:r>
        <m:r>
          <w:rPr>
            <w:rFonts w:ascii="Cambria Math" w:hAnsi="Cambria Math"/>
            <w:lang w:val="en-GB" w:eastAsia="de-DE"/>
          </w:rPr>
          <m:t xml:space="preserve"> 4</m:t>
        </m:r>
      </m:oMath>
      <w:r w:rsidR="00EC6858" w:rsidRPr="001D14C6">
        <w:rPr>
          <w:lang w:val="en-GB" w:eastAsia="de-DE"/>
        </w:rPr>
        <w:t xml:space="preserve">, </w:t>
      </w:r>
      <m:oMath>
        <m:r>
          <w:rPr>
            <w:rFonts w:ascii="Cambria Math" w:hAnsi="Cambria Math"/>
            <w:lang w:val="en-GB" w:eastAsia="de-DE"/>
          </w:rPr>
          <m:t>lag &gt; 0</m:t>
        </m:r>
        <m:r>
          <m:rPr>
            <m:sty m:val="p"/>
          </m:rPr>
          <w:rPr>
            <w:rFonts w:ascii="Cambria Math" w:hAnsi="Cambria Math"/>
            <w:lang w:val="en-GB" w:eastAsia="de-DE"/>
          </w:rPr>
          <m:t>h</m:t>
        </m:r>
      </m:oMath>
      <w:r w:rsidR="00EC6858" w:rsidRPr="001D14C6">
        <w:rPr>
          <w:lang w:val="en-GB" w:eastAsia="de-DE"/>
        </w:rPr>
        <w:t>), ‘intermediate’ (</w:t>
      </w:r>
      <m:oMath>
        <m:r>
          <w:rPr>
            <w:rFonts w:ascii="Cambria Math" w:hAnsi="Cambria Math"/>
            <w:lang w:val="en-GB" w:eastAsia="de-DE"/>
          </w:rPr>
          <m:t xml:space="preserve">3 </m:t>
        </m:r>
        <m:r>
          <w:rPr>
            <w:rFonts w:ascii="Cambria Math" w:hAnsi="Cambria Math" w:cstheme="minorHAnsi"/>
            <w:lang w:val="en-GB" w:eastAsia="de-DE"/>
          </w:rPr>
          <m:t xml:space="preserve">≤ </m:t>
        </m:r>
        <m:r>
          <m:rPr>
            <m:sty m:val="p"/>
          </m:rPr>
          <w:rPr>
            <w:rFonts w:ascii="Cambria Math" w:hAnsi="Cambria Math"/>
            <w:lang w:val="en-GB" w:eastAsia="de-DE"/>
          </w:rPr>
          <m:t>PRR</m:t>
        </m:r>
        <m:r>
          <w:rPr>
            <w:rFonts w:ascii="Cambria Math" w:hAnsi="Cambria Math"/>
            <w:lang w:val="en-GB" w:eastAsia="de-DE"/>
          </w:rPr>
          <m:t xml:space="preserve"> &lt; 4</m:t>
        </m:r>
      </m:oMath>
      <w:r w:rsidR="00EC6858" w:rsidRPr="001D14C6">
        <w:rPr>
          <w:lang w:val="en-GB" w:eastAsia="de-DE"/>
        </w:rPr>
        <w:t xml:space="preserve">, </w:t>
      </w:r>
      <m:oMath>
        <m:r>
          <w:rPr>
            <w:rFonts w:ascii="Cambria Math" w:hAnsi="Cambria Math"/>
            <w:lang w:val="en-GB" w:eastAsia="de-DE"/>
          </w:rPr>
          <m:t>lag = 0</m:t>
        </m:r>
        <m:r>
          <m:rPr>
            <m:sty m:val="p"/>
          </m:rPr>
          <w:rPr>
            <w:rFonts w:ascii="Cambria Math" w:hAnsi="Cambria Math"/>
            <w:lang w:val="en-GB" w:eastAsia="de-DE"/>
          </w:rPr>
          <m:t>h</m:t>
        </m:r>
      </m:oMath>
      <w:r w:rsidR="00EC6858" w:rsidRPr="001D14C6">
        <w:rPr>
          <w:lang w:val="en-GB" w:eastAsia="de-DE"/>
        </w:rPr>
        <w:t>), ‘intermediate with lag phase’ (</w:t>
      </w:r>
      <m:oMath>
        <m:r>
          <w:rPr>
            <w:rFonts w:ascii="Cambria Math" w:hAnsi="Cambria Math"/>
            <w:lang w:val="en-GB" w:eastAsia="de-DE"/>
          </w:rPr>
          <m:t xml:space="preserve">3 </m:t>
        </m:r>
        <m:r>
          <w:rPr>
            <w:rFonts w:ascii="Cambria Math" w:hAnsi="Cambria Math" w:cstheme="minorHAnsi"/>
            <w:lang w:val="en-GB" w:eastAsia="de-DE"/>
          </w:rPr>
          <m:t xml:space="preserve">≤ </m:t>
        </m:r>
        <m:r>
          <m:rPr>
            <m:sty m:val="p"/>
          </m:rPr>
          <w:rPr>
            <w:rFonts w:ascii="Cambria Math" w:hAnsi="Cambria Math"/>
            <w:lang w:val="en-GB" w:eastAsia="de-DE"/>
          </w:rPr>
          <m:t>PRR</m:t>
        </m:r>
        <m:r>
          <w:rPr>
            <w:rFonts w:ascii="Cambria Math" w:hAnsi="Cambria Math"/>
            <w:lang w:val="en-GB" w:eastAsia="de-DE"/>
          </w:rPr>
          <m:t xml:space="preserve"> &lt; 4</m:t>
        </m:r>
      </m:oMath>
      <w:r w:rsidR="00EC6858" w:rsidRPr="001D14C6">
        <w:rPr>
          <w:lang w:val="en-GB" w:eastAsia="de-DE"/>
        </w:rPr>
        <w:t xml:space="preserve">, </w:t>
      </w:r>
      <m:oMath>
        <m:r>
          <w:rPr>
            <w:rFonts w:ascii="Cambria Math" w:hAnsi="Cambria Math"/>
            <w:lang w:val="en-GB" w:eastAsia="de-DE"/>
          </w:rPr>
          <m:t>lag &gt; 0</m:t>
        </m:r>
        <m:r>
          <m:rPr>
            <m:sty m:val="p"/>
          </m:rPr>
          <w:rPr>
            <w:rFonts w:ascii="Cambria Math" w:hAnsi="Cambria Math"/>
            <w:lang w:val="en-GB" w:eastAsia="de-DE"/>
          </w:rPr>
          <m:t>h</m:t>
        </m:r>
      </m:oMath>
      <w:r w:rsidR="00EC6858" w:rsidRPr="001D14C6">
        <w:rPr>
          <w:lang w:val="en-GB" w:eastAsia="de-DE"/>
        </w:rPr>
        <w:t>), or ‘slow’ (</w:t>
      </w:r>
      <m:oMath>
        <m:r>
          <m:rPr>
            <m:sty m:val="p"/>
          </m:rPr>
          <w:rPr>
            <w:rFonts w:ascii="Cambria Math" w:hAnsi="Cambria Math"/>
            <w:lang w:val="en-GB" w:eastAsia="de-DE"/>
          </w:rPr>
          <m:t>PRR</m:t>
        </m:r>
        <m:r>
          <w:rPr>
            <w:rFonts w:ascii="Cambria Math" w:hAnsi="Cambria Math"/>
            <w:lang w:val="en-GB" w:eastAsia="de-DE"/>
          </w:rPr>
          <m:t xml:space="preserve"> &lt; 3</m:t>
        </m:r>
      </m:oMath>
      <w:r w:rsidR="00EC6858" w:rsidRPr="001D14C6">
        <w:rPr>
          <w:lang w:val="en-GB" w:eastAsia="de-DE"/>
        </w:rPr>
        <w:t xml:space="preserve"> or </w:t>
      </w:r>
      <m:oMath>
        <m:r>
          <w:rPr>
            <w:rFonts w:ascii="Cambria Math" w:hAnsi="Cambria Math"/>
            <w:lang w:val="en-GB" w:eastAsia="de-DE"/>
          </w:rPr>
          <m:t>lag &gt; 48</m:t>
        </m:r>
        <m:r>
          <m:rPr>
            <m:sty m:val="p"/>
          </m:rPr>
          <w:rPr>
            <w:rFonts w:ascii="Cambria Math" w:hAnsi="Cambria Math"/>
            <w:lang w:val="en-GB" w:eastAsia="de-DE"/>
          </w:rPr>
          <m:t>h</m:t>
        </m:r>
      </m:oMath>
      <w:r w:rsidR="00EC6858" w:rsidRPr="001D14C6">
        <w:rPr>
          <w:lang w:val="en-GB" w:eastAsia="de-DE"/>
        </w:rPr>
        <w:t>).</w:t>
      </w:r>
    </w:p>
    <w:p w14:paraId="3D035182" w14:textId="55FC0339" w:rsidR="00B32805" w:rsidRPr="00BC19F0" w:rsidRDefault="004F2127" w:rsidP="004F2127">
      <w:pPr>
        <w:pStyle w:val="Heading2"/>
      </w:pPr>
      <w:r w:rsidRPr="00BC19F0">
        <w:t>Quality Controls</w:t>
      </w:r>
    </w:p>
    <w:p w14:paraId="40149373" w14:textId="7010FC3E" w:rsidR="004F2127" w:rsidRPr="00BC19F0" w:rsidRDefault="004F2127" w:rsidP="005E0274">
      <w:pPr>
        <w:pStyle w:val="Heading3"/>
      </w:pPr>
      <w:r w:rsidRPr="00BC19F0">
        <w:t>Compound Stability</w:t>
      </w:r>
    </w:p>
    <w:p w14:paraId="1EE79349" w14:textId="77777777" w:rsidR="00E11AD8" w:rsidRPr="00BC19F0" w:rsidRDefault="0008195A" w:rsidP="005E0274">
      <w:pPr>
        <w:rPr>
          <w:lang w:val="en-GB"/>
        </w:rPr>
      </w:pPr>
      <w:r w:rsidRPr="00BC19F0">
        <w:rPr>
          <w:lang w:val="en-GB"/>
        </w:rPr>
        <w:t>Throughout the whole treatment period, compound is replenished every 24 hours in order t</w:t>
      </w:r>
      <w:r w:rsidR="00F8663A" w:rsidRPr="00BC19F0">
        <w:rPr>
          <w:lang w:val="en-GB"/>
        </w:rPr>
        <w:t xml:space="preserve">o maintain an overall high compound concentration. </w:t>
      </w:r>
    </w:p>
    <w:p w14:paraId="066593B8" w14:textId="48D53DE5" w:rsidR="004F2127" w:rsidRPr="00BC19F0" w:rsidRDefault="0008195A" w:rsidP="005E0274">
      <w:pPr>
        <w:rPr>
          <w:lang w:val="en-GB"/>
        </w:rPr>
      </w:pPr>
      <w:r w:rsidRPr="00BC19F0">
        <w:rPr>
          <w:lang w:val="en-GB"/>
        </w:rPr>
        <w:t xml:space="preserve">To assess compound stability, supernatant is collected 24 hours after the first treatment. Compound solution used for initiation of the assay </w:t>
      </w:r>
      <w:r w:rsidR="002E6B05" w:rsidRPr="00BC19F0">
        <w:rPr>
          <w:lang w:val="en-GB"/>
        </w:rPr>
        <w:t xml:space="preserve">(0 hours) </w:t>
      </w:r>
      <w:r w:rsidRPr="00BC19F0">
        <w:rPr>
          <w:lang w:val="en-GB"/>
        </w:rPr>
        <w:t>is also collected and serves as a reference.</w:t>
      </w:r>
      <w:r w:rsidR="00E11AD8" w:rsidRPr="00BC19F0">
        <w:rPr>
          <w:lang w:val="en-GB"/>
        </w:rPr>
        <w:t xml:space="preserve"> In a 96-well plate, n</w:t>
      </w:r>
      <w:r w:rsidR="00F8663A" w:rsidRPr="00BC19F0">
        <w:rPr>
          <w:lang w:val="en-GB"/>
        </w:rPr>
        <w:t xml:space="preserve">aïve </w:t>
      </w:r>
      <w:r w:rsidR="00F8663A" w:rsidRPr="00BC19F0">
        <w:rPr>
          <w:i/>
          <w:lang w:val="en-GB"/>
        </w:rPr>
        <w:t xml:space="preserve">P. falciparum </w:t>
      </w:r>
      <w:r w:rsidR="00E11AD8" w:rsidRPr="00BC19F0">
        <w:rPr>
          <w:lang w:val="en-GB"/>
        </w:rPr>
        <w:t>parasites (</w:t>
      </w:r>
      <w:r w:rsidR="00F8663A" w:rsidRPr="00BC19F0">
        <w:rPr>
          <w:lang w:val="en-GB"/>
        </w:rPr>
        <w:t>s</w:t>
      </w:r>
      <w:r w:rsidR="00E11AD8" w:rsidRPr="00BC19F0">
        <w:rPr>
          <w:lang w:val="en-GB"/>
        </w:rPr>
        <w:t>train NF54)</w:t>
      </w:r>
      <w:r w:rsidR="00F8663A" w:rsidRPr="00BC19F0">
        <w:rPr>
          <w:lang w:val="en-GB"/>
        </w:rPr>
        <w:t xml:space="preserve"> are </w:t>
      </w:r>
      <w:r w:rsidR="00E11AD8" w:rsidRPr="00BC19F0">
        <w:rPr>
          <w:lang w:val="en-GB"/>
        </w:rPr>
        <w:t xml:space="preserve">then </w:t>
      </w:r>
      <w:r w:rsidR="00F8663A" w:rsidRPr="00BC19F0">
        <w:rPr>
          <w:lang w:val="en-GB"/>
        </w:rPr>
        <w:t xml:space="preserve">exposed to a serial dilution of </w:t>
      </w:r>
      <w:r w:rsidR="00E11AD8" w:rsidRPr="00BC19F0">
        <w:rPr>
          <w:lang w:val="en-GB"/>
        </w:rPr>
        <w:t>compound solution or</w:t>
      </w:r>
      <w:r w:rsidR="00F8663A" w:rsidRPr="00BC19F0">
        <w:rPr>
          <w:lang w:val="en-GB"/>
        </w:rPr>
        <w:t xml:space="preserve"> supernatant </w:t>
      </w:r>
      <w:r w:rsidR="00E11AD8" w:rsidRPr="00BC19F0">
        <w:rPr>
          <w:lang w:val="en-GB"/>
        </w:rPr>
        <w:t>at 1.25% haematocrit and 0.3% parasitaemia. Untreated parasites are included as positive control, whereas 1.25% uninfected red blood cells serve as negative control. Plates</w:t>
      </w:r>
      <w:r w:rsidR="00F8663A" w:rsidRPr="00BC19F0">
        <w:rPr>
          <w:lang w:val="en-GB"/>
        </w:rPr>
        <w:t xml:space="preserve"> are incubated at 37°C and 93% N</w:t>
      </w:r>
      <w:r w:rsidR="00F8663A" w:rsidRPr="00BC19F0">
        <w:rPr>
          <w:vertAlign w:val="subscript"/>
          <w:lang w:val="en-GB"/>
        </w:rPr>
        <w:t>2</w:t>
      </w:r>
      <w:r w:rsidR="00F8663A" w:rsidRPr="00BC19F0">
        <w:rPr>
          <w:lang w:val="en-GB"/>
        </w:rPr>
        <w:t>, 4% CO</w:t>
      </w:r>
      <w:r w:rsidR="00F8663A" w:rsidRPr="00BC19F0">
        <w:rPr>
          <w:vertAlign w:val="subscript"/>
          <w:lang w:val="en-GB"/>
        </w:rPr>
        <w:t>2</w:t>
      </w:r>
      <w:r w:rsidR="00F8663A" w:rsidRPr="00BC19F0">
        <w:rPr>
          <w:lang w:val="en-GB"/>
        </w:rPr>
        <w:t>, and 3% O</w:t>
      </w:r>
      <w:r w:rsidR="00F8663A" w:rsidRPr="00BC19F0">
        <w:rPr>
          <w:vertAlign w:val="subscript"/>
          <w:lang w:val="en-GB"/>
        </w:rPr>
        <w:t>2</w:t>
      </w:r>
      <w:r w:rsidR="009117C7" w:rsidRPr="00BC19F0">
        <w:rPr>
          <w:lang w:val="en-GB"/>
        </w:rPr>
        <w:t>. After 48 hours, radio</w:t>
      </w:r>
      <w:r w:rsidR="00F8663A" w:rsidRPr="00BC19F0">
        <w:rPr>
          <w:lang w:val="en-GB"/>
        </w:rPr>
        <w:t>labelled hypoxanthine is added</w:t>
      </w:r>
      <w:r w:rsidR="00E11AD8" w:rsidRPr="00BC19F0">
        <w:rPr>
          <w:lang w:val="en-GB"/>
        </w:rPr>
        <w:t xml:space="preserve">, before freezing the plates </w:t>
      </w:r>
      <w:r w:rsidR="002E6B05" w:rsidRPr="00BC19F0">
        <w:rPr>
          <w:lang w:val="en-GB"/>
        </w:rPr>
        <w:t>a</w:t>
      </w:r>
      <w:r w:rsidR="00E11AD8" w:rsidRPr="00BC19F0">
        <w:rPr>
          <w:lang w:val="en-GB"/>
        </w:rPr>
        <w:t>t -20°C another 24 hours later.</w:t>
      </w:r>
      <w:r w:rsidR="00F8663A" w:rsidRPr="00BC19F0">
        <w:rPr>
          <w:lang w:val="en-GB"/>
        </w:rPr>
        <w:t xml:space="preserve"> Thawed plates are harvested </w:t>
      </w:r>
      <w:r w:rsidR="00E11AD8" w:rsidRPr="00BC19F0">
        <w:rPr>
          <w:lang w:val="en-GB"/>
        </w:rPr>
        <w:t xml:space="preserve">as described in </w:t>
      </w:r>
      <w:r w:rsidR="009106C4">
        <w:rPr>
          <w:lang w:val="en-GB"/>
        </w:rPr>
        <w:t>chapter 2.2</w:t>
      </w:r>
      <w:r w:rsidR="00E11AD8" w:rsidRPr="00BC19F0">
        <w:rPr>
          <w:lang w:val="en-GB"/>
        </w:rPr>
        <w:t xml:space="preserve"> </w:t>
      </w:r>
      <w:r w:rsidR="00F8663A" w:rsidRPr="00BC19F0">
        <w:rPr>
          <w:lang w:val="en-GB"/>
        </w:rPr>
        <w:t xml:space="preserve">and normalized counts are used to calculate the </w:t>
      </w:r>
      <m:oMath>
        <m:r>
          <w:rPr>
            <w:rFonts w:ascii="Cambria Math" w:hAnsi="Cambria Math"/>
            <w:lang w:val="en-GB" w:eastAsia="de-DE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="00F8663A" w:rsidRPr="00BC19F0">
        <w:rPr>
          <w:lang w:val="en-GB"/>
        </w:rPr>
        <w:t xml:space="preserve">. </w:t>
      </w:r>
      <w:r w:rsidR="00EF18F6" w:rsidRPr="00BC19F0">
        <w:rPr>
          <w:lang w:val="en-GB"/>
        </w:rPr>
        <w:t>F</w:t>
      </w:r>
      <w:r w:rsidR="00E11AD8" w:rsidRPr="00BC19F0">
        <w:rPr>
          <w:lang w:val="en-GB"/>
        </w:rPr>
        <w:t xml:space="preserve">old-changes </w:t>
      </w:r>
      <w:r w:rsidR="00EF18F6" w:rsidRPr="00BC19F0">
        <w:rPr>
          <w:lang w:val="en-GB"/>
        </w:rPr>
        <w:t xml:space="preserve">of </w:t>
      </w:r>
      <m:oMath>
        <m:r>
          <w:rPr>
            <w:rFonts w:ascii="Cambria Math" w:hAnsi="Cambria Math"/>
            <w:lang w:val="en-GB" w:eastAsia="de-DE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="00EF18F6" w:rsidRPr="00BC19F0">
        <w:rPr>
          <w:lang w:val="en-GB"/>
        </w:rPr>
        <w:t xml:space="preserve"> values </w:t>
      </w:r>
      <w:r w:rsidR="00E11AD8" w:rsidRPr="00BC19F0">
        <w:rPr>
          <w:lang w:val="en-GB"/>
        </w:rPr>
        <w:t>between reference and 24 hours supernatant</w:t>
      </w:r>
      <w:r w:rsidR="00F8663A" w:rsidRPr="00BC19F0">
        <w:rPr>
          <w:lang w:val="en-GB"/>
        </w:rPr>
        <w:t xml:space="preserve"> </w:t>
      </w:r>
      <w:r w:rsidR="00EF18F6" w:rsidRPr="00BC19F0">
        <w:rPr>
          <w:lang w:val="en-GB"/>
        </w:rPr>
        <w:t>inform about</w:t>
      </w:r>
      <w:r w:rsidR="00F8663A" w:rsidRPr="00BC19F0">
        <w:rPr>
          <w:lang w:val="en-GB"/>
        </w:rPr>
        <w:t xml:space="preserve"> concentration changes.</w:t>
      </w:r>
    </w:p>
    <w:p w14:paraId="048F87CE" w14:textId="62E61E83" w:rsidR="00C94373" w:rsidRPr="00BC19F0" w:rsidRDefault="00C94373" w:rsidP="005E0274">
      <w:pPr>
        <w:pStyle w:val="Plain-Heading3-SwissTPH"/>
        <w:rPr>
          <w:lang w:val="en-GB"/>
        </w:rPr>
      </w:pPr>
      <w:r w:rsidRPr="00BC19F0">
        <w:rPr>
          <w:lang w:val="en-GB"/>
        </w:rPr>
        <w:t>Compound Washout</w:t>
      </w:r>
    </w:p>
    <w:p w14:paraId="5CEC1CA4" w14:textId="409127BC" w:rsidR="00083037" w:rsidRPr="00BC19F0" w:rsidRDefault="00C94373" w:rsidP="005E0274">
      <w:pPr>
        <w:rPr>
          <w:lang w:val="en-GB"/>
        </w:rPr>
      </w:pPr>
      <w:r w:rsidRPr="00BC19F0">
        <w:rPr>
          <w:lang w:val="en-GB"/>
        </w:rPr>
        <w:t xml:space="preserve">The compound washout assay shall assure that all compound </w:t>
      </w:r>
      <w:r w:rsidR="00083037" w:rsidRPr="00BC19F0">
        <w:rPr>
          <w:lang w:val="en-GB"/>
        </w:rPr>
        <w:t>was</w:t>
      </w:r>
      <w:r w:rsidRPr="00BC19F0">
        <w:rPr>
          <w:lang w:val="en-GB"/>
        </w:rPr>
        <w:t xml:space="preserve"> </w:t>
      </w:r>
      <w:r w:rsidR="00083037" w:rsidRPr="00BC19F0">
        <w:rPr>
          <w:lang w:val="en-GB"/>
        </w:rPr>
        <w:t xml:space="preserve">fully </w:t>
      </w:r>
      <w:r w:rsidRPr="00BC19F0">
        <w:rPr>
          <w:lang w:val="en-GB"/>
        </w:rPr>
        <w:t>removed</w:t>
      </w:r>
      <w:r w:rsidR="00083037" w:rsidRPr="00BC19F0">
        <w:rPr>
          <w:lang w:val="en-GB"/>
        </w:rPr>
        <w:t xml:space="preserve"> from the sample</w:t>
      </w:r>
      <w:r w:rsidRPr="00BC19F0">
        <w:rPr>
          <w:lang w:val="en-GB"/>
        </w:rPr>
        <w:t xml:space="preserve"> before performing the serial dilution</w:t>
      </w:r>
      <w:r w:rsidR="00083037" w:rsidRPr="00BC19F0">
        <w:rPr>
          <w:lang w:val="en-GB"/>
        </w:rPr>
        <w:t xml:space="preserve"> in 96-well plates. T</w:t>
      </w:r>
      <w:r w:rsidR="00757926" w:rsidRPr="00BC19F0">
        <w:rPr>
          <w:lang w:val="en-GB"/>
        </w:rPr>
        <w:t>his avoids overestima</w:t>
      </w:r>
      <w:r w:rsidR="009117C7" w:rsidRPr="00BC19F0">
        <w:rPr>
          <w:lang w:val="en-GB"/>
        </w:rPr>
        <w:t xml:space="preserve">tion of </w:t>
      </w:r>
      <w:r w:rsidR="00083037" w:rsidRPr="00BC19F0">
        <w:rPr>
          <w:lang w:val="en-GB"/>
        </w:rPr>
        <w:t>compound potency</w:t>
      </w:r>
      <w:r w:rsidR="00757926" w:rsidRPr="00BC19F0">
        <w:rPr>
          <w:lang w:val="en-GB"/>
        </w:rPr>
        <w:t xml:space="preserve"> caused by an inhibiting effect of drug remnants on the parasites. </w:t>
      </w:r>
    </w:p>
    <w:p w14:paraId="6C249F22" w14:textId="3E7B7E56" w:rsidR="00C94373" w:rsidRPr="00BC19F0" w:rsidRDefault="009117C7" w:rsidP="005E0274">
      <w:pPr>
        <w:rPr>
          <w:lang w:val="en-GB"/>
        </w:rPr>
      </w:pPr>
      <w:r w:rsidRPr="005E0274">
        <w:rPr>
          <w:lang w:val="en-GB"/>
        </w:rPr>
        <w:t>The</w:t>
      </w:r>
      <w:r w:rsidR="00757926" w:rsidRPr="005E0274">
        <w:rPr>
          <w:lang w:val="en-GB"/>
        </w:rPr>
        <w:t xml:space="preserve"> washout sample is collected during the treatment period of the PRR assay. After 24 hours of treatment, an aliquot of the treated culture is washed at leas</w:t>
      </w:r>
      <w:r w:rsidRPr="005E0274">
        <w:rPr>
          <w:lang w:val="en-GB"/>
        </w:rPr>
        <w:t>t three times in culture medium.</w:t>
      </w:r>
      <w:r w:rsidR="00757926" w:rsidRPr="005E0274">
        <w:rPr>
          <w:lang w:val="en-GB"/>
        </w:rPr>
        <w:t xml:space="preserve"> After the second last washing step, </w:t>
      </w:r>
      <w:r w:rsidRPr="005E0274">
        <w:rPr>
          <w:lang w:val="en-GB"/>
        </w:rPr>
        <w:t>1</w:t>
      </w:r>
      <w:r w:rsidR="00757926" w:rsidRPr="005E0274">
        <w:rPr>
          <w:lang w:val="en-GB"/>
        </w:rPr>
        <w:t xml:space="preserve"> ml of supern</w:t>
      </w:r>
      <w:r w:rsidRPr="005E0274">
        <w:rPr>
          <w:lang w:val="en-GB"/>
        </w:rPr>
        <w:t>atant is</w:t>
      </w:r>
      <w:r w:rsidR="00757926" w:rsidRPr="005E0274">
        <w:rPr>
          <w:lang w:val="en-GB"/>
        </w:rPr>
        <w:t xml:space="preserve"> collected and diluted in accordance with the actual PRR sample. Thereby, further dilution within the compound washout assay must be considered.</w:t>
      </w:r>
      <w:r w:rsidRPr="00BC19F0">
        <w:rPr>
          <w:lang w:val="en-GB"/>
        </w:rPr>
        <w:t xml:space="preserve"> Naïve </w:t>
      </w:r>
      <w:r w:rsidRPr="005E0274">
        <w:rPr>
          <w:i/>
          <w:lang w:val="en-GB"/>
        </w:rPr>
        <w:t xml:space="preserve">P. falciparum </w:t>
      </w:r>
      <w:r w:rsidRPr="00BC19F0">
        <w:rPr>
          <w:lang w:val="en-GB"/>
        </w:rPr>
        <w:t>parasites (strain NF54) are then exposed to a serial dilution of this supernatant at 1.25% haematocrit and 0.3% parasitaemia. Untreated parasites are included as positive control, whereas 1.25% uninfected red blood cells serve as negative control. Cultures are incubated at 37°C and 93% N</w:t>
      </w:r>
      <w:r w:rsidRPr="005E0274">
        <w:rPr>
          <w:vertAlign w:val="subscript"/>
          <w:lang w:val="en-GB"/>
        </w:rPr>
        <w:t>2</w:t>
      </w:r>
      <w:r w:rsidRPr="00BC19F0">
        <w:rPr>
          <w:lang w:val="en-GB"/>
        </w:rPr>
        <w:t>, 4% CO</w:t>
      </w:r>
      <w:r w:rsidRPr="005E0274">
        <w:rPr>
          <w:vertAlign w:val="subscript"/>
          <w:lang w:val="en-GB"/>
        </w:rPr>
        <w:t>2</w:t>
      </w:r>
      <w:r w:rsidRPr="00BC19F0">
        <w:rPr>
          <w:lang w:val="en-GB"/>
        </w:rPr>
        <w:t>, and 3% O</w:t>
      </w:r>
      <w:r w:rsidRPr="005E0274">
        <w:rPr>
          <w:vertAlign w:val="subscript"/>
          <w:lang w:val="en-GB"/>
        </w:rPr>
        <w:t>2</w:t>
      </w:r>
      <w:r w:rsidRPr="00BC19F0">
        <w:rPr>
          <w:lang w:val="en-GB"/>
        </w:rPr>
        <w:t xml:space="preserve">. After 48 hours, radiolabelled hypoxanthine is added, before freezing the plates at -20°C another 24 hours later. Thawed plates are harvested as described in </w:t>
      </w:r>
      <w:r w:rsidR="009106C4">
        <w:rPr>
          <w:lang w:val="en-GB"/>
        </w:rPr>
        <w:t>chapter 2.2</w:t>
      </w:r>
      <w:r w:rsidRPr="00BC19F0">
        <w:rPr>
          <w:lang w:val="en-GB"/>
        </w:rPr>
        <w:t xml:space="preserve"> and normalized counts are used to calculate the </w:t>
      </w:r>
      <m:oMath>
        <m:r>
          <w:rPr>
            <w:rFonts w:ascii="Cambria Math" w:hAnsi="Cambria Math"/>
            <w:lang w:val="en-GB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Pr="00BC19F0">
        <w:rPr>
          <w:lang w:val="en-GB"/>
        </w:rPr>
        <w:t>. Successful washout is observed when growth of supernatant-treated parasites is comparable to that of the untreated controls.</w:t>
      </w:r>
    </w:p>
    <w:p w14:paraId="368FE4FC" w14:textId="2332262A" w:rsidR="004F2127" w:rsidRPr="00BC19F0" w:rsidRDefault="004F2127" w:rsidP="005E0274">
      <w:pPr>
        <w:pStyle w:val="Heading3"/>
        <w:rPr>
          <w:lang w:val="en-GB"/>
        </w:rPr>
      </w:pPr>
      <w:r w:rsidRPr="00BC19F0">
        <w:rPr>
          <w:lang w:val="en-GB"/>
        </w:rPr>
        <w:t>Growth Control</w:t>
      </w:r>
    </w:p>
    <w:p w14:paraId="70AF23FE" w14:textId="0B2EE11E" w:rsidR="005E26EF" w:rsidRDefault="004F2127" w:rsidP="005E0274">
      <w:pPr>
        <w:rPr>
          <w:lang w:eastAsia="de-DE"/>
        </w:rPr>
      </w:pPr>
      <w:r w:rsidRPr="00BC19F0">
        <w:rPr>
          <w:lang w:eastAsia="de-DE"/>
        </w:rPr>
        <w:t xml:space="preserve">Untreated controls sampled </w:t>
      </w:r>
      <w:r w:rsidRPr="00A511B6">
        <w:rPr>
          <w:lang w:eastAsia="de-DE"/>
        </w:rPr>
        <w:t>at 0, 24, and 48 hours</w:t>
      </w:r>
      <w:r w:rsidRPr="00BC19F0">
        <w:rPr>
          <w:lang w:eastAsia="de-DE"/>
        </w:rPr>
        <w:t xml:space="preserve"> allow </w:t>
      </w:r>
      <w:r w:rsidR="0051146F" w:rsidRPr="00BC19F0">
        <w:rPr>
          <w:lang w:eastAsia="de-DE"/>
        </w:rPr>
        <w:t>monitoring</w:t>
      </w:r>
      <w:r w:rsidR="00745B36" w:rsidRPr="00BC19F0">
        <w:rPr>
          <w:lang w:eastAsia="de-DE"/>
        </w:rPr>
        <w:t xml:space="preserve"> parasite growth.</w:t>
      </w:r>
    </w:p>
    <w:p w14:paraId="207EF8D1" w14:textId="77777777" w:rsidR="00A511B6" w:rsidRPr="00BC19F0" w:rsidRDefault="00A511B6" w:rsidP="005E0274">
      <w:pPr>
        <w:rPr>
          <w:lang w:eastAsia="de-DE"/>
        </w:rPr>
      </w:pPr>
    </w:p>
    <w:p w14:paraId="3A095F2F" w14:textId="552305F7" w:rsidR="00B457EC" w:rsidRPr="00BC19F0" w:rsidRDefault="00B457EC" w:rsidP="00B457EC">
      <w:pPr>
        <w:pStyle w:val="Heading1"/>
      </w:pPr>
      <w:bookmarkStart w:id="15" w:name="_Toc55294724"/>
      <w:r w:rsidRPr="00BC19F0">
        <w:lastRenderedPageBreak/>
        <w:t>Results</w:t>
      </w:r>
      <w:bookmarkEnd w:id="15"/>
    </w:p>
    <w:p w14:paraId="149565AB" w14:textId="4A1ECD45" w:rsidR="008B7EF6" w:rsidRPr="00BC19F0" w:rsidRDefault="008B7EF6" w:rsidP="008B7EF6">
      <w:pPr>
        <w:pStyle w:val="Heading2"/>
        <w:rPr>
          <w:lang w:val="en-GB" w:eastAsia="de-DE"/>
        </w:rPr>
      </w:pPr>
      <w:r w:rsidRPr="00BC19F0">
        <w:rPr>
          <w:lang w:val="en-GB" w:eastAsia="de-DE"/>
        </w:rPr>
        <w:t>Determination</w:t>
      </w:r>
      <w:r w:rsidR="00E66A77" w:rsidRPr="00BC19F0">
        <w:rPr>
          <w:lang w:val="en-GB" w:eastAsia="de-DE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lang w:val="en-GB" w:eastAsia="de-DE"/>
          </w:rPr>
          <m:t>I</m:t>
        </m:r>
        <m:sSub>
          <m:sSubPr>
            <m:ctrlPr>
              <w:rPr>
                <w:rFonts w:ascii="Cambria Math" w:hAnsi="Cambria Math"/>
                <w:i/>
                <w:lang w:val="en-GB" w:eastAsia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 w:eastAsia="de-D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 w:eastAsia="de-DE"/>
              </w:rPr>
              <m:t>50</m:t>
            </m:r>
          </m:sub>
        </m:sSub>
      </m:oMath>
      <w:r w:rsidR="00E66A77" w:rsidRPr="00BC19F0">
        <w:rPr>
          <w:lang w:val="en-GB" w:eastAsia="de-DE"/>
        </w:rPr>
        <w:t xml:space="preserve"> Value</w:t>
      </w:r>
      <w:r w:rsidR="00FE1118" w:rsidRPr="00BC19F0">
        <w:rPr>
          <w:lang w:val="en-GB" w:eastAsia="de-DE"/>
        </w:rPr>
        <w:t>s</w:t>
      </w:r>
    </w:p>
    <w:p w14:paraId="41F6724F" w14:textId="28D474D6" w:rsidR="003D1CBB" w:rsidRPr="00BC19F0" w:rsidRDefault="003D1CBB" w:rsidP="00FE1118">
      <w:pPr>
        <w:pStyle w:val="TableFigure"/>
        <w:jc w:val="both"/>
        <w:rPr>
          <w:i w:val="0"/>
          <w:sz w:val="22"/>
          <w:szCs w:val="22"/>
        </w:rPr>
      </w:pPr>
      <w:r w:rsidRPr="00BC19F0">
        <w:rPr>
          <w:i w:val="0"/>
          <w:sz w:val="22"/>
          <w:szCs w:val="22"/>
        </w:rPr>
        <w:t xml:space="preserve">The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Pr="00BC19F0">
        <w:rPr>
          <w:i w:val="0"/>
          <w:sz w:val="22"/>
          <w:szCs w:val="22"/>
        </w:rPr>
        <w:t xml:space="preserve"> values were determined using freshly prepared compound stocks</w:t>
      </w:r>
      <w:r w:rsidR="00B67D76" w:rsidRPr="00BC19F0">
        <w:rPr>
          <w:i w:val="0"/>
          <w:sz w:val="22"/>
          <w:szCs w:val="22"/>
        </w:rPr>
        <w:t xml:space="preserve">. </w:t>
      </w:r>
      <w:r w:rsidR="00B67D76" w:rsidRPr="00A511B6">
        <w:rPr>
          <w:i w:val="0"/>
          <w:sz w:val="22"/>
          <w:szCs w:val="22"/>
        </w:rPr>
        <w:t>For</w:t>
      </w:r>
      <w:r w:rsidR="00ED00D6" w:rsidRPr="00A511B6">
        <w:rPr>
          <w:i w:val="0"/>
          <w:sz w:val="22"/>
          <w:szCs w:val="22"/>
        </w:rPr>
        <w:t xml:space="preserve"> </w:t>
      </w:r>
      <w:r w:rsidR="00A511B6" w:rsidRPr="00A511B6">
        <w:rPr>
          <w:i w:val="0"/>
          <w:sz w:val="22"/>
          <w:szCs w:val="22"/>
        </w:rPr>
        <w:t>MMV025100-09</w:t>
      </w:r>
      <w:r w:rsidR="00A47787" w:rsidRPr="00A511B6">
        <w:rPr>
          <w:i w:val="0"/>
          <w:sz w:val="22"/>
          <w:szCs w:val="22"/>
        </w:rPr>
        <w:t xml:space="preserve">, the here reported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ED00D6" w:rsidRPr="00A511B6">
        <w:rPr>
          <w:i w:val="0"/>
          <w:sz w:val="22"/>
          <w:szCs w:val="22"/>
        </w:rPr>
        <w:t xml:space="preserve"> value</w:t>
      </w:r>
      <w:r w:rsidR="007E17B2" w:rsidRPr="00A511B6">
        <w:rPr>
          <w:i w:val="0"/>
          <w:sz w:val="22"/>
          <w:szCs w:val="22"/>
        </w:rPr>
        <w:t xml:space="preserve"> </w:t>
      </w:r>
      <w:r w:rsidR="00A47787" w:rsidRPr="00A511B6">
        <w:rPr>
          <w:i w:val="0"/>
          <w:sz w:val="22"/>
          <w:szCs w:val="22"/>
        </w:rPr>
        <w:t>was used in the PRR assay, whilst for Pyrimetha</w:t>
      </w:r>
      <w:r w:rsidR="00A47787">
        <w:rPr>
          <w:i w:val="0"/>
          <w:sz w:val="22"/>
          <w:szCs w:val="22"/>
        </w:rPr>
        <w:t xml:space="preserve">mine, the published value was used </w:t>
      </w:r>
      <w:r w:rsidR="00A55DAB" w:rsidRPr="00BC19F0">
        <w:rPr>
          <w:i w:val="0"/>
          <w:sz w:val="22"/>
          <w:szCs w:val="22"/>
        </w:rPr>
        <w:fldChar w:fldCharType="begin">
          <w:fldData xml:space="preserve">PEVuZE5vdGU+PENpdGU+PEF1dGhvcj5EZWx2ZXM8L0F1dGhvcj48WWVhcj4yMDEyPC9ZZWFyPjxS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</w:fldData>
        </w:fldChar>
      </w:r>
      <w:r w:rsidR="00A47787">
        <w:rPr>
          <w:i w:val="0"/>
          <w:sz w:val="22"/>
          <w:szCs w:val="22"/>
        </w:rPr>
        <w:instrText xml:space="preserve"> ADDIN EN.CITE </w:instrText>
      </w:r>
      <w:r w:rsidR="00A47787">
        <w:rPr>
          <w:i w:val="0"/>
          <w:sz w:val="22"/>
          <w:szCs w:val="22"/>
        </w:rPr>
        <w:fldChar w:fldCharType="begin">
          <w:fldData xml:space="preserve">PEVuZE5vdGU+PENpdGU+PEF1dGhvcj5EZWx2ZXM8L0F1dGhvcj48WWVhcj4yMDEyPC9ZZWFyPjxS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</w:fldData>
        </w:fldChar>
      </w:r>
      <w:r w:rsidR="00A47787">
        <w:rPr>
          <w:i w:val="0"/>
          <w:sz w:val="22"/>
          <w:szCs w:val="22"/>
        </w:rPr>
        <w:instrText xml:space="preserve"> ADDIN EN.CITE.DATA </w:instrText>
      </w:r>
      <w:r w:rsidR="00A47787">
        <w:rPr>
          <w:i w:val="0"/>
          <w:sz w:val="22"/>
          <w:szCs w:val="22"/>
        </w:rPr>
      </w:r>
      <w:r w:rsidR="00A47787">
        <w:rPr>
          <w:i w:val="0"/>
          <w:sz w:val="22"/>
          <w:szCs w:val="22"/>
        </w:rPr>
        <w:fldChar w:fldCharType="end"/>
      </w:r>
      <w:r w:rsidR="00A55DAB" w:rsidRPr="00BC19F0">
        <w:rPr>
          <w:i w:val="0"/>
          <w:sz w:val="22"/>
          <w:szCs w:val="22"/>
        </w:rPr>
      </w:r>
      <w:r w:rsidR="00A55DAB" w:rsidRPr="00BC19F0">
        <w:rPr>
          <w:i w:val="0"/>
          <w:sz w:val="22"/>
          <w:szCs w:val="22"/>
        </w:rPr>
        <w:fldChar w:fldCharType="separate"/>
      </w:r>
      <w:r w:rsidR="00A47787">
        <w:rPr>
          <w:i w:val="0"/>
          <w:noProof/>
          <w:sz w:val="22"/>
          <w:szCs w:val="22"/>
        </w:rPr>
        <w:t>(2)</w:t>
      </w:r>
      <w:r w:rsidR="00A55DAB" w:rsidRPr="00BC19F0">
        <w:rPr>
          <w:i w:val="0"/>
          <w:sz w:val="22"/>
          <w:szCs w:val="22"/>
        </w:rPr>
        <w:fldChar w:fldCharType="end"/>
      </w:r>
      <w:r w:rsidR="00B67D76" w:rsidRPr="00BC19F0">
        <w:rPr>
          <w:i w:val="0"/>
          <w:sz w:val="22"/>
          <w:szCs w:val="22"/>
        </w:rPr>
        <w:t>.</w:t>
      </w:r>
    </w:p>
    <w:p w14:paraId="7B1D270C" w14:textId="0E4FF655" w:rsidR="001653D8" w:rsidRDefault="001653D8" w:rsidP="00EF18F6">
      <w:pPr>
        <w:pStyle w:val="TableFigure"/>
        <w:jc w:val="both"/>
      </w:pPr>
      <w:r w:rsidRPr="00BC19F0">
        <w:rPr>
          <w:b/>
        </w:rPr>
        <w:t>Table 3:</w:t>
      </w:r>
      <w:r w:rsidRPr="00BC19F0">
        <w:t xml:space="preserve"> </w:t>
      </w:r>
      <w:r w:rsidR="00DC3D35" w:rsidRPr="00BC19F0">
        <w:t>Average</w:t>
      </w:r>
      <w:r w:rsidR="00314CEA" w:rsidRPr="00BC19F0">
        <w:t xml:space="preserve"> [minimum, maximum]</w:t>
      </w:r>
      <w:r w:rsidR="00DC3D35" w:rsidRPr="00BC19F0">
        <w:t xml:space="preserve">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Pr="00BC19F0">
        <w:rPr>
          <w:vertAlign w:val="subscript"/>
        </w:rPr>
        <w:t xml:space="preserve"> </w:t>
      </w:r>
      <w:r w:rsidRPr="00BC19F0">
        <w:t>values generated with the in vitro growth inhibition assay</w:t>
      </w:r>
      <w:r w:rsidR="00FF0756" w:rsidRPr="00BC19F0">
        <w:t xml:space="preserve"> ([</w:t>
      </w:r>
      <w:r w:rsidR="00FF0756" w:rsidRPr="00BC19F0">
        <w:rPr>
          <w:vertAlign w:val="superscript"/>
        </w:rPr>
        <w:t>3</w:t>
      </w:r>
      <w:r w:rsidR="00FF0756" w:rsidRPr="00BC19F0">
        <w:t>H]hypoxanthine, 72h)</w:t>
      </w:r>
      <w:r w:rsidRPr="00BC19F0">
        <w:t xml:space="preserve"> </w:t>
      </w:r>
      <w:r w:rsidR="00314CEA" w:rsidRPr="00BC19F0">
        <w:t>from</w:t>
      </w:r>
      <w:r w:rsidRPr="00BC19F0">
        <w:t xml:space="preserve"> </w:t>
      </w:r>
      <w:r w:rsidRPr="00BC19F0">
        <w:rPr>
          <w:rFonts w:cs="Arial"/>
        </w:rPr>
        <w:t>≥</w:t>
      </w:r>
      <w:r w:rsidRPr="00BC19F0">
        <w:t xml:space="preserve"> two biological replicates are indicated in brackets.</w:t>
      </w:r>
      <w:r w:rsidR="00FE1118" w:rsidRPr="00BC19F0">
        <w:t xml:space="preserve"> Chloroq</w:t>
      </w:r>
      <w:r w:rsidR="00D458A1" w:rsidRPr="00BC19F0">
        <w:t>u</w:t>
      </w:r>
      <w:r w:rsidR="00B67D76" w:rsidRPr="00BC19F0">
        <w:t xml:space="preserve">ine </w:t>
      </w:r>
      <w:r w:rsidR="0091019A" w:rsidRPr="00BC19F0">
        <w:t xml:space="preserve">diphosphate </w:t>
      </w:r>
      <w:r w:rsidR="00B67D76" w:rsidRPr="00BC19F0">
        <w:t>served as internal control</w:t>
      </w:r>
      <w:r w:rsidR="00FE1118" w:rsidRPr="00BC19F0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6"/>
        <w:gridCol w:w="2630"/>
        <w:gridCol w:w="2268"/>
        <w:gridCol w:w="2403"/>
      </w:tblGrid>
      <w:tr w:rsidR="00FB401C" w:rsidRPr="00BC19F0" w14:paraId="3C52FF5B" w14:textId="77777777" w:rsidTr="00A5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tcW w:w="1986" w:type="dxa"/>
          </w:tcPr>
          <w:p w14:paraId="64093E98" w14:textId="77777777" w:rsidR="00FB401C" w:rsidRPr="00BC19F0" w:rsidRDefault="00FB401C" w:rsidP="00A511B6">
            <w:pPr>
              <w:pStyle w:val="Table-Header"/>
              <w:jc w:val="center"/>
              <w:rPr>
                <w:b/>
              </w:rPr>
            </w:pPr>
            <w:r w:rsidRPr="00BC19F0">
              <w:rPr>
                <w:b/>
              </w:rPr>
              <w:t>MMV ID</w:t>
            </w:r>
          </w:p>
        </w:tc>
        <w:tc>
          <w:tcPr>
            <w:tcW w:w="2630" w:type="dxa"/>
          </w:tcPr>
          <w:p w14:paraId="51B34122" w14:textId="77777777" w:rsidR="00FB401C" w:rsidRPr="00BC19F0" w:rsidRDefault="00FB401C" w:rsidP="00A511B6">
            <w:pPr>
              <w:pStyle w:val="Table-Header"/>
              <w:jc w:val="center"/>
              <w:rPr>
                <w:b/>
              </w:rPr>
            </w:pPr>
            <w:r w:rsidRPr="00BC19F0">
              <w:rPr>
                <w:b/>
              </w:rPr>
              <w:t>Compound name</w:t>
            </w:r>
          </w:p>
        </w:tc>
        <w:tc>
          <w:tcPr>
            <w:tcW w:w="2268" w:type="dxa"/>
          </w:tcPr>
          <w:p w14:paraId="64D68F1D" w14:textId="77777777" w:rsidR="00FB401C" w:rsidRPr="00ED5EF5" w:rsidRDefault="00FB401C" w:rsidP="00A511B6">
            <w:pPr>
              <w:pStyle w:val="Table-Header"/>
              <w:jc w:val="center"/>
              <w:rPr>
                <w:b/>
              </w:rPr>
            </w:pPr>
            <w:r>
              <w:rPr>
                <w:b/>
              </w:rPr>
              <w:t>Published/provided</w:t>
            </w:r>
            <w:r w:rsidRPr="00BC19F0">
              <w:rPr>
                <w:b/>
              </w:rPr>
              <w:t xml:space="preserve"> </w:t>
            </w:r>
            <m:oMath>
              <m:r>
                <w:rPr>
                  <w:rFonts w:ascii="Cambria Math" w:hAnsi="Cambria Math"/>
                  <w:lang w:eastAsia="de-DE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50</m:t>
                  </m:r>
                </m:sub>
              </m:sSub>
            </m:oMath>
            <w:r>
              <w:rPr>
                <w:b/>
              </w:rPr>
              <w:t xml:space="preserve"> (nM)</w:t>
            </w:r>
          </w:p>
        </w:tc>
        <w:tc>
          <w:tcPr>
            <w:tcW w:w="2403" w:type="dxa"/>
          </w:tcPr>
          <w:p w14:paraId="464ABD75" w14:textId="662391CB" w:rsidR="00FB401C" w:rsidRPr="00BC19F0" w:rsidRDefault="00FB401C" w:rsidP="00A511B6">
            <w:pPr>
              <w:pStyle w:val="Table-Header"/>
              <w:jc w:val="center"/>
              <w:rPr>
                <w:b/>
              </w:rPr>
            </w:pPr>
            <w:r>
              <w:rPr>
                <w:b/>
              </w:rPr>
              <w:t>Measured a</w:t>
            </w:r>
            <w:r w:rsidRPr="00BC19F0">
              <w:rPr>
                <w:b/>
              </w:rPr>
              <w:t xml:space="preserve">verage </w:t>
            </w:r>
            <m:oMath>
              <m:r>
                <w:rPr>
                  <w:rFonts w:ascii="Cambria Math" w:hAnsi="Cambria Math"/>
                  <w:lang w:eastAsia="de-DE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50</m:t>
                  </m:r>
                </m:sub>
              </m:sSub>
            </m:oMath>
            <w:r w:rsidRPr="00BC19F0">
              <w:rPr>
                <w:b/>
              </w:rPr>
              <w:t xml:space="preserve"> [min, max]</w:t>
            </w:r>
            <w:r>
              <w:rPr>
                <w:b/>
              </w:rPr>
              <w:t xml:space="preserve"> (nM)</w:t>
            </w:r>
          </w:p>
        </w:tc>
      </w:tr>
      <w:tr w:rsidR="00FB401C" w:rsidRPr="00BC19F0" w14:paraId="00784472" w14:textId="77777777" w:rsidTr="00A511B6">
        <w:trPr>
          <w:trHeight w:val="25"/>
        </w:trPr>
        <w:tc>
          <w:tcPr>
            <w:tcW w:w="1986" w:type="dxa"/>
            <w:noWrap/>
            <w:hideMark/>
          </w:tcPr>
          <w:p w14:paraId="571B1555" w14:textId="18064D1C" w:rsidR="00FB401C" w:rsidRPr="00A511B6" w:rsidRDefault="00A511B6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2"/>
                <w:lang w:val="en-US" w:eastAsia="de-CH"/>
              </w:rPr>
            </w:pPr>
            <w:r w:rsidRPr="00A511B6">
              <w:t>MMV025100-09</w:t>
            </w:r>
          </w:p>
        </w:tc>
        <w:tc>
          <w:tcPr>
            <w:tcW w:w="2630" w:type="dxa"/>
            <w:noWrap/>
            <w:hideMark/>
          </w:tcPr>
          <w:p w14:paraId="450E3E76" w14:textId="2D3D7132" w:rsidR="00FB401C" w:rsidRPr="00A511B6" w:rsidRDefault="00A511B6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2"/>
                <w:lang w:val="en-US" w:eastAsia="de-CH"/>
              </w:rPr>
            </w:pPr>
            <w:r w:rsidRPr="00A511B6">
              <w:t>OSM-S-106</w:t>
            </w:r>
          </w:p>
        </w:tc>
        <w:tc>
          <w:tcPr>
            <w:tcW w:w="2268" w:type="dxa"/>
          </w:tcPr>
          <w:p w14:paraId="4E7F13E0" w14:textId="3B65D423" w:rsidR="00FB401C" w:rsidRPr="002D7F62" w:rsidRDefault="00A511B6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highlight w:val="yellow"/>
                <w:lang w:eastAsia="de-CH"/>
              </w:rPr>
            </w:pPr>
            <w:r w:rsidRPr="00A511B6">
              <w:t>NA</w:t>
            </w:r>
          </w:p>
        </w:tc>
        <w:tc>
          <w:tcPr>
            <w:tcW w:w="2403" w:type="dxa"/>
            <w:noWrap/>
            <w:hideMark/>
          </w:tcPr>
          <w:p w14:paraId="7C2A5E80" w14:textId="227F80F1" w:rsidR="00FB401C" w:rsidRPr="002D7F62" w:rsidRDefault="00A511B6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2"/>
                <w:highlight w:val="yellow"/>
                <w:lang w:val="en-US" w:eastAsia="de-CH"/>
              </w:rPr>
            </w:pPr>
            <w:r w:rsidRPr="00A511B6">
              <w:t>167.9 [154, 181.8]</w:t>
            </w:r>
          </w:p>
        </w:tc>
      </w:tr>
      <w:tr w:rsidR="00FB401C" w:rsidRPr="00BC19F0" w14:paraId="3F1B75D7" w14:textId="77777777" w:rsidTr="00A511B6">
        <w:trPr>
          <w:trHeight w:val="50"/>
        </w:trPr>
        <w:tc>
          <w:tcPr>
            <w:tcW w:w="1986" w:type="dxa"/>
            <w:noWrap/>
            <w:hideMark/>
          </w:tcPr>
          <w:p w14:paraId="20E68B47" w14:textId="77777777" w:rsidR="00FB401C" w:rsidRPr="00BC19F0" w:rsidRDefault="00FB401C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2"/>
                <w:lang w:val="de-CH" w:eastAsia="de-CH"/>
              </w:rPr>
            </w:pPr>
            <w:r w:rsidRPr="00BC19F0">
              <w:t>MMV000024-16</w:t>
            </w:r>
          </w:p>
        </w:tc>
        <w:tc>
          <w:tcPr>
            <w:tcW w:w="2630" w:type="dxa"/>
            <w:noWrap/>
            <w:hideMark/>
          </w:tcPr>
          <w:p w14:paraId="4779EFAC" w14:textId="77777777" w:rsidR="00FB401C" w:rsidRPr="00BC19F0" w:rsidRDefault="00FB401C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2"/>
                <w:lang w:val="de-CH" w:eastAsia="de-CH"/>
              </w:rPr>
            </w:pPr>
            <w:r w:rsidRPr="00BC19F0">
              <w:t>Pyrimethamine</w:t>
            </w:r>
          </w:p>
        </w:tc>
        <w:tc>
          <w:tcPr>
            <w:tcW w:w="2268" w:type="dxa"/>
          </w:tcPr>
          <w:p w14:paraId="2BEC6666" w14:textId="77777777" w:rsidR="00FB401C" w:rsidRPr="00BC19F0" w:rsidRDefault="00FB401C" w:rsidP="00A511B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val="de-CH" w:eastAsia="de-CH"/>
              </w:rPr>
            </w:pPr>
            <w:r w:rsidRPr="00BC19F0">
              <w:t xml:space="preserve">17 </w:t>
            </w:r>
          </w:p>
        </w:tc>
        <w:tc>
          <w:tcPr>
            <w:tcW w:w="2403" w:type="dxa"/>
            <w:noWrap/>
          </w:tcPr>
          <w:p w14:paraId="27212F2C" w14:textId="134033DC" w:rsidR="00FB401C" w:rsidRPr="00BC19F0" w:rsidRDefault="00A511B6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2"/>
                <w:lang w:val="de-CH" w:eastAsia="de-CH"/>
              </w:rPr>
            </w:pPr>
            <w:r w:rsidRPr="00A511B6">
              <w:t>18.3 [17.5, 19.2]</w:t>
            </w:r>
          </w:p>
        </w:tc>
      </w:tr>
      <w:tr w:rsidR="00FB401C" w:rsidRPr="00BC19F0" w14:paraId="49E69B0E" w14:textId="77777777" w:rsidTr="00A511B6">
        <w:trPr>
          <w:trHeight w:val="71"/>
        </w:trPr>
        <w:tc>
          <w:tcPr>
            <w:tcW w:w="1986" w:type="dxa"/>
            <w:noWrap/>
            <w:hideMark/>
          </w:tcPr>
          <w:p w14:paraId="1B847E31" w14:textId="77777777" w:rsidR="00FB401C" w:rsidRPr="00BC19F0" w:rsidRDefault="00FB401C" w:rsidP="00A511B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2"/>
                <w:lang w:val="de-CH" w:eastAsia="de-CH"/>
              </w:rPr>
            </w:pPr>
            <w:r w:rsidRPr="00BC19F0">
              <w:t>MMV000008-29</w:t>
            </w:r>
          </w:p>
        </w:tc>
        <w:tc>
          <w:tcPr>
            <w:tcW w:w="2630" w:type="dxa"/>
            <w:noWrap/>
            <w:hideMark/>
          </w:tcPr>
          <w:p w14:paraId="44E9E369" w14:textId="77777777" w:rsidR="00FB401C" w:rsidRPr="00BC19F0" w:rsidRDefault="00FB401C" w:rsidP="00A511B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2"/>
                <w:lang w:val="de-CH" w:eastAsia="de-CH"/>
              </w:rPr>
            </w:pPr>
            <w:r w:rsidRPr="00BC19F0">
              <w:t>Chloroquine diphosphate</w:t>
            </w:r>
          </w:p>
        </w:tc>
        <w:tc>
          <w:tcPr>
            <w:tcW w:w="2268" w:type="dxa"/>
          </w:tcPr>
          <w:p w14:paraId="5BC6032B" w14:textId="77777777" w:rsidR="00FB401C" w:rsidRPr="00BC19F0" w:rsidRDefault="00FB401C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C19F0">
              <w:t>1</w:t>
            </w:r>
            <w:r>
              <w:t>1</w:t>
            </w:r>
            <w:r w:rsidRPr="00BC19F0">
              <w:t>.2</w:t>
            </w:r>
          </w:p>
        </w:tc>
        <w:tc>
          <w:tcPr>
            <w:tcW w:w="2403" w:type="dxa"/>
            <w:noWrap/>
          </w:tcPr>
          <w:p w14:paraId="56746229" w14:textId="4C7DFE81" w:rsidR="00FB401C" w:rsidRPr="00BC19F0" w:rsidRDefault="00A511B6" w:rsidP="00A511B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2"/>
                <w:lang w:val="de-CH" w:eastAsia="de-CH"/>
              </w:rPr>
            </w:pPr>
            <w:r w:rsidRPr="00A511B6">
              <w:t>8.4 [8, 8.8]</w:t>
            </w:r>
          </w:p>
        </w:tc>
      </w:tr>
    </w:tbl>
    <w:p w14:paraId="29BA15F6" w14:textId="0D5D05F2" w:rsidR="00122133" w:rsidRPr="00BC19F0" w:rsidRDefault="008B7EF6" w:rsidP="00122133">
      <w:pPr>
        <w:pStyle w:val="Heading2"/>
        <w:rPr>
          <w:lang w:val="en-GB" w:eastAsia="de-DE"/>
        </w:rPr>
      </w:pPr>
      <w:r w:rsidRPr="00BC19F0">
        <w:rPr>
          <w:lang w:val="en-GB" w:eastAsia="de-DE"/>
        </w:rPr>
        <w:t>Killing Curves</w:t>
      </w:r>
      <w:r w:rsidR="00122133" w:rsidRPr="00BC19F0">
        <w:rPr>
          <w:lang w:val="en-GB" w:eastAsia="de-DE"/>
        </w:rPr>
        <w:t xml:space="preserve"> and Parameters</w:t>
      </w:r>
    </w:p>
    <w:p w14:paraId="5C9872C2" w14:textId="51BEAC03" w:rsidR="00A3300F" w:rsidRPr="00A511B6" w:rsidRDefault="00A511B6" w:rsidP="00122133">
      <w:pPr>
        <w:pStyle w:val="TableFigure"/>
        <w:jc w:val="center"/>
      </w:pPr>
      <w:r w:rsidRPr="00A511B6">
        <w:rPr>
          <w:noProof/>
          <w:color w:val="000000" w:themeColor="text1"/>
          <w:lang w:val="de-CH" w:eastAsia="de-CH"/>
        </w:rPr>
        <w:pict w14:anchorId="2C5255DD">
          <v:shape id="_x0000_i1031" type="#_x0000_t75" style="width:230.25pt;height:230.25pt">
            <v:imagedata r:id="rId19" o:title="MMV025100-09_PRR-09-2021 "/>
          </v:shape>
        </w:pict>
      </w:r>
      <w:r w:rsidRPr="00A511B6">
        <w:rPr>
          <w:noProof/>
          <w:color w:val="000000" w:themeColor="text1"/>
          <w:lang w:val="de-CH" w:eastAsia="de-CH"/>
        </w:rPr>
        <w:t xml:space="preserve"> </w:t>
      </w:r>
      <w:r w:rsidRPr="00A511B6">
        <w:rPr>
          <w:noProof/>
          <w:color w:val="000000" w:themeColor="text1"/>
          <w:lang w:val="de-CH" w:eastAsia="de-CH"/>
        </w:rPr>
        <w:pict w14:anchorId="7EF07DFF">
          <v:shape id="_x0000_i1030" type="#_x0000_t75" style="width:230.25pt;height:230.25pt">
            <v:imagedata r:id="rId20" o:title="MMV000024-16_PRR-09-2021 "/>
          </v:shape>
        </w:pict>
      </w:r>
    </w:p>
    <w:p w14:paraId="5A624CA5" w14:textId="683DA18B" w:rsidR="00314CEA" w:rsidRPr="00BC19F0" w:rsidRDefault="00E66A77" w:rsidP="00197982">
      <w:pPr>
        <w:pStyle w:val="TableFigure"/>
        <w:jc w:val="both"/>
        <w:rPr>
          <w:color w:val="000000" w:themeColor="text1"/>
        </w:rPr>
      </w:pPr>
      <w:r w:rsidRPr="00A511B6">
        <w:rPr>
          <w:b/>
        </w:rPr>
        <w:t>Figure</w:t>
      </w:r>
      <w:r w:rsidR="00134947" w:rsidRPr="00A511B6">
        <w:rPr>
          <w:b/>
        </w:rPr>
        <w:t xml:space="preserve"> 1</w:t>
      </w:r>
      <w:r w:rsidRPr="00A511B6">
        <w:rPr>
          <w:b/>
        </w:rPr>
        <w:t>:</w:t>
      </w:r>
      <w:r w:rsidRPr="00A511B6">
        <w:t xml:space="preserve"> Killing curve</w:t>
      </w:r>
      <w:r w:rsidR="00122133" w:rsidRPr="00A511B6">
        <w:t>s</w:t>
      </w:r>
      <w:r w:rsidRPr="00A511B6">
        <w:t xml:space="preserve"> of </w:t>
      </w:r>
      <w:r w:rsidR="00A511B6" w:rsidRPr="00A511B6">
        <w:t>MMV025100-09</w:t>
      </w:r>
      <w:r w:rsidR="00E7428A" w:rsidRPr="00A511B6">
        <w:t xml:space="preserve"> </w:t>
      </w:r>
      <w:r w:rsidR="0091019A" w:rsidRPr="00A511B6">
        <w:t xml:space="preserve">and </w:t>
      </w:r>
      <w:r w:rsidR="0091019A" w:rsidRPr="00A511B6">
        <w:rPr>
          <w:rFonts w:cs="Arial"/>
          <w:lang w:val="en-US"/>
        </w:rPr>
        <w:t>MMV000024-16 (Pyrimethamine)</w:t>
      </w:r>
      <w:r w:rsidR="00122133" w:rsidRPr="00A511B6">
        <w:t xml:space="preserve"> </w:t>
      </w:r>
      <w:r w:rsidR="00E7428A" w:rsidRPr="00A511B6">
        <w:t xml:space="preserve">at </w:t>
      </w:r>
      <m:oMath>
        <m:r>
          <w:rPr>
            <w:rFonts w:ascii="Cambria Math" w:hAnsi="Cambria Math"/>
          </w:rPr>
          <m:t>10×I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E7428A" w:rsidRPr="00A511B6">
        <w:t xml:space="preserve"> over a</w:t>
      </w:r>
      <w:r w:rsidR="00E7428A" w:rsidRPr="00BC19F0">
        <w:t xml:space="preserve"> period of 120 hours</w:t>
      </w:r>
      <w:r w:rsidRPr="00BC19F0">
        <w:rPr>
          <w:color w:val="000000" w:themeColor="text1"/>
        </w:rPr>
        <w:t>.</w:t>
      </w:r>
      <w:r w:rsidR="00D43665" w:rsidRPr="00BC19F0">
        <w:rPr>
          <w:color w:val="000000" w:themeColor="text1"/>
        </w:rPr>
        <w:t xml:space="preserve"> </w:t>
      </w:r>
      <w:r w:rsidR="009853D9" w:rsidRPr="00BC19F0">
        <w:rPr>
          <w:color w:val="000000" w:themeColor="text1"/>
        </w:rPr>
        <w:t>Dots represent the experimental data with the me</w:t>
      </w:r>
      <w:r w:rsidR="00197982" w:rsidRPr="00BC19F0">
        <w:rPr>
          <w:color w:val="000000" w:themeColor="text1"/>
        </w:rPr>
        <w:t>an</w:t>
      </w:r>
      <w:r w:rsidR="009853D9" w:rsidRPr="00BC19F0">
        <w:rPr>
          <w:color w:val="000000" w:themeColor="text1"/>
        </w:rPr>
        <w:t xml:space="preserve"> values coloured in </w:t>
      </w:r>
      <w:r w:rsidR="00197982" w:rsidRPr="00BC19F0">
        <w:rPr>
          <w:color w:val="000000" w:themeColor="text1"/>
        </w:rPr>
        <w:t>yellow</w:t>
      </w:r>
      <w:r w:rsidR="00ED00D6">
        <w:rPr>
          <w:color w:val="000000" w:themeColor="text1"/>
        </w:rPr>
        <w:t xml:space="preserve"> and individual replicates </w:t>
      </w:r>
      <w:r w:rsidR="00FB401C">
        <w:rPr>
          <w:color w:val="000000" w:themeColor="text1"/>
        </w:rPr>
        <w:t>coloured in grey with darker shades indicating &gt; 1 overlapping replicates</w:t>
      </w:r>
      <w:r w:rsidR="009853D9" w:rsidRPr="00BC19F0">
        <w:rPr>
          <w:color w:val="000000" w:themeColor="text1"/>
        </w:rPr>
        <w:t xml:space="preserve">; </w:t>
      </w:r>
      <w:r w:rsidR="0080098A" w:rsidRPr="0080098A">
        <w:rPr>
          <w:color w:val="000000" w:themeColor="text1"/>
        </w:rPr>
        <w:t>red dots indicate a difference between mean and estimated curve higher than the average standard deviation</w:t>
      </w:r>
      <w:r w:rsidR="00C63D53">
        <w:rPr>
          <w:color w:val="000000" w:themeColor="text1"/>
        </w:rPr>
        <w:t xml:space="preserve"> or a standard deviation larger than two times the average standard deviation </w:t>
      </w:r>
      <w:r w:rsidR="0080098A">
        <w:rPr>
          <w:color w:val="000000" w:themeColor="text1"/>
        </w:rPr>
        <w:t xml:space="preserve">; </w:t>
      </w:r>
      <w:r w:rsidR="009853D9" w:rsidRPr="00BC19F0">
        <w:rPr>
          <w:color w:val="000000" w:themeColor="text1"/>
        </w:rPr>
        <w:t xml:space="preserve">the </w:t>
      </w:r>
      <w:r w:rsidR="00197982" w:rsidRPr="00BC19F0">
        <w:rPr>
          <w:color w:val="000000" w:themeColor="text1"/>
        </w:rPr>
        <w:t xml:space="preserve">blue </w:t>
      </w:r>
      <w:r w:rsidR="009853D9" w:rsidRPr="00BC19F0">
        <w:rPr>
          <w:color w:val="000000" w:themeColor="text1"/>
        </w:rPr>
        <w:t>ribbon</w:t>
      </w:r>
      <w:r w:rsidR="00D43665" w:rsidRPr="00BC19F0">
        <w:rPr>
          <w:color w:val="000000" w:themeColor="text1"/>
        </w:rPr>
        <w:t xml:space="preserve"> </w:t>
      </w:r>
      <w:r w:rsidR="009853D9" w:rsidRPr="00BC19F0">
        <w:rPr>
          <w:color w:val="000000" w:themeColor="text1"/>
        </w:rPr>
        <w:t>marks the</w:t>
      </w:r>
      <w:r w:rsidR="005E26EF" w:rsidRPr="00BC19F0">
        <w:rPr>
          <w:color w:val="000000" w:themeColor="text1"/>
        </w:rPr>
        <w:t xml:space="preserve"> 95%</w:t>
      </w:r>
      <w:r w:rsidR="009853D9" w:rsidRPr="00BC19F0">
        <w:rPr>
          <w:color w:val="000000" w:themeColor="text1"/>
        </w:rPr>
        <w:t xml:space="preserve"> confidence interval of the fitted curve</w:t>
      </w:r>
      <w:r w:rsidR="00197982" w:rsidRPr="00BC19F0">
        <w:rPr>
          <w:color w:val="000000" w:themeColor="text1"/>
        </w:rPr>
        <w:t>.</w:t>
      </w:r>
    </w:p>
    <w:p w14:paraId="3ED0CD95" w14:textId="647F23C4" w:rsidR="00ED00D6" w:rsidRPr="00BC19F0" w:rsidRDefault="00ED00D6" w:rsidP="00197982">
      <w:pPr>
        <w:pStyle w:val="TableFigure"/>
        <w:jc w:val="both"/>
        <w:rPr>
          <w:color w:val="000000" w:themeColor="text1"/>
        </w:rPr>
      </w:pPr>
    </w:p>
    <w:p w14:paraId="16B91EC2" w14:textId="77777777" w:rsidR="005E26EF" w:rsidRPr="00BC19F0" w:rsidRDefault="005E26EF" w:rsidP="00197982">
      <w:pPr>
        <w:pStyle w:val="TableFigure"/>
        <w:jc w:val="both"/>
        <w:rPr>
          <w:color w:val="000000" w:themeColor="text1"/>
          <w:vertAlign w:val="subscript"/>
        </w:rPr>
      </w:pPr>
    </w:p>
    <w:p w14:paraId="55086DBD" w14:textId="72CE15D6" w:rsidR="00840C55" w:rsidRPr="00BC19F0" w:rsidRDefault="00122133" w:rsidP="00920140">
      <w:pPr>
        <w:pStyle w:val="TableFigure"/>
        <w:jc w:val="both"/>
      </w:pPr>
      <w:r w:rsidRPr="00ED00D6">
        <w:rPr>
          <w:b/>
          <w:color w:val="000000" w:themeColor="text1"/>
        </w:rPr>
        <w:lastRenderedPageBreak/>
        <w:t>Table 4:</w:t>
      </w:r>
      <w:r w:rsidRPr="00ED00D6">
        <w:rPr>
          <w:color w:val="000000" w:themeColor="text1"/>
        </w:rPr>
        <w:t xml:space="preserve"> Killing curve parameters for </w:t>
      </w:r>
      <w:r w:rsidR="00A511B6" w:rsidRPr="00A511B6">
        <w:rPr>
          <w:color w:val="000000" w:themeColor="text1"/>
        </w:rPr>
        <w:t>MMV025100-09</w:t>
      </w:r>
      <w:r w:rsidRPr="00A511B6">
        <w:rPr>
          <w:color w:val="000000" w:themeColor="text1"/>
        </w:rPr>
        <w:t xml:space="preserve"> and the control </w:t>
      </w:r>
      <w:r w:rsidR="00B30342" w:rsidRPr="00A511B6">
        <w:rPr>
          <w:rFonts w:cs="Arial"/>
          <w:color w:val="000000" w:themeColor="text1"/>
          <w:lang w:val="en-US"/>
        </w:rPr>
        <w:t>MMV000024-16 (Pyrimethamine)</w:t>
      </w:r>
      <w:r w:rsidRPr="00A511B6">
        <w:rPr>
          <w:color w:val="000000" w:themeColor="text1"/>
        </w:rPr>
        <w:t>.</w:t>
      </w:r>
      <w:r w:rsidR="00B30342" w:rsidRPr="00A511B6">
        <w:rPr>
          <w:color w:val="000000" w:themeColor="text1"/>
        </w:rPr>
        <w:t xml:space="preserve"> Lag phase is the </w:t>
      </w:r>
      <w:r w:rsidR="00197982" w:rsidRPr="00A511B6">
        <w:rPr>
          <w:color w:val="000000" w:themeColor="text1"/>
        </w:rPr>
        <w:t xml:space="preserve">calculated </w:t>
      </w:r>
      <w:r w:rsidR="00B30342" w:rsidRPr="00A511B6">
        <w:rPr>
          <w:color w:val="000000" w:themeColor="text1"/>
        </w:rPr>
        <w:t xml:space="preserve">lag phase </w:t>
      </w:r>
      <w:r w:rsidR="00920140" w:rsidRPr="00A511B6">
        <w:rPr>
          <w:color w:val="000000" w:themeColor="text1"/>
        </w:rPr>
        <w:t>with the 24 hours range in brackets</w:t>
      </w:r>
      <w:r w:rsidR="00200460" w:rsidRPr="00A511B6">
        <w:rPr>
          <w:color w:val="000000" w:themeColor="text1"/>
        </w:rPr>
        <w:t xml:space="preserve">; </w:t>
      </w:r>
      <w:r w:rsidR="008F62CA" w:rsidRPr="00A511B6">
        <w:t xml:space="preserve">the standard deviation </w:t>
      </w:r>
      <w:r w:rsidR="008F62CA" w:rsidRPr="00A511B6">
        <w:rPr>
          <w:rFonts w:cs="Arial"/>
        </w:rPr>
        <w:t>σ</w:t>
      </w:r>
      <w:r w:rsidR="008F62CA" w:rsidRPr="00A511B6">
        <w:t xml:space="preserve"> </w:t>
      </w:r>
      <w:r w:rsidR="00B30342" w:rsidRPr="00A511B6">
        <w:t xml:space="preserve">describes the goodness of the fit of </w:t>
      </w:r>
      <w:r w:rsidR="008F62CA" w:rsidRPr="00A511B6">
        <w:t xml:space="preserve">the </w:t>
      </w:r>
      <w:r w:rsidR="00B30342" w:rsidRPr="00A511B6">
        <w:t>model</w:t>
      </w:r>
      <w:r w:rsidR="00F70788" w:rsidRPr="00A511B6">
        <w:t xml:space="preserve"> with a value</w:t>
      </w:r>
      <w:r w:rsidR="00F70788">
        <w:t xml:space="preserve"> of zero representing a perfect fit</w:t>
      </w:r>
      <w:r w:rsidR="00B30342" w:rsidRPr="00BC19F0">
        <w:t xml:space="preserve">. </w:t>
      </w:r>
      <w:r w:rsidR="00920140">
        <w:t xml:space="preserve">The </w:t>
      </w:r>
      <w:r w:rsidR="00FF3992">
        <w:t>95% confidence intervals</w:t>
      </w:r>
      <w:r w:rsidR="00920140">
        <w:t xml:space="preserve"> (all others) </w:t>
      </w:r>
      <w:r w:rsidR="00FF3992">
        <w:t>are reported in brackets</w:t>
      </w:r>
      <w:r w:rsidR="00920140">
        <w:t xml:space="preserve"> if not indicated otherwise</w:t>
      </w:r>
      <w:r w:rsidR="001F5CF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567"/>
        <w:gridCol w:w="2976"/>
        <w:gridCol w:w="3112"/>
      </w:tblGrid>
      <w:tr w:rsidR="00840C55" w:rsidRPr="00BC19F0" w14:paraId="7AB13870" w14:textId="77777777" w:rsidTr="00B30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32" w:type="dxa"/>
          </w:tcPr>
          <w:p w14:paraId="3A0348FA" w14:textId="77777777" w:rsidR="00840C55" w:rsidRPr="00BC19F0" w:rsidRDefault="00840C55" w:rsidP="00840C55">
            <w:pPr>
              <w:pStyle w:val="TableFigure"/>
              <w:jc w:val="center"/>
              <w:rPr>
                <w:i w:val="0"/>
                <w:color w:val="EFEFF0" w:themeColor="background1"/>
              </w:rPr>
            </w:pPr>
          </w:p>
        </w:tc>
        <w:tc>
          <w:tcPr>
            <w:tcW w:w="3543" w:type="dxa"/>
            <w:gridSpan w:val="2"/>
          </w:tcPr>
          <w:p w14:paraId="2B137CDB" w14:textId="1C18A5AF" w:rsidR="00840C55" w:rsidRPr="00A47787" w:rsidRDefault="00A511B6" w:rsidP="00840C55">
            <w:pPr>
              <w:pStyle w:val="TableFigure"/>
              <w:ind w:left="0"/>
              <w:jc w:val="center"/>
              <w:rPr>
                <w:i w:val="0"/>
                <w:color w:val="EFEFF0" w:themeColor="background1"/>
                <w:sz w:val="22"/>
                <w:szCs w:val="22"/>
              </w:rPr>
            </w:pPr>
            <w:r>
              <w:rPr>
                <w:i w:val="0"/>
                <w:color w:val="EFEFF0" w:themeColor="background1"/>
                <w:sz w:val="22"/>
                <w:szCs w:val="22"/>
              </w:rPr>
              <w:t>MMV025100-09</w:t>
            </w:r>
          </w:p>
        </w:tc>
        <w:tc>
          <w:tcPr>
            <w:tcW w:w="3112" w:type="dxa"/>
          </w:tcPr>
          <w:p w14:paraId="25A9B5D3" w14:textId="0B9E3D1C" w:rsidR="00840C55" w:rsidRPr="00A47787" w:rsidRDefault="00840C55" w:rsidP="00840C55">
            <w:pPr>
              <w:pStyle w:val="TableFigure"/>
              <w:jc w:val="center"/>
              <w:rPr>
                <w:i w:val="0"/>
                <w:color w:val="EFEFF0" w:themeColor="background1"/>
                <w:sz w:val="22"/>
                <w:szCs w:val="22"/>
              </w:rPr>
            </w:pPr>
            <w:r w:rsidRPr="00A47787">
              <w:rPr>
                <w:i w:val="0"/>
                <w:color w:val="EFEFF0" w:themeColor="background1"/>
                <w:sz w:val="22"/>
                <w:szCs w:val="22"/>
              </w:rPr>
              <w:t>Pyrimethamine</w:t>
            </w:r>
          </w:p>
        </w:tc>
      </w:tr>
      <w:tr w:rsidR="00A511B6" w:rsidRPr="00BC19F0" w14:paraId="7B1D0944" w14:textId="77777777" w:rsidTr="00B30342">
        <w:tc>
          <w:tcPr>
            <w:tcW w:w="3199" w:type="dxa"/>
            <w:gridSpan w:val="2"/>
          </w:tcPr>
          <w:p w14:paraId="7BCF2A41" w14:textId="6490A85C" w:rsidR="00A511B6" w:rsidRPr="00BC19F0" w:rsidRDefault="00A511B6" w:rsidP="00A511B6">
            <w:pPr>
              <w:pStyle w:val="TableFigure"/>
              <w:rPr>
                <w:rFonts w:cs="Arial"/>
                <w:b/>
                <w:i w:val="0"/>
                <w:sz w:val="22"/>
                <w:szCs w:val="22"/>
              </w:rPr>
            </w:pPr>
            <m:oMath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oMath>
            <w:r w:rsidRPr="00BC19F0">
              <w:rPr>
                <w:rFonts w:cs="Arial"/>
                <w:b/>
                <w:i w:val="0"/>
                <w:sz w:val="22"/>
                <w:szCs w:val="22"/>
              </w:rPr>
              <w:t xml:space="preserve"> [μM]</w:t>
            </w:r>
          </w:p>
        </w:tc>
        <w:tc>
          <w:tcPr>
            <w:tcW w:w="2976" w:type="dxa"/>
          </w:tcPr>
          <w:p w14:paraId="5594EC55" w14:textId="0384ADE5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0.168</w:t>
            </w:r>
          </w:p>
        </w:tc>
        <w:tc>
          <w:tcPr>
            <w:tcW w:w="3112" w:type="dxa"/>
          </w:tcPr>
          <w:p w14:paraId="4D3B684C" w14:textId="40C5EEA3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0.017</w:t>
            </w:r>
          </w:p>
        </w:tc>
      </w:tr>
      <w:tr w:rsidR="00A511B6" w:rsidRPr="00BC19F0" w14:paraId="4068584B" w14:textId="77777777" w:rsidTr="00B30342">
        <w:tc>
          <w:tcPr>
            <w:tcW w:w="3199" w:type="dxa"/>
            <w:gridSpan w:val="2"/>
          </w:tcPr>
          <w:p w14:paraId="23F977DB" w14:textId="37226C75" w:rsidR="00A511B6" w:rsidRPr="00920140" w:rsidRDefault="00A511B6" w:rsidP="00A511B6">
            <w:pPr>
              <w:pStyle w:val="TableFigure"/>
              <w:rPr>
                <w:rFonts w:cs="Arial"/>
                <w:b/>
                <w:i w:val="0"/>
                <w:sz w:val="22"/>
                <w:szCs w:val="22"/>
              </w:rPr>
            </w:pPr>
            <w:r>
              <w:rPr>
                <w:rFonts w:cs="Arial"/>
                <w:b/>
                <w:i w:val="0"/>
                <w:sz w:val="22"/>
                <w:szCs w:val="22"/>
              </w:rPr>
              <w:t xml:space="preserve">Multiple of </w:t>
            </w:r>
            <m:oMath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oMath>
            <w:r>
              <w:rPr>
                <w:rFonts w:cs="Arial"/>
                <w:b/>
                <w:i w:val="0"/>
                <w:sz w:val="22"/>
                <w:szCs w:val="22"/>
                <w:vertAlign w:val="subscript"/>
              </w:rPr>
              <w:t xml:space="preserve"> </w:t>
            </w:r>
          </w:p>
        </w:tc>
        <w:tc>
          <w:tcPr>
            <w:tcW w:w="2976" w:type="dxa"/>
          </w:tcPr>
          <w:p w14:paraId="3477D3AB" w14:textId="0460B8DD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10</w:t>
            </w:r>
          </w:p>
        </w:tc>
        <w:tc>
          <w:tcPr>
            <w:tcW w:w="3112" w:type="dxa"/>
          </w:tcPr>
          <w:p w14:paraId="7400090E" w14:textId="0DA09B01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10</w:t>
            </w:r>
          </w:p>
        </w:tc>
      </w:tr>
      <w:tr w:rsidR="00A511B6" w:rsidRPr="00BC19F0" w14:paraId="02C7D18A" w14:textId="77777777" w:rsidTr="00EC6858">
        <w:tc>
          <w:tcPr>
            <w:tcW w:w="3199" w:type="dxa"/>
            <w:gridSpan w:val="2"/>
          </w:tcPr>
          <w:p w14:paraId="7E1018F9" w14:textId="6F2B3046" w:rsidR="00A511B6" w:rsidRPr="00BC19F0" w:rsidRDefault="00A511B6" w:rsidP="00A511B6">
            <w:pPr>
              <w:pStyle w:val="TableFigure"/>
              <w:ind w:left="0"/>
              <w:rPr>
                <w:rFonts w:cs="Arial"/>
                <w:b/>
                <w:i w:val="0"/>
                <w:sz w:val="22"/>
                <w:szCs w:val="22"/>
              </w:rPr>
            </w:pPr>
            <w:r w:rsidRPr="00BC19F0">
              <w:rPr>
                <w:rFonts w:cs="Arial"/>
                <w:b/>
                <w:i w:val="0"/>
                <w:sz w:val="22"/>
                <w:szCs w:val="22"/>
              </w:rPr>
              <w:t xml:space="preserve"> Category</w:t>
            </w:r>
          </w:p>
        </w:tc>
        <w:tc>
          <w:tcPr>
            <w:tcW w:w="2976" w:type="dxa"/>
          </w:tcPr>
          <w:p w14:paraId="4A9AFF98" w14:textId="656728FD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slow</w:t>
            </w:r>
          </w:p>
        </w:tc>
        <w:tc>
          <w:tcPr>
            <w:tcW w:w="3112" w:type="dxa"/>
          </w:tcPr>
          <w:p w14:paraId="374C3CDE" w14:textId="419C5185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intermediate with lag phase</w:t>
            </w:r>
          </w:p>
        </w:tc>
      </w:tr>
      <w:tr w:rsidR="00A511B6" w:rsidRPr="00BC19F0" w14:paraId="7F3D5C2B" w14:textId="77777777" w:rsidTr="00EC6858">
        <w:tc>
          <w:tcPr>
            <w:tcW w:w="3199" w:type="dxa"/>
            <w:gridSpan w:val="2"/>
          </w:tcPr>
          <w:p w14:paraId="46BE5A26" w14:textId="5183585F" w:rsidR="00A511B6" w:rsidRPr="00BC19F0" w:rsidRDefault="00A511B6" w:rsidP="00A511B6">
            <w:pPr>
              <w:pStyle w:val="TableFigure"/>
              <w:rPr>
                <w:rFonts w:cs="Arial"/>
                <w:b/>
                <w:i w:val="0"/>
                <w:sz w:val="22"/>
                <w:szCs w:val="22"/>
              </w:rPr>
            </w:pPr>
            <w:r w:rsidRPr="00BC19F0">
              <w:rPr>
                <w:rFonts w:cs="Arial"/>
                <w:b/>
                <w:i w:val="0"/>
                <w:sz w:val="22"/>
                <w:szCs w:val="22"/>
              </w:rPr>
              <w:t>Lag phase [h]</w:t>
            </w:r>
          </w:p>
        </w:tc>
        <w:tc>
          <w:tcPr>
            <w:tcW w:w="2976" w:type="dxa"/>
          </w:tcPr>
          <w:p w14:paraId="0F95346F" w14:textId="24F02C77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12 [0 - 24]</w:t>
            </w:r>
          </w:p>
        </w:tc>
        <w:tc>
          <w:tcPr>
            <w:tcW w:w="3112" w:type="dxa"/>
          </w:tcPr>
          <w:p w14:paraId="6A093B85" w14:textId="2CE6A035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12 [0 - 24]</w:t>
            </w:r>
          </w:p>
        </w:tc>
      </w:tr>
      <w:tr w:rsidR="00A511B6" w:rsidRPr="00BC19F0" w14:paraId="6AA5E79D" w14:textId="77777777" w:rsidTr="00EC6858">
        <w:tc>
          <w:tcPr>
            <w:tcW w:w="3199" w:type="dxa"/>
            <w:gridSpan w:val="2"/>
          </w:tcPr>
          <w:p w14:paraId="6654EAB5" w14:textId="217C2275" w:rsidR="00A511B6" w:rsidRPr="00BC19F0" w:rsidRDefault="00A511B6" w:rsidP="00A511B6">
            <w:pPr>
              <w:pStyle w:val="TableFigure"/>
              <w:rPr>
                <w:rFonts w:cs="Arial"/>
                <w:b/>
                <w:i w:val="0"/>
                <w:sz w:val="22"/>
                <w:szCs w:val="22"/>
              </w:rPr>
            </w:pPr>
            <w:r w:rsidRPr="00BC19F0">
              <w:rPr>
                <w:rFonts w:cs="Arial"/>
                <w:b/>
                <w:i w:val="0"/>
                <w:sz w:val="22"/>
                <w:szCs w:val="22"/>
              </w:rPr>
              <w:t>PCT</w:t>
            </w:r>
            <w:r w:rsidRPr="00BC19F0">
              <w:rPr>
                <w:rFonts w:cs="Arial"/>
                <w:b/>
                <w:i w:val="0"/>
                <w:sz w:val="22"/>
                <w:szCs w:val="22"/>
                <w:vertAlign w:val="subscript"/>
              </w:rPr>
              <w:t xml:space="preserve">99.9% </w:t>
            </w:r>
            <w:r w:rsidRPr="00BC19F0">
              <w:rPr>
                <w:rFonts w:cs="Arial"/>
                <w:b/>
                <w:i w:val="0"/>
                <w:sz w:val="22"/>
                <w:szCs w:val="22"/>
              </w:rPr>
              <w:t>[h]</w:t>
            </w:r>
          </w:p>
        </w:tc>
        <w:tc>
          <w:tcPr>
            <w:tcW w:w="2976" w:type="dxa"/>
          </w:tcPr>
          <w:p w14:paraId="62BD07A8" w14:textId="269CD5F7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&gt;120</w:t>
            </w:r>
          </w:p>
        </w:tc>
        <w:tc>
          <w:tcPr>
            <w:tcW w:w="3112" w:type="dxa"/>
          </w:tcPr>
          <w:p w14:paraId="08DB9313" w14:textId="69C92DDC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51.7 [48.8 - 55]</w:t>
            </w:r>
          </w:p>
        </w:tc>
      </w:tr>
      <w:tr w:rsidR="00A511B6" w:rsidRPr="00BC19F0" w14:paraId="1AB7F309" w14:textId="77777777" w:rsidTr="00EC6858">
        <w:trPr>
          <w:trHeight w:val="68"/>
        </w:trPr>
        <w:tc>
          <w:tcPr>
            <w:tcW w:w="3199" w:type="dxa"/>
            <w:gridSpan w:val="2"/>
          </w:tcPr>
          <w:p w14:paraId="79B35636" w14:textId="3C469B54" w:rsidR="00A511B6" w:rsidRPr="00494CE4" w:rsidRDefault="00A511B6" w:rsidP="00A511B6">
            <w:pPr>
              <w:pStyle w:val="TableFigure"/>
              <w:ind w:left="0"/>
              <w:rPr>
                <w:rFonts w:cs="Arial"/>
                <w:b/>
                <w:i w:val="0"/>
                <w:sz w:val="22"/>
                <w:szCs w:val="22"/>
                <w:vertAlign w:val="subscript"/>
              </w:rPr>
            </w:pPr>
            <w:r w:rsidRPr="00BC19F0">
              <w:rPr>
                <w:rFonts w:cs="Arial"/>
                <w:b/>
                <w:i w:val="0"/>
                <w:sz w:val="22"/>
                <w:szCs w:val="22"/>
              </w:rPr>
              <w:t xml:space="preserve"> PRR</w:t>
            </w:r>
          </w:p>
        </w:tc>
        <w:tc>
          <w:tcPr>
            <w:tcW w:w="2976" w:type="dxa"/>
          </w:tcPr>
          <w:p w14:paraId="6FFF5033" w14:textId="65F1358C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1.2 [1.1 - 1.4]</w:t>
            </w:r>
          </w:p>
        </w:tc>
        <w:tc>
          <w:tcPr>
            <w:tcW w:w="3112" w:type="dxa"/>
          </w:tcPr>
          <w:p w14:paraId="30B494A9" w14:textId="71A039E3" w:rsidR="00A511B6" w:rsidRPr="00A511B6" w:rsidRDefault="00A511B6" w:rsidP="00A511B6">
            <w:pPr>
              <w:pStyle w:val="TableFigure"/>
              <w:ind w:left="0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3.6 [3.3 - 3.9]</w:t>
            </w:r>
          </w:p>
        </w:tc>
      </w:tr>
      <w:tr w:rsidR="00A511B6" w:rsidRPr="00BC19F0" w14:paraId="5067046C" w14:textId="77777777" w:rsidTr="00EC6858">
        <w:trPr>
          <w:trHeight w:val="184"/>
        </w:trPr>
        <w:tc>
          <w:tcPr>
            <w:tcW w:w="3199" w:type="dxa"/>
            <w:gridSpan w:val="2"/>
          </w:tcPr>
          <w:p w14:paraId="4E0EB9D7" w14:textId="14ED0FA4" w:rsidR="00A511B6" w:rsidRPr="00BC19F0" w:rsidRDefault="00A511B6" w:rsidP="00A511B6">
            <w:pPr>
              <w:pStyle w:val="TableFigure"/>
              <w:rPr>
                <w:rFonts w:cs="Arial"/>
                <w:b/>
                <w:i w:val="0"/>
                <w:sz w:val="22"/>
                <w:szCs w:val="22"/>
              </w:rPr>
            </w:pPr>
            <w:r w:rsidRPr="00BC19F0">
              <w:rPr>
                <w:rFonts w:cs="Arial"/>
                <w:b/>
                <w:i w:val="0"/>
                <w:sz w:val="22"/>
                <w:szCs w:val="22"/>
              </w:rPr>
              <w:t xml:space="preserve">σ </w:t>
            </w:r>
          </w:p>
        </w:tc>
        <w:tc>
          <w:tcPr>
            <w:tcW w:w="2976" w:type="dxa"/>
          </w:tcPr>
          <w:p w14:paraId="25FC5914" w14:textId="6D660BBB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0.492</w:t>
            </w:r>
          </w:p>
        </w:tc>
        <w:tc>
          <w:tcPr>
            <w:tcW w:w="3112" w:type="dxa"/>
          </w:tcPr>
          <w:p w14:paraId="5CF2244A" w14:textId="7EDCF8B2" w:rsidR="00A511B6" w:rsidRPr="00A511B6" w:rsidRDefault="00A511B6" w:rsidP="00A511B6">
            <w:pPr>
              <w:pStyle w:val="TableFigure"/>
              <w:jc w:val="center"/>
              <w:rPr>
                <w:rFonts w:asciiTheme="minorHAnsi" w:hAnsiTheme="minorHAnsi" w:cstheme="minorHAnsi"/>
                <w:i w:val="0"/>
                <w:color w:val="000000"/>
                <w:sz w:val="22"/>
                <w:szCs w:val="22"/>
                <w:highlight w:val="yellow"/>
              </w:rPr>
            </w:pPr>
            <w:r w:rsidRPr="00A511B6">
              <w:rPr>
                <w:i w:val="0"/>
                <w:sz w:val="22"/>
              </w:rPr>
              <w:t>0.422</w:t>
            </w:r>
          </w:p>
        </w:tc>
      </w:tr>
    </w:tbl>
    <w:p w14:paraId="44004FA2" w14:textId="2CAC7C25" w:rsidR="00E7428A" w:rsidRPr="00BC19F0" w:rsidRDefault="00E7428A" w:rsidP="00122133">
      <w:pPr>
        <w:pStyle w:val="TableFigure"/>
      </w:pPr>
      <w:r w:rsidRPr="00BC19F0">
        <w:br w:type="page"/>
      </w:r>
    </w:p>
    <w:p w14:paraId="5E4FDC2B" w14:textId="78028BBC" w:rsidR="00C94C02" w:rsidRPr="00BC19F0" w:rsidRDefault="00C94C02" w:rsidP="00195450">
      <w:pPr>
        <w:pStyle w:val="Heading1"/>
      </w:pPr>
      <w:r w:rsidRPr="00BC19F0">
        <w:lastRenderedPageBreak/>
        <w:t>Discussion</w:t>
      </w:r>
      <w:r w:rsidR="00BF1974" w:rsidRPr="00BC19F0">
        <w:t xml:space="preserve"> </w:t>
      </w:r>
    </w:p>
    <w:p w14:paraId="0C91C4E4" w14:textId="1AFCE3EB" w:rsidR="00A511B6" w:rsidRPr="00BC19F0" w:rsidRDefault="00A511B6" w:rsidP="00A511B6">
      <w:pPr>
        <w:rPr>
          <w:lang w:val="en-GB" w:eastAsia="de-DE"/>
        </w:rPr>
      </w:pPr>
      <w:r w:rsidRPr="00B379F2">
        <w:rPr>
          <w:lang w:val="en-GB" w:eastAsia="de-DE"/>
        </w:rPr>
        <w:t>MMV025100-09</w:t>
      </w:r>
      <w:r w:rsidR="00C94C02" w:rsidRPr="00B379F2">
        <w:rPr>
          <w:lang w:val="en-GB" w:eastAsia="de-DE"/>
        </w:rPr>
        <w:t xml:space="preserve"> displays</w:t>
      </w:r>
      <w:r w:rsidR="00C94C02" w:rsidRPr="00DC181B">
        <w:rPr>
          <w:lang w:val="en-GB" w:eastAsia="de-DE"/>
        </w:rPr>
        <w:t xml:space="preserve"> a </w:t>
      </w:r>
      <w:r>
        <w:rPr>
          <w:lang w:val="en-GB" w:eastAsia="de-DE"/>
        </w:rPr>
        <w:t>slow</w:t>
      </w:r>
      <w:r w:rsidR="00C94C02" w:rsidRPr="00DC181B">
        <w:rPr>
          <w:lang w:val="en-GB" w:eastAsia="de-DE"/>
        </w:rPr>
        <w:t xml:space="preserve"> killing</w:t>
      </w:r>
      <w:r w:rsidR="00C94C02" w:rsidRPr="00BC19F0">
        <w:rPr>
          <w:lang w:val="en-GB" w:eastAsia="de-DE"/>
        </w:rPr>
        <w:t xml:space="preserve"> profile</w:t>
      </w:r>
      <w:r w:rsidR="009B3E08">
        <w:rPr>
          <w:lang w:val="en-GB" w:eastAsia="de-DE"/>
        </w:rPr>
        <w:t xml:space="preserve"> </w:t>
      </w:r>
      <w:r>
        <w:rPr>
          <w:lang w:val="en-GB" w:eastAsia="de-DE"/>
        </w:rPr>
        <w:t xml:space="preserve">best </w:t>
      </w:r>
      <w:r w:rsidR="00B379F2">
        <w:rPr>
          <w:lang w:val="en-GB" w:eastAsia="de-DE"/>
        </w:rPr>
        <w:t>comparable</w:t>
      </w:r>
      <w:r>
        <w:rPr>
          <w:lang w:val="en-GB" w:eastAsia="de-DE"/>
        </w:rPr>
        <w:t xml:space="preserve"> that of Atovaquone</w:t>
      </w:r>
      <w:r w:rsidR="00BF1974" w:rsidRPr="00BC19F0">
        <w:rPr>
          <w:lang w:val="en-GB" w:eastAsia="de-DE"/>
        </w:rPr>
        <w:t xml:space="preserve"> </w:t>
      </w:r>
      <w:r w:rsidR="00B379F2">
        <w:rPr>
          <w:lang w:val="en-GB" w:eastAsia="de-DE"/>
        </w:rPr>
        <w:t xml:space="preserve">and </w:t>
      </w:r>
      <w:r w:rsidR="00B379F2">
        <w:rPr>
          <w:rFonts w:ascii="Arial" w:hAnsi="Arial" w:cs="Arial"/>
          <w:color w:val="000000"/>
          <w:lang w:val="en-GB"/>
        </w:rPr>
        <w:t>does not result in complete killing after 120 hours of drug pressure</w:t>
      </w:r>
      <w:r w:rsidR="00B379F2">
        <w:rPr>
          <w:rFonts w:ascii="Arial" w:hAnsi="Arial" w:cs="Arial"/>
          <w:color w:val="000000"/>
          <w:lang w:val="en-GB"/>
        </w:rPr>
        <w:t xml:space="preserve"> </w:t>
      </w:r>
      <w:r w:rsidR="00B379F2" w:rsidRPr="00BC19F0">
        <w:rPr>
          <w:lang w:val="en-GB" w:eastAsia="de-DE"/>
        </w:rPr>
        <w:t xml:space="preserve">(Figure </w:t>
      </w:r>
      <w:r w:rsidR="00B379F2">
        <w:rPr>
          <w:lang w:val="en-GB" w:eastAsia="de-DE"/>
        </w:rPr>
        <w:t>2</w:t>
      </w:r>
      <w:r w:rsidR="00B379F2" w:rsidRPr="00BC19F0">
        <w:rPr>
          <w:lang w:val="en-GB" w:eastAsia="de-DE"/>
        </w:rPr>
        <w:t>)</w:t>
      </w:r>
      <w:r w:rsidR="00B379F2">
        <w:rPr>
          <w:rFonts w:ascii="Arial" w:hAnsi="Arial" w:cs="Arial"/>
          <w:color w:val="000000"/>
          <w:lang w:val="en-GB"/>
        </w:rPr>
        <w:t>.</w:t>
      </w:r>
      <w:r w:rsidR="00637081" w:rsidRPr="00BC19F0">
        <w:rPr>
          <w:lang w:val="en-GB" w:eastAsia="de-DE"/>
        </w:rPr>
        <w:t xml:space="preserve"> It has</w:t>
      </w:r>
      <w:r w:rsidR="00C94C02" w:rsidRPr="00BC19F0">
        <w:rPr>
          <w:lang w:val="en-GB" w:eastAsia="de-DE"/>
        </w:rPr>
        <w:t xml:space="preserve"> a </w:t>
      </w:r>
      <w:r>
        <w:rPr>
          <w:lang w:val="en-GB" w:eastAsia="de-DE"/>
        </w:rPr>
        <w:t xml:space="preserve">lag phase of </w:t>
      </w:r>
      <w:r w:rsidRPr="00A511B6">
        <w:rPr>
          <w:lang w:val="en-GB" w:eastAsia="de-DE"/>
        </w:rPr>
        <w:t>12 [0 - 24]</w:t>
      </w:r>
      <w:r>
        <w:rPr>
          <w:lang w:val="en-GB" w:eastAsia="de-DE"/>
        </w:rPr>
        <w:t xml:space="preserve"> hours</w:t>
      </w:r>
      <w:r w:rsidR="009B3E08" w:rsidRPr="00A511B6">
        <w:rPr>
          <w:lang w:val="en-GB" w:eastAsia="de-DE"/>
        </w:rPr>
        <w:t xml:space="preserve">, a PRR of </w:t>
      </w:r>
      <w:r w:rsidRPr="00A511B6">
        <w:rPr>
          <w:lang w:val="en-GB" w:eastAsia="de-DE"/>
        </w:rPr>
        <w:t>1.2 [1.1 - 1.4]</w:t>
      </w:r>
      <w:r w:rsidR="009B3E08" w:rsidRPr="00A511B6">
        <w:rPr>
          <w:lang w:val="en-GB" w:eastAsia="de-DE"/>
        </w:rPr>
        <w:t xml:space="preserve">, </w:t>
      </w:r>
      <w:r w:rsidR="001B0601" w:rsidRPr="00A511B6">
        <w:rPr>
          <w:lang w:val="en-GB" w:eastAsia="de-DE"/>
        </w:rPr>
        <w:t xml:space="preserve">and </w:t>
      </w:r>
      <w:r w:rsidR="00122133" w:rsidRPr="00A511B6">
        <w:rPr>
          <w:lang w:val="en-GB" w:eastAsia="de-DE"/>
        </w:rPr>
        <w:t>a</w:t>
      </w:r>
      <w:r w:rsidR="001B0601" w:rsidRPr="00A511B6">
        <w:rPr>
          <w:lang w:val="en-GB" w:eastAsia="de-DE"/>
        </w:rPr>
        <w:t xml:space="preserve"> PCT</w:t>
      </w:r>
      <w:r w:rsidR="001B0601" w:rsidRPr="00A511B6">
        <w:rPr>
          <w:vertAlign w:val="subscript"/>
          <w:lang w:val="en-GB" w:eastAsia="de-DE"/>
        </w:rPr>
        <w:t xml:space="preserve">99.9% </w:t>
      </w:r>
      <w:r w:rsidRPr="00A511B6">
        <w:rPr>
          <w:lang w:val="en-GB" w:eastAsia="de-DE"/>
        </w:rPr>
        <w:t xml:space="preserve">&gt; 120 </w:t>
      </w:r>
      <w:r w:rsidR="001B0601" w:rsidRPr="00A511B6">
        <w:rPr>
          <w:lang w:val="en-GB" w:eastAsia="de-DE"/>
        </w:rPr>
        <w:t>hours.</w:t>
      </w:r>
      <w:r w:rsidR="00C94C02" w:rsidRPr="00BC19F0">
        <w:rPr>
          <w:lang w:val="en-GB" w:eastAsia="de-DE"/>
        </w:rPr>
        <w:t xml:space="preserve"> </w:t>
      </w:r>
    </w:p>
    <w:p w14:paraId="76EEFE2E" w14:textId="245B219B" w:rsidR="00D72BE5" w:rsidRPr="00DE645C" w:rsidRDefault="00D72BE5" w:rsidP="00C94C02">
      <w:pPr>
        <w:rPr>
          <w:lang w:val="en-GB" w:eastAsia="de-DE"/>
        </w:rPr>
      </w:pPr>
      <w:r w:rsidRPr="00BC19F0">
        <w:rPr>
          <w:lang w:val="en-GB" w:eastAsia="de-DE"/>
        </w:rPr>
        <w:t>The compou</w:t>
      </w:r>
      <w:r w:rsidRPr="00DC181B">
        <w:rPr>
          <w:lang w:val="en-GB" w:eastAsia="de-DE"/>
        </w:rPr>
        <w:t xml:space="preserve">nd </w:t>
      </w:r>
      <w:r w:rsidRPr="00B379F2">
        <w:rPr>
          <w:lang w:val="en-GB" w:eastAsia="de-DE"/>
        </w:rPr>
        <w:t>is</w:t>
      </w:r>
      <w:r w:rsidR="00DC181B" w:rsidRPr="00B379F2">
        <w:rPr>
          <w:lang w:val="en-GB" w:eastAsia="de-DE"/>
        </w:rPr>
        <w:t xml:space="preserve"> </w:t>
      </w:r>
      <w:r w:rsidRPr="00B379F2">
        <w:rPr>
          <w:lang w:val="en-GB" w:eastAsia="de-DE"/>
        </w:rPr>
        <w:t>stable over a period of 24 hours</w:t>
      </w:r>
      <w:r w:rsidR="009B3E08" w:rsidRPr="00B379F2">
        <w:rPr>
          <w:lang w:val="en-GB" w:eastAsia="de-DE"/>
        </w:rPr>
        <w:t xml:space="preserve"> and </w:t>
      </w:r>
      <w:r w:rsidR="001C2A7D" w:rsidRPr="00B379F2">
        <w:rPr>
          <w:lang w:val="en-GB" w:eastAsia="de-DE"/>
        </w:rPr>
        <w:t>was fully removed after washing three times in culture medium</w:t>
      </w:r>
      <w:r w:rsidRPr="00DE645C">
        <w:rPr>
          <w:lang w:val="en-GB" w:eastAsia="de-DE"/>
        </w:rPr>
        <w:t>.</w:t>
      </w:r>
    </w:p>
    <w:p w14:paraId="037F4EB1" w14:textId="5D7DDCC5" w:rsidR="00F119C8" w:rsidRPr="00BC19F0" w:rsidRDefault="00FA28A4" w:rsidP="00F119C8">
      <w:pPr>
        <w:rPr>
          <w:lang w:val="en-GB" w:eastAsia="de-DE"/>
        </w:rPr>
      </w:pPr>
      <w:r w:rsidRPr="00DE645C">
        <w:rPr>
          <w:lang w:val="en-GB" w:eastAsia="de-DE"/>
        </w:rPr>
        <w:t xml:space="preserve">Results for </w:t>
      </w:r>
      <w:r w:rsidRPr="00B379F2">
        <w:rPr>
          <w:lang w:val="en-GB" w:eastAsia="de-DE"/>
        </w:rPr>
        <w:t>Pyrimethamine were comparable with reference data</w:t>
      </w:r>
      <w:r w:rsidR="00DC181B" w:rsidRPr="00B379F2">
        <w:rPr>
          <w:lang w:val="en-GB" w:eastAsia="de-DE"/>
        </w:rPr>
        <w:t xml:space="preserve"> (Figure </w:t>
      </w:r>
      <w:r w:rsidR="00B5561A" w:rsidRPr="00B379F2">
        <w:rPr>
          <w:lang w:val="en-GB" w:eastAsia="de-DE"/>
        </w:rPr>
        <w:t>3</w:t>
      </w:r>
      <w:r w:rsidR="00DC181B" w:rsidRPr="00B379F2">
        <w:rPr>
          <w:lang w:val="en-GB" w:eastAsia="de-DE"/>
        </w:rPr>
        <w:t>)</w:t>
      </w:r>
      <w:r w:rsidRPr="00B379F2">
        <w:rPr>
          <w:lang w:val="en-GB" w:eastAsia="de-DE"/>
        </w:rPr>
        <w:t>, thereby validating the results of this experiment.</w:t>
      </w:r>
      <w:r w:rsidRPr="00BC19F0">
        <w:rPr>
          <w:lang w:val="en-GB" w:eastAsia="de-DE"/>
        </w:rPr>
        <w:t xml:space="preserve"> </w:t>
      </w:r>
    </w:p>
    <w:p w14:paraId="277A2AF1" w14:textId="15439207" w:rsidR="009331A9" w:rsidRPr="009B3E08" w:rsidRDefault="00A511B6" w:rsidP="00DE645C">
      <w:pPr>
        <w:pStyle w:val="TableFigure"/>
        <w:jc w:val="center"/>
        <w:rPr>
          <w:i w:val="0"/>
        </w:rPr>
      </w:pPr>
      <w:r w:rsidRPr="00A511B6">
        <w:rPr>
          <w:i w:val="0"/>
        </w:rPr>
        <w:pict w14:anchorId="192A6E68">
          <v:shape id="_x0000_i1034" type="#_x0000_t75" style="width:6in;height:230.25pt">
            <v:imagedata r:id="rId21" o:title="MMV025100-09_PRR-09-2021_references"/>
          </v:shape>
        </w:pict>
      </w:r>
    </w:p>
    <w:p w14:paraId="6DA50744" w14:textId="7CC32143" w:rsidR="00F119C8" w:rsidRPr="00BC19F0" w:rsidRDefault="00B5561A" w:rsidP="007303E1">
      <w:pPr>
        <w:pStyle w:val="TableFigure"/>
        <w:jc w:val="both"/>
      </w:pPr>
      <w:r>
        <w:rPr>
          <w:b/>
        </w:rPr>
        <w:t>Figure 2</w:t>
      </w:r>
      <w:r w:rsidR="00F119C8" w:rsidRPr="00BC19F0">
        <w:rPr>
          <w:b/>
        </w:rPr>
        <w:t>:</w:t>
      </w:r>
      <w:r w:rsidR="00F119C8" w:rsidRPr="00BC19F0">
        <w:t xml:space="preserve"> Comparison of killing profiles </w:t>
      </w:r>
      <w:r w:rsidR="00461A3C" w:rsidRPr="00BC19F0">
        <w:t>between</w:t>
      </w:r>
      <w:r w:rsidR="00D15F49" w:rsidRPr="00BC19F0">
        <w:t xml:space="preserve"> </w:t>
      </w:r>
      <w:r w:rsidR="00D15F49" w:rsidRPr="00B379F2">
        <w:t xml:space="preserve">compound </w:t>
      </w:r>
      <w:r w:rsidR="00A511B6" w:rsidRPr="00B379F2">
        <w:t>MMV025100-09</w:t>
      </w:r>
      <w:r w:rsidR="00D15F49" w:rsidRPr="00B379F2">
        <w:t xml:space="preserve"> </w:t>
      </w:r>
      <w:r w:rsidR="005E26EF" w:rsidRPr="00B379F2">
        <w:t>(</w:t>
      </w:r>
      <w:r w:rsidR="00E52397" w:rsidRPr="00B379F2">
        <w:t>blue</w:t>
      </w:r>
      <w:r w:rsidR="005E26EF" w:rsidRPr="00B379F2">
        <w:t xml:space="preserve">) </w:t>
      </w:r>
      <w:r w:rsidR="003A0A77" w:rsidRPr="00B379F2">
        <w:t>and</w:t>
      </w:r>
      <w:r w:rsidR="00F119C8" w:rsidRPr="00B379F2">
        <w:t xml:space="preserve"> </w:t>
      </w:r>
      <w:r w:rsidR="00E52397" w:rsidRPr="00B379F2">
        <w:t xml:space="preserve">the </w:t>
      </w:r>
      <w:r w:rsidR="00F119C8" w:rsidRPr="00B379F2">
        <w:t>reference compounds</w:t>
      </w:r>
      <w:r w:rsidR="00E52397" w:rsidRPr="00B379F2">
        <w:t xml:space="preserve"> Artemisinin, Atovaquone, Chloroquine, and Pyrimethamine tested at </w:t>
      </w:r>
      <m:oMath>
        <m:r>
          <w:rPr>
            <w:rFonts w:ascii="Cambria Math" w:hAnsi="Cambria Math"/>
          </w:rPr>
          <m:t>10×I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F119C8" w:rsidRPr="00B379F2">
        <w:t>. Killing</w:t>
      </w:r>
      <w:r w:rsidR="00F119C8" w:rsidRPr="00BC19F0">
        <w:t xml:space="preserve"> curves</w:t>
      </w:r>
      <w:r w:rsidR="003A0A77" w:rsidRPr="00BC19F0">
        <w:t xml:space="preserve"> of the reference compounds</w:t>
      </w:r>
      <w:r w:rsidR="00F119C8" w:rsidRPr="00BC19F0">
        <w:t xml:space="preserve"> </w:t>
      </w:r>
      <w:r w:rsidR="005E26EF" w:rsidRPr="00BC19F0">
        <w:t xml:space="preserve">are based on </w:t>
      </w:r>
      <w:r w:rsidR="005E26EF" w:rsidRPr="00BC19F0">
        <w:rPr>
          <w:rFonts w:cs="Arial"/>
        </w:rPr>
        <w:t>≥</w:t>
      </w:r>
      <w:r w:rsidR="005E26EF" w:rsidRPr="00BC19F0">
        <w:t xml:space="preserve"> 3 biological replicates</w:t>
      </w:r>
      <w:r w:rsidR="00F119C8" w:rsidRPr="00BC19F0">
        <w:t xml:space="preserve">. </w:t>
      </w:r>
      <w:r w:rsidR="005E26EF" w:rsidRPr="00BC19F0">
        <w:t xml:space="preserve">Dots are the mean values of the measurements. </w:t>
      </w:r>
      <w:r w:rsidR="007E704D">
        <w:t>Ri</w:t>
      </w:r>
      <w:r w:rsidR="00E52397">
        <w:t>bbons</w:t>
      </w:r>
      <w:r w:rsidR="007303E1" w:rsidRPr="00BC19F0">
        <w:t xml:space="preserve"> indicate </w:t>
      </w:r>
      <w:r w:rsidR="005E26EF" w:rsidRPr="00BC19F0">
        <w:t>95% confidence intervals</w:t>
      </w:r>
      <w:r w:rsidR="007303E1" w:rsidRPr="00BC19F0">
        <w:t>.</w:t>
      </w:r>
    </w:p>
    <w:p w14:paraId="1C9F76BA" w14:textId="7B960F4A" w:rsidR="00F119C8" w:rsidRPr="00BC19F0" w:rsidRDefault="00F119C8" w:rsidP="00E7428A">
      <w:pPr>
        <w:spacing w:line="259" w:lineRule="auto"/>
        <w:jc w:val="left"/>
        <w:rPr>
          <w:lang w:val="en-GB" w:eastAsia="de-DE"/>
        </w:rPr>
      </w:pPr>
      <w:r w:rsidRPr="00BC19F0">
        <w:rPr>
          <w:lang w:val="en-GB" w:eastAsia="de-DE"/>
        </w:rPr>
        <w:br w:type="page"/>
      </w:r>
    </w:p>
    <w:p w14:paraId="4683DCBD" w14:textId="777C9F82" w:rsidR="001F2802" w:rsidRPr="00BC19F0" w:rsidRDefault="00C94C02" w:rsidP="001C2A7D">
      <w:pPr>
        <w:pStyle w:val="Heading1"/>
        <w:jc w:val="both"/>
      </w:pPr>
      <w:r w:rsidRPr="00BC19F0">
        <w:lastRenderedPageBreak/>
        <w:t>Appendix</w:t>
      </w:r>
    </w:p>
    <w:p w14:paraId="7BC5F85A" w14:textId="3BFDE3E9" w:rsidR="001F2802" w:rsidRDefault="001C2A7D" w:rsidP="001F2802">
      <w:pPr>
        <w:pStyle w:val="Heading2"/>
        <w:rPr>
          <w:lang w:val="en-GB" w:eastAsia="de-DE"/>
        </w:rPr>
      </w:pPr>
      <w:r w:rsidRPr="00BC19F0">
        <w:rPr>
          <w:lang w:val="en-GB" w:eastAsia="de-DE"/>
        </w:rPr>
        <w:t>Quality Controls</w:t>
      </w:r>
    </w:p>
    <w:p w14:paraId="6B1F242E" w14:textId="77777777" w:rsidR="00BC19F0" w:rsidRPr="00BC19F0" w:rsidRDefault="00BC19F0" w:rsidP="005E0274">
      <w:pPr>
        <w:pStyle w:val="Heading3"/>
      </w:pPr>
      <w:r w:rsidRPr="00BC19F0">
        <w:t>Pyrimethamine Control</w:t>
      </w:r>
      <w:r w:rsidRPr="00BC19F0">
        <w:tab/>
      </w:r>
      <w:r w:rsidRPr="00BC19F0">
        <w:tab/>
      </w:r>
    </w:p>
    <w:p w14:paraId="24BBE8BB" w14:textId="38572B62" w:rsidR="00BC19F0" w:rsidRPr="00B379F2" w:rsidRDefault="00BC19F0" w:rsidP="00BC19F0">
      <w:r w:rsidRPr="00BC19F0">
        <w:t>Pyrimethamine was included as a compound control to assure that parasite killing appeared as expected. In compariso</w:t>
      </w:r>
      <w:r w:rsidR="009B3E08">
        <w:t>n with the reference curve (Figure</w:t>
      </w:r>
      <w:r w:rsidRPr="00BC19F0">
        <w:t xml:space="preserve"> </w:t>
      </w:r>
      <w:r w:rsidR="00B5561A">
        <w:t>3</w:t>
      </w:r>
      <w:r w:rsidRPr="00BC19F0">
        <w:t xml:space="preserve">), the Pyrimethamine curve from this campaign </w:t>
      </w:r>
      <w:r w:rsidRPr="00B379F2">
        <w:t>shows no remarkable difference.</w:t>
      </w:r>
    </w:p>
    <w:p w14:paraId="57DC16B0" w14:textId="188DFB75" w:rsidR="00BC19F0" w:rsidRPr="00BC19F0" w:rsidRDefault="00BC19F0" w:rsidP="00BC19F0">
      <w:r w:rsidRPr="00B379F2">
        <w:t>A stage effect can be seen by means of a small lag phase,</w:t>
      </w:r>
      <w:r w:rsidRPr="00BC19F0">
        <w:t xml:space="preserve"> thereby reflecting the high proportion of ring stages in the initial parasite population.</w:t>
      </w:r>
    </w:p>
    <w:p w14:paraId="7AFE17FB" w14:textId="29A76C15" w:rsidR="00DE645C" w:rsidRPr="008750A6" w:rsidRDefault="00B379F2" w:rsidP="00B379F2">
      <w:pPr>
        <w:jc w:val="center"/>
        <w:rPr>
          <w:noProof/>
          <w:lang w:eastAsia="de-CH"/>
        </w:rPr>
      </w:pPr>
      <w:r w:rsidRPr="00B379F2">
        <w:rPr>
          <w:noProof/>
          <w:lang w:val="de-CH" w:eastAsia="de-CH"/>
        </w:rPr>
        <w:drawing>
          <wp:inline distT="0" distB="0" distL="0" distR="0" wp14:anchorId="19F4728D" wp14:editId="6525B8ED">
            <wp:extent cx="5486400" cy="2924175"/>
            <wp:effectExtent l="0" t="0" r="0" b="9525"/>
            <wp:docPr id="2" name="Picture 2" descr="C:\Users\walzan\AppData\Local\Microsoft\Windows\INetCache\Content.Word\PRR-09-2021 _Pyrimethamine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lzan\AppData\Local\Microsoft\Windows\INetCache\Content.Word\PRR-09-2021 _Pyrimethamine_comparis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2883" w14:textId="257B976D" w:rsidR="000D30F6" w:rsidRPr="000D30F6" w:rsidRDefault="00B5561A" w:rsidP="000D30F6">
      <w:pPr>
        <w:jc w:val="left"/>
        <w:rPr>
          <w:i/>
          <w:sz w:val="20"/>
          <w:lang w:val="en-GB" w:eastAsia="de-DE"/>
        </w:rPr>
      </w:pPr>
      <w:r>
        <w:rPr>
          <w:b/>
          <w:i/>
          <w:sz w:val="20"/>
          <w:lang w:val="en-GB" w:eastAsia="de-DE"/>
        </w:rPr>
        <w:t>Figure 3</w:t>
      </w:r>
      <w:r w:rsidR="00BC19F0" w:rsidRPr="00DE645C">
        <w:rPr>
          <w:b/>
          <w:i/>
          <w:sz w:val="20"/>
          <w:lang w:val="en-GB" w:eastAsia="de-DE"/>
        </w:rPr>
        <w:t>:</w:t>
      </w:r>
      <w:r w:rsidR="00BC19F0" w:rsidRPr="00DE645C">
        <w:rPr>
          <w:i/>
          <w:sz w:val="20"/>
          <w:lang w:val="en-GB" w:eastAsia="de-DE"/>
        </w:rPr>
        <w:t xml:space="preserve"> Comparison between </w:t>
      </w:r>
      <w:r w:rsidR="003A00A8" w:rsidRPr="00DE645C">
        <w:rPr>
          <w:i/>
          <w:sz w:val="20"/>
          <w:lang w:val="en-GB" w:eastAsia="de-DE"/>
        </w:rPr>
        <w:t xml:space="preserve">the experimental </w:t>
      </w:r>
      <w:r w:rsidR="00BC19F0" w:rsidRPr="00DE645C">
        <w:rPr>
          <w:i/>
          <w:sz w:val="20"/>
          <w:lang w:val="en-GB" w:eastAsia="de-DE"/>
        </w:rPr>
        <w:t>Pyrimethamine tested in this campaign (MMV000024-16, in red) and the</w:t>
      </w:r>
      <w:r w:rsidR="00BC19F0" w:rsidRPr="00BC19F0">
        <w:rPr>
          <w:i/>
          <w:sz w:val="20"/>
          <w:lang w:val="en-GB" w:eastAsia="de-DE"/>
        </w:rPr>
        <w:t xml:space="preserve"> reference curve obtained from </w:t>
      </w:r>
      <w:r w:rsidR="009B3E08">
        <w:rPr>
          <w:i/>
          <w:sz w:val="20"/>
          <w:lang w:val="en-GB" w:eastAsia="de-DE"/>
        </w:rPr>
        <w:t xml:space="preserve">&gt; 10 </w:t>
      </w:r>
      <w:r w:rsidR="00BC19F0" w:rsidRPr="00BC19F0">
        <w:rPr>
          <w:i/>
          <w:sz w:val="20"/>
          <w:lang w:val="en-GB" w:eastAsia="de-DE"/>
        </w:rPr>
        <w:t>biological replicates (in blue).</w:t>
      </w:r>
    </w:p>
    <w:p w14:paraId="0188EDB9" w14:textId="06A8E7B1" w:rsidR="000D30F6" w:rsidRDefault="000D30F6" w:rsidP="005E0274">
      <w:pPr>
        <w:pStyle w:val="Plain-Heading3-SwissTPH"/>
        <w:rPr>
          <w:lang w:val="en-GB"/>
        </w:rPr>
      </w:pPr>
      <w:r>
        <w:rPr>
          <w:lang w:val="en-GB"/>
        </w:rPr>
        <w:t>Other Controls</w:t>
      </w:r>
    </w:p>
    <w:p w14:paraId="141D8252" w14:textId="53785776" w:rsidR="00AC6102" w:rsidRPr="000D30F6" w:rsidRDefault="00C67C3C" w:rsidP="00AC6102">
      <w:pPr>
        <w:pStyle w:val="TableFigure"/>
      </w:pPr>
      <w:r>
        <w:rPr>
          <w:b/>
        </w:rPr>
        <w:t>Tabl</w:t>
      </w:r>
      <w:r w:rsidR="00AC6102" w:rsidRPr="00B821C3">
        <w:rPr>
          <w:b/>
        </w:rPr>
        <w:t>e 5:</w:t>
      </w:r>
      <w:r w:rsidR="00AC6102" w:rsidRPr="00B821C3">
        <w:t xml:space="preserve"> </w:t>
      </w:r>
      <w:r w:rsidR="00AC6102">
        <w:t>Results for growth controls, compound stability and compound washout assessment.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102"/>
        <w:gridCol w:w="3087"/>
      </w:tblGrid>
      <w:tr w:rsidR="000D30F6" w14:paraId="00AF17FA" w14:textId="77777777" w:rsidTr="00777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8" w:type="dxa"/>
          </w:tcPr>
          <w:p w14:paraId="7D1495F0" w14:textId="77777777" w:rsidR="000D30F6" w:rsidRPr="00BC19F0" w:rsidRDefault="000D30F6" w:rsidP="007775EA">
            <w:pPr>
              <w:ind w:left="0"/>
              <w:rPr>
                <w:color w:val="EFEFF0" w:themeColor="background1"/>
                <w:lang w:eastAsia="de-DE"/>
              </w:rPr>
            </w:pPr>
            <w:r w:rsidRPr="00BC19F0">
              <w:rPr>
                <w:color w:val="EFEFF0" w:themeColor="background1"/>
                <w:lang w:eastAsia="de-DE"/>
              </w:rPr>
              <w:t>Type of control</w:t>
            </w:r>
          </w:p>
        </w:tc>
        <w:tc>
          <w:tcPr>
            <w:tcW w:w="3102" w:type="dxa"/>
          </w:tcPr>
          <w:p w14:paraId="19C92030" w14:textId="77777777" w:rsidR="000D30F6" w:rsidRPr="00BC19F0" w:rsidRDefault="000D30F6" w:rsidP="007775EA">
            <w:pPr>
              <w:rPr>
                <w:color w:val="EFEFF0" w:themeColor="background1"/>
                <w:lang w:eastAsia="de-DE"/>
              </w:rPr>
            </w:pPr>
            <w:r>
              <w:rPr>
                <w:color w:val="EFEFF0" w:themeColor="background1"/>
                <w:lang w:eastAsia="de-DE"/>
              </w:rPr>
              <w:t xml:space="preserve">Results </w:t>
            </w:r>
          </w:p>
        </w:tc>
        <w:tc>
          <w:tcPr>
            <w:tcW w:w="3087" w:type="dxa"/>
          </w:tcPr>
          <w:p w14:paraId="53E4842A" w14:textId="77777777" w:rsidR="000D30F6" w:rsidRPr="00BC19F0" w:rsidRDefault="000D30F6" w:rsidP="007775EA">
            <w:pPr>
              <w:rPr>
                <w:color w:val="EFEFF0" w:themeColor="background1"/>
                <w:lang w:eastAsia="de-DE"/>
              </w:rPr>
            </w:pPr>
            <w:r>
              <w:rPr>
                <w:color w:val="EFEFF0" w:themeColor="background1"/>
                <w:lang w:eastAsia="de-DE"/>
              </w:rPr>
              <w:t>Comment</w:t>
            </w:r>
          </w:p>
        </w:tc>
      </w:tr>
      <w:tr w:rsidR="000D30F6" w14:paraId="484C08C9" w14:textId="77777777" w:rsidTr="007775EA">
        <w:tc>
          <w:tcPr>
            <w:tcW w:w="3098" w:type="dxa"/>
          </w:tcPr>
          <w:p w14:paraId="583787B1" w14:textId="77777777" w:rsidR="000D30F6" w:rsidRPr="00874315" w:rsidRDefault="000D30F6" w:rsidP="007775EA">
            <w:pPr>
              <w:rPr>
                <w:b/>
                <w:lang w:eastAsia="de-DE"/>
              </w:rPr>
            </w:pPr>
            <w:r w:rsidRPr="00874315">
              <w:rPr>
                <w:b/>
                <w:lang w:eastAsia="de-DE"/>
              </w:rPr>
              <w:t>Growth Controls</w:t>
            </w:r>
          </w:p>
        </w:tc>
        <w:bookmarkStart w:id="16" w:name="_MON_1704800072"/>
        <w:bookmarkEnd w:id="16"/>
        <w:tc>
          <w:tcPr>
            <w:tcW w:w="3102" w:type="dxa"/>
          </w:tcPr>
          <w:p w14:paraId="655D8224" w14:textId="36C9535F" w:rsidR="000D30F6" w:rsidRPr="00B379F2" w:rsidRDefault="00B379F2" w:rsidP="007775EA">
            <w:pPr>
              <w:jc w:val="center"/>
              <w:rPr>
                <w:lang w:eastAsia="de-DE"/>
              </w:rPr>
            </w:pPr>
            <w:r w:rsidRPr="00B379F2">
              <w:rPr>
                <w:lang w:eastAsia="de-DE"/>
              </w:rPr>
              <w:object w:dxaOrig="1541" w:dyaOrig="998" w14:anchorId="51FA6A90">
                <v:shape id="_x0000_i1041" type="#_x0000_t75" style="width:77.25pt;height:50.25pt" o:ole="">
                  <v:imagedata r:id="rId23" o:title=""/>
                </v:shape>
                <o:OLEObject Type="Embed" ProgID="Excel.Sheet.12" ShapeID="_x0000_i1041" DrawAspect="Icon" ObjectID="_1704800411" r:id="rId24"/>
              </w:object>
            </w:r>
          </w:p>
        </w:tc>
        <w:tc>
          <w:tcPr>
            <w:tcW w:w="3087" w:type="dxa"/>
          </w:tcPr>
          <w:p w14:paraId="4F569983" w14:textId="77777777" w:rsidR="000D30F6" w:rsidRPr="00B379F2" w:rsidRDefault="000D30F6" w:rsidP="007775EA">
            <w:pPr>
              <w:rPr>
                <w:lang w:eastAsia="de-DE"/>
              </w:rPr>
            </w:pPr>
            <w:r w:rsidRPr="00B379F2">
              <w:rPr>
                <w:lang w:eastAsia="de-DE"/>
              </w:rPr>
              <w:t>Normal parasite growth.</w:t>
            </w:r>
          </w:p>
        </w:tc>
      </w:tr>
      <w:tr w:rsidR="000D30F6" w14:paraId="31B42ADE" w14:textId="77777777" w:rsidTr="009331A9">
        <w:tc>
          <w:tcPr>
            <w:tcW w:w="3098" w:type="dxa"/>
          </w:tcPr>
          <w:p w14:paraId="27F9EAD3" w14:textId="77777777" w:rsidR="000D30F6" w:rsidRPr="00874315" w:rsidRDefault="000D30F6" w:rsidP="007775EA">
            <w:pPr>
              <w:rPr>
                <w:b/>
                <w:lang w:eastAsia="de-DE"/>
              </w:rPr>
            </w:pPr>
            <w:r w:rsidRPr="00874315">
              <w:rPr>
                <w:b/>
                <w:lang w:eastAsia="de-DE"/>
              </w:rPr>
              <w:t>Compound Stability</w:t>
            </w:r>
          </w:p>
        </w:tc>
        <w:bookmarkStart w:id="17" w:name="_MON_1704800118"/>
        <w:bookmarkEnd w:id="17"/>
        <w:tc>
          <w:tcPr>
            <w:tcW w:w="3102" w:type="dxa"/>
          </w:tcPr>
          <w:p w14:paraId="39B27865" w14:textId="055EF734" w:rsidR="000D30F6" w:rsidRPr="00B379F2" w:rsidRDefault="00B379F2" w:rsidP="007775EA">
            <w:pPr>
              <w:jc w:val="center"/>
              <w:rPr>
                <w:lang w:eastAsia="de-DE"/>
              </w:rPr>
            </w:pPr>
            <w:r w:rsidRPr="00B379F2">
              <w:rPr>
                <w:lang w:eastAsia="de-DE"/>
              </w:rPr>
              <w:object w:dxaOrig="1541" w:dyaOrig="998" w14:anchorId="69C009EE">
                <v:shape id="_x0000_i1046" type="#_x0000_t75" style="width:77.25pt;height:50.25pt" o:ole="">
                  <v:imagedata r:id="rId25" o:title=""/>
                </v:shape>
                <o:OLEObject Type="Embed" ProgID="Excel.Sheet.12" ShapeID="_x0000_i1046" DrawAspect="Icon" ObjectID="_1704800412" r:id="rId26"/>
              </w:object>
            </w:r>
          </w:p>
        </w:tc>
        <w:tc>
          <w:tcPr>
            <w:tcW w:w="3087" w:type="dxa"/>
            <w:shd w:val="clear" w:color="auto" w:fill="auto"/>
          </w:tcPr>
          <w:p w14:paraId="0EC18912" w14:textId="314EB4C1" w:rsidR="000D30F6" w:rsidRPr="00B379F2" w:rsidRDefault="00D57A02" w:rsidP="00D57A02">
            <w:pPr>
              <w:rPr>
                <w:lang w:eastAsia="de-DE"/>
              </w:rPr>
            </w:pPr>
            <w:r w:rsidRPr="00B379F2">
              <w:rPr>
                <w:lang w:eastAsia="de-DE"/>
              </w:rPr>
              <w:t>Stable over a period of 24 h.</w:t>
            </w:r>
          </w:p>
        </w:tc>
      </w:tr>
      <w:tr w:rsidR="000D30F6" w14:paraId="66F85A39" w14:textId="77777777" w:rsidTr="009331A9">
        <w:tc>
          <w:tcPr>
            <w:tcW w:w="3098" w:type="dxa"/>
          </w:tcPr>
          <w:p w14:paraId="67DD4A62" w14:textId="77777777" w:rsidR="000D30F6" w:rsidRPr="00874315" w:rsidRDefault="000D30F6" w:rsidP="007775EA">
            <w:pPr>
              <w:rPr>
                <w:b/>
                <w:lang w:eastAsia="de-DE"/>
              </w:rPr>
            </w:pPr>
            <w:r w:rsidRPr="00874315">
              <w:rPr>
                <w:b/>
                <w:lang w:eastAsia="de-DE"/>
              </w:rPr>
              <w:t>Compound Washout</w:t>
            </w:r>
          </w:p>
        </w:tc>
        <w:bookmarkStart w:id="18" w:name="_MON_1704800123"/>
        <w:bookmarkEnd w:id="18"/>
        <w:tc>
          <w:tcPr>
            <w:tcW w:w="3102" w:type="dxa"/>
          </w:tcPr>
          <w:p w14:paraId="2F7B733C" w14:textId="4AC300E4" w:rsidR="000D30F6" w:rsidRPr="00B379F2" w:rsidRDefault="00B379F2" w:rsidP="007775EA">
            <w:pPr>
              <w:jc w:val="center"/>
              <w:rPr>
                <w:lang w:eastAsia="de-DE"/>
              </w:rPr>
            </w:pPr>
            <w:r w:rsidRPr="00B379F2">
              <w:rPr>
                <w:lang w:eastAsia="de-DE"/>
              </w:rPr>
              <w:object w:dxaOrig="1541" w:dyaOrig="998" w14:anchorId="0075661F">
                <v:shape id="_x0000_i1048" type="#_x0000_t75" style="width:77.25pt;height:50.25pt" o:ole="">
                  <v:imagedata r:id="rId27" o:title=""/>
                </v:shape>
                <o:OLEObject Type="Embed" ProgID="Excel.Sheet.12" ShapeID="_x0000_i1048" DrawAspect="Icon" ObjectID="_1704800413" r:id="rId28"/>
              </w:object>
            </w:r>
          </w:p>
        </w:tc>
        <w:tc>
          <w:tcPr>
            <w:tcW w:w="3087" w:type="dxa"/>
            <w:shd w:val="clear" w:color="auto" w:fill="auto"/>
          </w:tcPr>
          <w:p w14:paraId="2E009246" w14:textId="77777777" w:rsidR="000D30F6" w:rsidRPr="00B379F2" w:rsidRDefault="000D30F6" w:rsidP="007775EA">
            <w:pPr>
              <w:rPr>
                <w:lang w:eastAsia="de-DE"/>
              </w:rPr>
            </w:pPr>
            <w:r w:rsidRPr="00B379F2">
              <w:rPr>
                <w:lang w:eastAsia="de-DE"/>
              </w:rPr>
              <w:t>Washout successful.</w:t>
            </w:r>
          </w:p>
        </w:tc>
      </w:tr>
    </w:tbl>
    <w:p w14:paraId="6170210C" w14:textId="77777777" w:rsidR="000D30F6" w:rsidRPr="00BC19F0" w:rsidRDefault="000D30F6" w:rsidP="000D30F6">
      <w:pPr>
        <w:rPr>
          <w:lang w:val="en-GB"/>
        </w:rPr>
      </w:pPr>
    </w:p>
    <w:p w14:paraId="44FD8BC6" w14:textId="77777777" w:rsidR="00BC19F0" w:rsidRPr="00BC19F0" w:rsidRDefault="00BC19F0" w:rsidP="00BC19F0">
      <w:pPr>
        <w:pStyle w:val="Heading2"/>
      </w:pPr>
      <w:r w:rsidRPr="00BC19F0">
        <w:lastRenderedPageBreak/>
        <w:t>Killing Curve Parameters</w:t>
      </w:r>
    </w:p>
    <w:p w14:paraId="4DE80E95" w14:textId="6C35B0A1" w:rsidR="00BC19F0" w:rsidRDefault="00BC19F0" w:rsidP="00BC19F0">
      <w:r w:rsidRPr="00BC19F0">
        <w:t>For a full list of killing curve parameters,</w:t>
      </w:r>
      <w:r w:rsidRPr="00BC19F0">
        <w:rPr>
          <w:lang w:val="en-GB" w:eastAsia="de-DE"/>
        </w:rPr>
        <w:t xml:space="preserve"> see the embedded Excel file.</w:t>
      </w:r>
      <w:r w:rsidRPr="00BC19F0">
        <w:t xml:space="preserve"> </w:t>
      </w:r>
    </w:p>
    <w:bookmarkStart w:id="19" w:name="_MON_1704800184"/>
    <w:bookmarkEnd w:id="19"/>
    <w:p w14:paraId="62C5EE72" w14:textId="4CE6DECB" w:rsidR="00B379F2" w:rsidRPr="00BC19F0" w:rsidRDefault="00B379F2" w:rsidP="00B379F2">
      <w:pPr>
        <w:jc w:val="center"/>
      </w:pPr>
      <w:r>
        <w:object w:dxaOrig="1541" w:dyaOrig="998" w14:anchorId="4B2578B1">
          <v:shape id="_x0000_i1054" type="#_x0000_t75" style="width:77.25pt;height:50.25pt" o:ole="">
            <v:imagedata r:id="rId29" o:title=""/>
          </v:shape>
          <o:OLEObject Type="Embed" ProgID="Excel.Sheet.12" ShapeID="_x0000_i1054" DrawAspect="Icon" ObjectID="_1704800414" r:id="rId30"/>
        </w:object>
      </w:r>
    </w:p>
    <w:p w14:paraId="1EAC3185" w14:textId="77777777" w:rsidR="003A00A8" w:rsidRDefault="003A00A8" w:rsidP="003A00A8">
      <w:pPr>
        <w:pStyle w:val="Heading2"/>
        <w:rPr>
          <w:lang w:val="en-GB" w:eastAsia="de-DE"/>
        </w:rPr>
      </w:pPr>
      <w:r>
        <w:rPr>
          <w:lang w:val="en-GB" w:eastAsia="de-DE"/>
        </w:rPr>
        <w:t>Dominant rules for lag phase determination</w:t>
      </w:r>
    </w:p>
    <w:p w14:paraId="1C89D700" w14:textId="50B94FC3" w:rsidR="003A00A8" w:rsidRPr="00BC19F0" w:rsidRDefault="007431A8" w:rsidP="007431A8">
      <w:pPr>
        <w:ind w:left="3600"/>
        <w:rPr>
          <w:lang w:val="en-GB" w:eastAsia="de-DE"/>
        </w:rPr>
      </w:pPr>
      <w:r>
        <w:rPr>
          <w:lang w:val="en-GB" w:eastAsia="de-DE"/>
        </w:rPr>
        <w:t xml:space="preserve">      </w:t>
      </w:r>
      <w:r w:rsidR="006657AC">
        <w:rPr>
          <w:lang w:val="en-GB" w:eastAsia="de-DE"/>
        </w:rPr>
        <w:object w:dxaOrig="1508" w:dyaOrig="984" w14:anchorId="1D31CCB3">
          <v:shape id="_x0000_i1026" type="#_x0000_t75" style="width:73.5pt;height:49.5pt" o:ole="">
            <v:imagedata r:id="rId31" o:title="" cropright="914f"/>
          </v:shape>
          <o:OLEObject Type="Embed" ProgID="AcroExch.Document.DC" ShapeID="_x0000_i1026" DrawAspect="Icon" ObjectID="_1704800415" r:id="rId32"/>
        </w:object>
      </w:r>
    </w:p>
    <w:p w14:paraId="4590EE27" w14:textId="4B1DDD0A" w:rsidR="00195450" w:rsidRPr="00BC19F0" w:rsidRDefault="00276453" w:rsidP="001F2802">
      <w:pPr>
        <w:pStyle w:val="Heading2"/>
        <w:rPr>
          <w:lang w:val="en-GB" w:eastAsia="de-DE"/>
        </w:rPr>
      </w:pPr>
      <w:r w:rsidRPr="00BC19F0">
        <w:rPr>
          <w:lang w:val="en-GB" w:eastAsia="de-DE"/>
        </w:rPr>
        <w:t>Estimates of Viable Parasites</w:t>
      </w:r>
    </w:p>
    <w:p w14:paraId="3C24BB2D" w14:textId="00C21A5B" w:rsidR="00AE60AF" w:rsidRPr="00BC19F0" w:rsidRDefault="00AC6102" w:rsidP="00AE60AF">
      <w:pPr>
        <w:pStyle w:val="TableFigure"/>
      </w:pPr>
      <w:r>
        <w:rPr>
          <w:b/>
        </w:rPr>
        <w:t>Table 6</w:t>
      </w:r>
      <w:r w:rsidR="00AE60AF" w:rsidRPr="00BC19F0">
        <w:rPr>
          <w:b/>
        </w:rPr>
        <w:t>:</w:t>
      </w:r>
      <w:r w:rsidR="00AE60AF" w:rsidRPr="00BC19F0">
        <w:t xml:space="preserve"> </w:t>
      </w:r>
      <w:r w:rsidR="00AE60AF" w:rsidRPr="009331A9">
        <w:t xml:space="preserve">Quantification of viable </w:t>
      </w:r>
      <w:r w:rsidR="00AE60AF" w:rsidRPr="00B379F2">
        <w:t xml:space="preserve">parasites for </w:t>
      </w:r>
      <w:r w:rsidR="00A511B6" w:rsidRPr="00B379F2">
        <w:t>MMV025100-09</w:t>
      </w:r>
      <w:r w:rsidR="00B76891" w:rsidRPr="00B379F2">
        <w:t xml:space="preserve"> </w:t>
      </w:r>
      <w:r w:rsidR="00AE60AF" w:rsidRPr="00B379F2">
        <w:t xml:space="preserve">and </w:t>
      </w:r>
      <w:r w:rsidR="00F868A3" w:rsidRPr="00B379F2">
        <w:t xml:space="preserve">MMV000024-16 (Pyrimethamine) </w:t>
      </w:r>
      <w:r w:rsidR="00AE60AF" w:rsidRPr="00B379F2">
        <w:t xml:space="preserve">at </w:t>
      </w:r>
      <w:r w:rsidR="003A00A8" w:rsidRPr="00B379F2">
        <w:t xml:space="preserve">a concentration of </w:t>
      </w:r>
      <m:oMath>
        <m:r>
          <w:rPr>
            <w:rFonts w:ascii="Cambria Math" w:hAnsi="Cambria Math"/>
          </w:rPr>
          <m:t>10×I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 w:rsidR="00AE60AF" w:rsidRPr="00B379F2">
        <w:t>.</w:t>
      </w:r>
      <w:r w:rsidR="00BF1974" w:rsidRPr="00BC19F0">
        <w:t xml:space="preserve"> </w:t>
      </w:r>
    </w:p>
    <w:tbl>
      <w:tblPr>
        <w:tblStyle w:val="TableGrid"/>
        <w:tblW w:w="5000" w:type="pct"/>
        <w:tblInd w:w="0" w:type="dxa"/>
        <w:tblLook w:val="05E0" w:firstRow="1" w:lastRow="1" w:firstColumn="1" w:lastColumn="1" w:noHBand="0" w:noVBand="1"/>
      </w:tblPr>
      <w:tblGrid>
        <w:gridCol w:w="420"/>
        <w:gridCol w:w="1684"/>
        <w:gridCol w:w="1415"/>
        <w:gridCol w:w="1420"/>
        <w:gridCol w:w="1568"/>
        <w:gridCol w:w="1420"/>
        <w:gridCol w:w="1417"/>
      </w:tblGrid>
      <w:tr w:rsidR="00EC088D" w:rsidRPr="00BC19F0" w14:paraId="4BEBD001" w14:textId="77777777" w:rsidTr="00EC0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" w:type="pct"/>
          </w:tcPr>
          <w:p w14:paraId="251C8842" w14:textId="5924742E" w:rsidR="00EC088D" w:rsidRPr="00672132" w:rsidRDefault="00EC088D" w:rsidP="00EC088D">
            <w:pPr>
              <w:pStyle w:val="Table-Header"/>
              <w:ind w:left="0"/>
              <w:rPr>
                <w:b/>
                <w:szCs w:val="22"/>
              </w:rPr>
            </w:pPr>
          </w:p>
        </w:tc>
        <w:tc>
          <w:tcPr>
            <w:tcW w:w="901" w:type="pct"/>
          </w:tcPr>
          <w:p w14:paraId="640D16C6" w14:textId="0D0C1F61" w:rsidR="00EC088D" w:rsidRPr="00672132" w:rsidRDefault="00EC088D" w:rsidP="00F63739">
            <w:pPr>
              <w:pStyle w:val="Table-Header"/>
              <w:jc w:val="center"/>
              <w:rPr>
                <w:b/>
                <w:szCs w:val="22"/>
              </w:rPr>
            </w:pPr>
          </w:p>
          <w:p w14:paraId="652F8424" w14:textId="7D6CF6F7" w:rsidR="00EC088D" w:rsidRPr="00672132" w:rsidRDefault="00EC088D" w:rsidP="00F63739">
            <w:pPr>
              <w:pStyle w:val="Table-Header"/>
              <w:jc w:val="center"/>
              <w:rPr>
                <w:b/>
                <w:szCs w:val="22"/>
              </w:rPr>
            </w:pPr>
            <w:r w:rsidRPr="00672132">
              <w:rPr>
                <w:b/>
                <w:szCs w:val="22"/>
              </w:rPr>
              <w:t>Time (h)</w:t>
            </w:r>
          </w:p>
        </w:tc>
        <w:tc>
          <w:tcPr>
            <w:tcW w:w="757" w:type="pct"/>
          </w:tcPr>
          <w:p w14:paraId="2CC68501" w14:textId="14790708" w:rsidR="00EC088D" w:rsidRPr="00672132" w:rsidRDefault="00EC088D" w:rsidP="00FA28A4">
            <w:pPr>
              <w:pStyle w:val="Table-Header"/>
              <w:ind w:left="0"/>
              <w:jc w:val="center"/>
              <w:rPr>
                <w:b/>
                <w:szCs w:val="22"/>
              </w:rPr>
            </w:pPr>
            <w:r w:rsidRPr="00672132">
              <w:rPr>
                <w:b/>
                <w:szCs w:val="22"/>
              </w:rPr>
              <w:t>Log</w:t>
            </w:r>
            <w:r w:rsidR="00E52397" w:rsidRPr="00672132">
              <w:rPr>
                <w:b/>
                <w:szCs w:val="22"/>
                <w:vertAlign w:val="subscript"/>
              </w:rPr>
              <w:t>10</w:t>
            </w:r>
            <w:r w:rsidRPr="00672132">
              <w:rPr>
                <w:b/>
                <w:szCs w:val="22"/>
              </w:rPr>
              <w:t>(viable parasites+1)</w:t>
            </w:r>
          </w:p>
        </w:tc>
        <w:tc>
          <w:tcPr>
            <w:tcW w:w="760" w:type="pct"/>
          </w:tcPr>
          <w:p w14:paraId="56E9479C" w14:textId="156CAD43" w:rsidR="00EC088D" w:rsidRPr="00672132" w:rsidRDefault="00EC088D" w:rsidP="00FA28A4">
            <w:pPr>
              <w:pStyle w:val="Table-Header"/>
              <w:jc w:val="center"/>
              <w:rPr>
                <w:b/>
                <w:szCs w:val="22"/>
              </w:rPr>
            </w:pPr>
            <w:r w:rsidRPr="00672132">
              <w:rPr>
                <w:b/>
                <w:szCs w:val="22"/>
              </w:rPr>
              <w:t>Standard deviation</w:t>
            </w:r>
          </w:p>
        </w:tc>
        <w:tc>
          <w:tcPr>
            <w:tcW w:w="839" w:type="pct"/>
          </w:tcPr>
          <w:p w14:paraId="4A8FC0B2" w14:textId="62DBBA66" w:rsidR="00EC088D" w:rsidRPr="00672132" w:rsidRDefault="00EC088D" w:rsidP="00FA28A4">
            <w:pPr>
              <w:pStyle w:val="Table-Header"/>
              <w:ind w:left="0"/>
              <w:jc w:val="center"/>
              <w:rPr>
                <w:b/>
                <w:szCs w:val="22"/>
              </w:rPr>
            </w:pPr>
            <w:r w:rsidRPr="00672132">
              <w:rPr>
                <w:b/>
                <w:szCs w:val="22"/>
              </w:rPr>
              <w:t>Normalization Factor</w:t>
            </w:r>
          </w:p>
        </w:tc>
        <w:tc>
          <w:tcPr>
            <w:tcW w:w="760" w:type="pct"/>
          </w:tcPr>
          <w:p w14:paraId="448FD6EB" w14:textId="7F438C80" w:rsidR="00EC088D" w:rsidRPr="00672132" w:rsidRDefault="00EC088D" w:rsidP="00FA28A4">
            <w:pPr>
              <w:pStyle w:val="Table-Header"/>
              <w:ind w:left="0"/>
              <w:jc w:val="center"/>
              <w:rPr>
                <w:b/>
                <w:szCs w:val="22"/>
              </w:rPr>
            </w:pPr>
            <w:r w:rsidRPr="00672132">
              <w:rPr>
                <w:b/>
                <w:szCs w:val="22"/>
              </w:rPr>
              <w:t>Log</w:t>
            </w:r>
            <w:r w:rsidR="00E52397" w:rsidRPr="00672132">
              <w:rPr>
                <w:b/>
                <w:szCs w:val="22"/>
                <w:vertAlign w:val="subscript"/>
              </w:rPr>
              <w:t>10</w:t>
            </w:r>
            <w:r w:rsidRPr="00672132">
              <w:rPr>
                <w:b/>
                <w:szCs w:val="22"/>
              </w:rPr>
              <w:t>(viable parasites+1) normalized</w:t>
            </w:r>
          </w:p>
        </w:tc>
        <w:tc>
          <w:tcPr>
            <w:tcW w:w="758" w:type="pct"/>
          </w:tcPr>
          <w:p w14:paraId="503A228D" w14:textId="46811031" w:rsidR="00EC088D" w:rsidRPr="00672132" w:rsidRDefault="00EC088D" w:rsidP="00FA28A4">
            <w:pPr>
              <w:pStyle w:val="Table-Header"/>
              <w:ind w:left="0"/>
              <w:jc w:val="center"/>
              <w:rPr>
                <w:b/>
                <w:szCs w:val="22"/>
              </w:rPr>
            </w:pPr>
            <w:r w:rsidRPr="00672132">
              <w:rPr>
                <w:b/>
                <w:szCs w:val="22"/>
              </w:rPr>
              <w:t>Standard deviation normalized</w:t>
            </w:r>
          </w:p>
        </w:tc>
      </w:tr>
      <w:tr w:rsidR="00B379F2" w:rsidRPr="00BC19F0" w14:paraId="5E525E4A" w14:textId="77777777" w:rsidTr="008F622A">
        <w:trPr>
          <w:trHeight w:val="42"/>
        </w:trPr>
        <w:tc>
          <w:tcPr>
            <w:tcW w:w="225" w:type="pct"/>
            <w:vMerge w:val="restart"/>
            <w:textDirection w:val="btLr"/>
          </w:tcPr>
          <w:p w14:paraId="51FB1C51" w14:textId="25D8BAEC" w:rsidR="00B379F2" w:rsidRPr="00672132" w:rsidRDefault="00B379F2" w:rsidP="00B379F2">
            <w:pPr>
              <w:jc w:val="center"/>
              <w:rPr>
                <w:b/>
                <w:szCs w:val="22"/>
              </w:rPr>
            </w:pPr>
            <w:r w:rsidRPr="00B379F2">
              <w:rPr>
                <w:b/>
                <w:szCs w:val="22"/>
              </w:rPr>
              <w:t>MMV025100-09</w:t>
            </w:r>
          </w:p>
        </w:tc>
        <w:tc>
          <w:tcPr>
            <w:tcW w:w="901" w:type="pct"/>
            <w:shd w:val="clear" w:color="auto" w:fill="auto"/>
          </w:tcPr>
          <w:p w14:paraId="30979E37" w14:textId="7D0AAF61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0</w:t>
            </w:r>
          </w:p>
        </w:tc>
        <w:tc>
          <w:tcPr>
            <w:tcW w:w="757" w:type="pct"/>
            <w:shd w:val="clear" w:color="auto" w:fill="auto"/>
          </w:tcPr>
          <w:p w14:paraId="439D7461" w14:textId="11D6E82F" w:rsidR="00B379F2" w:rsidRPr="00672132" w:rsidRDefault="00B379F2" w:rsidP="00B379F2">
            <w:pPr>
              <w:ind w:left="0"/>
              <w:jc w:val="center"/>
              <w:rPr>
                <w:szCs w:val="22"/>
              </w:rPr>
            </w:pPr>
            <w:r w:rsidRPr="00B025BE">
              <w:t>4.67</w:t>
            </w:r>
          </w:p>
        </w:tc>
        <w:tc>
          <w:tcPr>
            <w:tcW w:w="760" w:type="pct"/>
            <w:shd w:val="clear" w:color="auto" w:fill="auto"/>
          </w:tcPr>
          <w:p w14:paraId="0A868342" w14:textId="7C95FC48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0.43</w:t>
            </w:r>
          </w:p>
        </w:tc>
        <w:tc>
          <w:tcPr>
            <w:tcW w:w="839" w:type="pct"/>
            <w:vMerge w:val="restart"/>
          </w:tcPr>
          <w:p w14:paraId="65664288" w14:textId="75E29EAB" w:rsidR="00B379F2" w:rsidRPr="00672132" w:rsidRDefault="00B379F2" w:rsidP="00B379F2">
            <w:pPr>
              <w:jc w:val="center"/>
              <w:rPr>
                <w:szCs w:val="22"/>
              </w:rPr>
            </w:pPr>
            <w:r w:rsidRPr="00B379F2">
              <w:t>1.071</w:t>
            </w:r>
            <w:r>
              <w:t>6</w:t>
            </w:r>
          </w:p>
        </w:tc>
        <w:tc>
          <w:tcPr>
            <w:tcW w:w="760" w:type="pct"/>
          </w:tcPr>
          <w:p w14:paraId="1F134728" w14:textId="34281049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5.00</w:t>
            </w:r>
          </w:p>
        </w:tc>
        <w:tc>
          <w:tcPr>
            <w:tcW w:w="758" w:type="pct"/>
          </w:tcPr>
          <w:p w14:paraId="419D84A6" w14:textId="00057E0A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0.46</w:t>
            </w:r>
          </w:p>
        </w:tc>
      </w:tr>
      <w:tr w:rsidR="00B379F2" w:rsidRPr="00BC19F0" w14:paraId="0989ED49" w14:textId="77777777" w:rsidTr="008F622A">
        <w:tc>
          <w:tcPr>
            <w:tcW w:w="225" w:type="pct"/>
            <w:vMerge/>
          </w:tcPr>
          <w:p w14:paraId="4D3D9681" w14:textId="77777777" w:rsidR="00B379F2" w:rsidRPr="00672132" w:rsidRDefault="00B379F2" w:rsidP="00B379F2">
            <w:pPr>
              <w:jc w:val="center"/>
              <w:rPr>
                <w:b/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18F83153" w14:textId="691865B0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24</w:t>
            </w:r>
          </w:p>
        </w:tc>
        <w:tc>
          <w:tcPr>
            <w:tcW w:w="757" w:type="pct"/>
            <w:shd w:val="clear" w:color="auto" w:fill="auto"/>
          </w:tcPr>
          <w:p w14:paraId="0488FAF9" w14:textId="20FC529D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4.21</w:t>
            </w:r>
          </w:p>
        </w:tc>
        <w:tc>
          <w:tcPr>
            <w:tcW w:w="760" w:type="pct"/>
            <w:shd w:val="clear" w:color="auto" w:fill="auto"/>
          </w:tcPr>
          <w:p w14:paraId="1610D051" w14:textId="0AFA1FA3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0.49</w:t>
            </w:r>
          </w:p>
        </w:tc>
        <w:tc>
          <w:tcPr>
            <w:tcW w:w="839" w:type="pct"/>
            <w:vMerge/>
          </w:tcPr>
          <w:p w14:paraId="1E146D33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10ADF2BB" w14:textId="6DC0FDFA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4.52</w:t>
            </w:r>
          </w:p>
        </w:tc>
        <w:tc>
          <w:tcPr>
            <w:tcW w:w="758" w:type="pct"/>
          </w:tcPr>
          <w:p w14:paraId="7C45A20F" w14:textId="1FDC5071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0.53</w:t>
            </w:r>
          </w:p>
        </w:tc>
      </w:tr>
      <w:tr w:rsidR="00B379F2" w:rsidRPr="00BC19F0" w14:paraId="1A919572" w14:textId="77777777" w:rsidTr="008F622A">
        <w:tc>
          <w:tcPr>
            <w:tcW w:w="225" w:type="pct"/>
            <w:vMerge/>
          </w:tcPr>
          <w:p w14:paraId="46F88234" w14:textId="77777777" w:rsidR="00B379F2" w:rsidRPr="00672132" w:rsidRDefault="00B379F2" w:rsidP="00B379F2">
            <w:pPr>
              <w:jc w:val="center"/>
              <w:rPr>
                <w:b/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74CCBB2A" w14:textId="2FBE8CFB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48</w:t>
            </w:r>
          </w:p>
        </w:tc>
        <w:tc>
          <w:tcPr>
            <w:tcW w:w="757" w:type="pct"/>
            <w:shd w:val="clear" w:color="auto" w:fill="auto"/>
          </w:tcPr>
          <w:p w14:paraId="6D353942" w14:textId="389C7872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3.76</w:t>
            </w:r>
          </w:p>
        </w:tc>
        <w:tc>
          <w:tcPr>
            <w:tcW w:w="760" w:type="pct"/>
            <w:shd w:val="clear" w:color="auto" w:fill="auto"/>
          </w:tcPr>
          <w:p w14:paraId="2DE294AF" w14:textId="65C58B26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0.30</w:t>
            </w:r>
          </w:p>
        </w:tc>
        <w:tc>
          <w:tcPr>
            <w:tcW w:w="839" w:type="pct"/>
            <w:vMerge/>
          </w:tcPr>
          <w:p w14:paraId="686ED337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7EA9D66B" w14:textId="6206C09C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4.03</w:t>
            </w:r>
          </w:p>
        </w:tc>
        <w:tc>
          <w:tcPr>
            <w:tcW w:w="758" w:type="pct"/>
          </w:tcPr>
          <w:p w14:paraId="5493C739" w14:textId="38181E67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0.32</w:t>
            </w:r>
          </w:p>
        </w:tc>
      </w:tr>
      <w:tr w:rsidR="00B379F2" w:rsidRPr="00BC19F0" w14:paraId="6B01918A" w14:textId="77777777" w:rsidTr="008F622A">
        <w:tc>
          <w:tcPr>
            <w:tcW w:w="225" w:type="pct"/>
            <w:vMerge/>
          </w:tcPr>
          <w:p w14:paraId="333D84E8" w14:textId="77777777" w:rsidR="00B379F2" w:rsidRPr="00672132" w:rsidRDefault="00B379F2" w:rsidP="00B379F2">
            <w:pPr>
              <w:jc w:val="center"/>
              <w:rPr>
                <w:b/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4C8A02BD" w14:textId="5BFFBE68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72</w:t>
            </w:r>
          </w:p>
        </w:tc>
        <w:tc>
          <w:tcPr>
            <w:tcW w:w="757" w:type="pct"/>
            <w:shd w:val="clear" w:color="auto" w:fill="auto"/>
          </w:tcPr>
          <w:p w14:paraId="6597E9CB" w14:textId="6678138F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3.31</w:t>
            </w:r>
          </w:p>
        </w:tc>
        <w:tc>
          <w:tcPr>
            <w:tcW w:w="760" w:type="pct"/>
            <w:shd w:val="clear" w:color="auto" w:fill="auto"/>
          </w:tcPr>
          <w:p w14:paraId="0FF1087C" w14:textId="27933E3A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0.60</w:t>
            </w:r>
          </w:p>
        </w:tc>
        <w:tc>
          <w:tcPr>
            <w:tcW w:w="839" w:type="pct"/>
            <w:vMerge/>
          </w:tcPr>
          <w:p w14:paraId="2CDF3A91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0AD68507" w14:textId="10532751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3.55</w:t>
            </w:r>
          </w:p>
        </w:tc>
        <w:tc>
          <w:tcPr>
            <w:tcW w:w="758" w:type="pct"/>
          </w:tcPr>
          <w:p w14:paraId="62BA016F" w14:textId="6118165B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0.64</w:t>
            </w:r>
          </w:p>
        </w:tc>
      </w:tr>
      <w:tr w:rsidR="00B379F2" w:rsidRPr="00BC19F0" w14:paraId="59E82858" w14:textId="77777777" w:rsidTr="008F622A">
        <w:tc>
          <w:tcPr>
            <w:tcW w:w="225" w:type="pct"/>
            <w:vMerge/>
          </w:tcPr>
          <w:p w14:paraId="2B8783FC" w14:textId="77777777" w:rsidR="00B379F2" w:rsidRPr="00672132" w:rsidRDefault="00B379F2" w:rsidP="00B379F2">
            <w:pPr>
              <w:jc w:val="center"/>
              <w:rPr>
                <w:b/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01425317" w14:textId="4177F075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96</w:t>
            </w:r>
          </w:p>
        </w:tc>
        <w:tc>
          <w:tcPr>
            <w:tcW w:w="757" w:type="pct"/>
            <w:shd w:val="clear" w:color="auto" w:fill="auto"/>
          </w:tcPr>
          <w:p w14:paraId="687A3959" w14:textId="56C6F26A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3.01</w:t>
            </w:r>
          </w:p>
        </w:tc>
        <w:tc>
          <w:tcPr>
            <w:tcW w:w="760" w:type="pct"/>
            <w:shd w:val="clear" w:color="auto" w:fill="auto"/>
          </w:tcPr>
          <w:p w14:paraId="33F6FAAD" w14:textId="294EA0F4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0.49</w:t>
            </w:r>
          </w:p>
        </w:tc>
        <w:tc>
          <w:tcPr>
            <w:tcW w:w="839" w:type="pct"/>
            <w:vMerge/>
          </w:tcPr>
          <w:p w14:paraId="24FBA101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645C7B41" w14:textId="741E8948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3.23</w:t>
            </w:r>
          </w:p>
        </w:tc>
        <w:tc>
          <w:tcPr>
            <w:tcW w:w="758" w:type="pct"/>
          </w:tcPr>
          <w:p w14:paraId="4AF148ED" w14:textId="52858265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0.53</w:t>
            </w:r>
          </w:p>
        </w:tc>
      </w:tr>
      <w:tr w:rsidR="00B379F2" w:rsidRPr="00BC19F0" w14:paraId="7890483F" w14:textId="77777777" w:rsidTr="008F622A">
        <w:tc>
          <w:tcPr>
            <w:tcW w:w="225" w:type="pct"/>
            <w:vMerge/>
          </w:tcPr>
          <w:p w14:paraId="70BC6741" w14:textId="77777777" w:rsidR="00B379F2" w:rsidRPr="00672132" w:rsidRDefault="00B379F2" w:rsidP="00B379F2">
            <w:pPr>
              <w:jc w:val="center"/>
              <w:rPr>
                <w:b/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4665C558" w14:textId="5EA3C1CE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120</w:t>
            </w:r>
          </w:p>
        </w:tc>
        <w:tc>
          <w:tcPr>
            <w:tcW w:w="757" w:type="pct"/>
            <w:shd w:val="clear" w:color="auto" w:fill="auto"/>
          </w:tcPr>
          <w:p w14:paraId="495093EA" w14:textId="48817F51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1.82</w:t>
            </w:r>
          </w:p>
        </w:tc>
        <w:tc>
          <w:tcPr>
            <w:tcW w:w="760" w:type="pct"/>
            <w:shd w:val="clear" w:color="auto" w:fill="auto"/>
          </w:tcPr>
          <w:p w14:paraId="334754C5" w14:textId="2AFE15A0" w:rsidR="00B379F2" w:rsidRPr="00672132" w:rsidRDefault="00B379F2" w:rsidP="00B379F2">
            <w:pPr>
              <w:jc w:val="center"/>
              <w:rPr>
                <w:szCs w:val="22"/>
              </w:rPr>
            </w:pPr>
            <w:r w:rsidRPr="00B025BE">
              <w:t>0.48</w:t>
            </w:r>
          </w:p>
        </w:tc>
        <w:tc>
          <w:tcPr>
            <w:tcW w:w="839" w:type="pct"/>
            <w:vMerge/>
          </w:tcPr>
          <w:p w14:paraId="528BDE76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5AE226FD" w14:textId="66E8449D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1.95</w:t>
            </w:r>
          </w:p>
        </w:tc>
        <w:tc>
          <w:tcPr>
            <w:tcW w:w="758" w:type="pct"/>
          </w:tcPr>
          <w:p w14:paraId="30FE94BF" w14:textId="779D38C3" w:rsidR="00B379F2" w:rsidRPr="00672132" w:rsidRDefault="00B379F2" w:rsidP="00B379F2">
            <w:pPr>
              <w:jc w:val="center"/>
              <w:rPr>
                <w:szCs w:val="22"/>
              </w:rPr>
            </w:pPr>
            <w:r w:rsidRPr="00844261">
              <w:t>0.52</w:t>
            </w:r>
          </w:p>
        </w:tc>
      </w:tr>
      <w:tr w:rsidR="00B379F2" w:rsidRPr="00BC19F0" w14:paraId="6DFB7268" w14:textId="77777777" w:rsidTr="009331A9">
        <w:trPr>
          <w:trHeight w:val="20"/>
        </w:trPr>
        <w:tc>
          <w:tcPr>
            <w:tcW w:w="225" w:type="pct"/>
            <w:vMerge w:val="restart"/>
            <w:textDirection w:val="btLr"/>
          </w:tcPr>
          <w:p w14:paraId="5C9BACC9" w14:textId="17407803" w:rsidR="00B379F2" w:rsidRPr="00672132" w:rsidRDefault="00B379F2" w:rsidP="00B379F2">
            <w:pPr>
              <w:jc w:val="center"/>
              <w:rPr>
                <w:b/>
                <w:szCs w:val="22"/>
              </w:rPr>
            </w:pPr>
            <w:r w:rsidRPr="00672132">
              <w:rPr>
                <w:b/>
                <w:szCs w:val="22"/>
              </w:rPr>
              <w:t>Pyrimethamine</w:t>
            </w:r>
          </w:p>
        </w:tc>
        <w:tc>
          <w:tcPr>
            <w:tcW w:w="901" w:type="pct"/>
            <w:shd w:val="clear" w:color="auto" w:fill="auto"/>
          </w:tcPr>
          <w:p w14:paraId="702DC8B3" w14:textId="4502CF81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0</w:t>
            </w:r>
          </w:p>
        </w:tc>
        <w:tc>
          <w:tcPr>
            <w:tcW w:w="757" w:type="pct"/>
            <w:shd w:val="clear" w:color="auto" w:fill="auto"/>
          </w:tcPr>
          <w:p w14:paraId="27797DEE" w14:textId="6D743116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4.67</w:t>
            </w:r>
          </w:p>
        </w:tc>
        <w:tc>
          <w:tcPr>
            <w:tcW w:w="760" w:type="pct"/>
            <w:shd w:val="clear" w:color="auto" w:fill="auto"/>
          </w:tcPr>
          <w:p w14:paraId="7AE0D385" w14:textId="1FE684FC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0.43</w:t>
            </w:r>
          </w:p>
        </w:tc>
        <w:tc>
          <w:tcPr>
            <w:tcW w:w="839" w:type="pct"/>
            <w:vMerge w:val="restart"/>
          </w:tcPr>
          <w:p w14:paraId="1E1FA123" w14:textId="3FF02B4F" w:rsidR="00B379F2" w:rsidRPr="00672132" w:rsidRDefault="00B379F2" w:rsidP="00B379F2">
            <w:pPr>
              <w:jc w:val="center"/>
              <w:rPr>
                <w:szCs w:val="22"/>
              </w:rPr>
            </w:pPr>
            <w:r w:rsidRPr="00B379F2">
              <w:t>1.071</w:t>
            </w:r>
            <w:r>
              <w:t>6</w:t>
            </w:r>
          </w:p>
        </w:tc>
        <w:tc>
          <w:tcPr>
            <w:tcW w:w="760" w:type="pct"/>
          </w:tcPr>
          <w:p w14:paraId="3E756D18" w14:textId="420AEFB9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5.00</w:t>
            </w:r>
          </w:p>
        </w:tc>
        <w:tc>
          <w:tcPr>
            <w:tcW w:w="758" w:type="pct"/>
          </w:tcPr>
          <w:p w14:paraId="39E70018" w14:textId="389B7016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0.46</w:t>
            </w:r>
          </w:p>
        </w:tc>
      </w:tr>
      <w:tr w:rsidR="00B379F2" w:rsidRPr="00BC19F0" w14:paraId="5A6B5D5F" w14:textId="77777777" w:rsidTr="009331A9">
        <w:tc>
          <w:tcPr>
            <w:tcW w:w="225" w:type="pct"/>
            <w:vMerge/>
          </w:tcPr>
          <w:p w14:paraId="56AFA0FA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7E9E8088" w14:textId="66460572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24</w:t>
            </w:r>
          </w:p>
        </w:tc>
        <w:tc>
          <w:tcPr>
            <w:tcW w:w="757" w:type="pct"/>
            <w:shd w:val="clear" w:color="auto" w:fill="auto"/>
          </w:tcPr>
          <w:p w14:paraId="21B5CEBB" w14:textId="69888A1E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3.91</w:t>
            </w:r>
          </w:p>
        </w:tc>
        <w:tc>
          <w:tcPr>
            <w:tcW w:w="760" w:type="pct"/>
            <w:shd w:val="clear" w:color="auto" w:fill="auto"/>
          </w:tcPr>
          <w:p w14:paraId="56C89002" w14:textId="2493AB36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0.60</w:t>
            </w:r>
          </w:p>
        </w:tc>
        <w:tc>
          <w:tcPr>
            <w:tcW w:w="839" w:type="pct"/>
            <w:vMerge/>
          </w:tcPr>
          <w:p w14:paraId="67497FC8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09B7FA72" w14:textId="3E27DAB4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4.19</w:t>
            </w:r>
          </w:p>
        </w:tc>
        <w:tc>
          <w:tcPr>
            <w:tcW w:w="758" w:type="pct"/>
          </w:tcPr>
          <w:p w14:paraId="720F9245" w14:textId="19FDF5A6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0.65</w:t>
            </w:r>
          </w:p>
        </w:tc>
      </w:tr>
      <w:tr w:rsidR="00B379F2" w:rsidRPr="00BC19F0" w14:paraId="24AA695E" w14:textId="77777777" w:rsidTr="009331A9">
        <w:tc>
          <w:tcPr>
            <w:tcW w:w="225" w:type="pct"/>
            <w:vMerge/>
          </w:tcPr>
          <w:p w14:paraId="0CE779DB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2ECE1133" w14:textId="146EDE89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48</w:t>
            </w:r>
          </w:p>
        </w:tc>
        <w:tc>
          <w:tcPr>
            <w:tcW w:w="757" w:type="pct"/>
            <w:shd w:val="clear" w:color="auto" w:fill="auto"/>
          </w:tcPr>
          <w:p w14:paraId="32769CAE" w14:textId="5E403ABA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1.82</w:t>
            </w:r>
          </w:p>
        </w:tc>
        <w:tc>
          <w:tcPr>
            <w:tcW w:w="760" w:type="pct"/>
            <w:shd w:val="clear" w:color="auto" w:fill="auto"/>
          </w:tcPr>
          <w:p w14:paraId="0B65A02C" w14:textId="39DBDBEF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0.48</w:t>
            </w:r>
          </w:p>
        </w:tc>
        <w:tc>
          <w:tcPr>
            <w:tcW w:w="839" w:type="pct"/>
            <w:vMerge/>
          </w:tcPr>
          <w:p w14:paraId="54BE6D1C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286C9CB2" w14:textId="3CF22DF1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1.95</w:t>
            </w:r>
          </w:p>
        </w:tc>
        <w:tc>
          <w:tcPr>
            <w:tcW w:w="758" w:type="pct"/>
          </w:tcPr>
          <w:p w14:paraId="69C4241D" w14:textId="7702541D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0.52</w:t>
            </w:r>
          </w:p>
        </w:tc>
      </w:tr>
      <w:tr w:rsidR="00B379F2" w:rsidRPr="00BC19F0" w14:paraId="5EF94416" w14:textId="77777777" w:rsidTr="009331A9">
        <w:tc>
          <w:tcPr>
            <w:tcW w:w="225" w:type="pct"/>
            <w:vMerge/>
          </w:tcPr>
          <w:p w14:paraId="0931DF67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0B656E2D" w14:textId="004E2FEC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72</w:t>
            </w:r>
          </w:p>
        </w:tc>
        <w:tc>
          <w:tcPr>
            <w:tcW w:w="757" w:type="pct"/>
            <w:shd w:val="clear" w:color="auto" w:fill="auto"/>
          </w:tcPr>
          <w:p w14:paraId="4D4071A3" w14:textId="54D1A94C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0.60</w:t>
            </w:r>
          </w:p>
        </w:tc>
        <w:tc>
          <w:tcPr>
            <w:tcW w:w="760" w:type="pct"/>
            <w:shd w:val="clear" w:color="auto" w:fill="auto"/>
          </w:tcPr>
          <w:p w14:paraId="3C546A62" w14:textId="04FB2BDA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0.20</w:t>
            </w:r>
          </w:p>
        </w:tc>
        <w:tc>
          <w:tcPr>
            <w:tcW w:w="839" w:type="pct"/>
            <w:vMerge/>
          </w:tcPr>
          <w:p w14:paraId="0D820839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50822548" w14:textId="54AC5B07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0.64</w:t>
            </w:r>
          </w:p>
        </w:tc>
        <w:tc>
          <w:tcPr>
            <w:tcW w:w="758" w:type="pct"/>
          </w:tcPr>
          <w:p w14:paraId="2BDD2C4D" w14:textId="22CAF45D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0.21</w:t>
            </w:r>
          </w:p>
        </w:tc>
      </w:tr>
      <w:tr w:rsidR="00B379F2" w:rsidRPr="00BC19F0" w14:paraId="4E4C88FE" w14:textId="77777777" w:rsidTr="009331A9">
        <w:tc>
          <w:tcPr>
            <w:tcW w:w="225" w:type="pct"/>
            <w:vMerge/>
          </w:tcPr>
          <w:p w14:paraId="0C69B1ED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7E881249" w14:textId="4E038AAF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96</w:t>
            </w:r>
          </w:p>
        </w:tc>
        <w:tc>
          <w:tcPr>
            <w:tcW w:w="757" w:type="pct"/>
            <w:shd w:val="clear" w:color="auto" w:fill="auto"/>
          </w:tcPr>
          <w:p w14:paraId="45326CC9" w14:textId="217898F4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0.17</w:t>
            </w:r>
          </w:p>
        </w:tc>
        <w:tc>
          <w:tcPr>
            <w:tcW w:w="760" w:type="pct"/>
            <w:shd w:val="clear" w:color="auto" w:fill="auto"/>
          </w:tcPr>
          <w:p w14:paraId="3A843502" w14:textId="084BEAA7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0.35</w:t>
            </w:r>
          </w:p>
        </w:tc>
        <w:tc>
          <w:tcPr>
            <w:tcW w:w="839" w:type="pct"/>
            <w:vMerge/>
          </w:tcPr>
          <w:p w14:paraId="7CF26D55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7B594D63" w14:textId="205EAE5F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0.19</w:t>
            </w:r>
          </w:p>
        </w:tc>
        <w:tc>
          <w:tcPr>
            <w:tcW w:w="758" w:type="pct"/>
          </w:tcPr>
          <w:p w14:paraId="2BFAC461" w14:textId="15E630B9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0.37</w:t>
            </w:r>
          </w:p>
        </w:tc>
      </w:tr>
      <w:tr w:rsidR="00B379F2" w:rsidRPr="00BC19F0" w14:paraId="3A46B9F4" w14:textId="77777777" w:rsidTr="009331A9">
        <w:tc>
          <w:tcPr>
            <w:tcW w:w="225" w:type="pct"/>
            <w:vMerge/>
          </w:tcPr>
          <w:p w14:paraId="7BA4941C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</w:tcPr>
          <w:p w14:paraId="4E7904D9" w14:textId="7F575419" w:rsidR="00B379F2" w:rsidRPr="00672132" w:rsidRDefault="00B379F2" w:rsidP="00B379F2">
            <w:pPr>
              <w:jc w:val="center"/>
              <w:rPr>
                <w:szCs w:val="22"/>
              </w:rPr>
            </w:pPr>
            <w:r w:rsidRPr="00672132">
              <w:rPr>
                <w:rFonts w:asciiTheme="majorHAnsi" w:hAnsiTheme="majorHAnsi" w:cstheme="majorHAnsi"/>
                <w:szCs w:val="22"/>
              </w:rPr>
              <w:t>120</w:t>
            </w:r>
          </w:p>
        </w:tc>
        <w:tc>
          <w:tcPr>
            <w:tcW w:w="757" w:type="pct"/>
            <w:shd w:val="clear" w:color="auto" w:fill="auto"/>
          </w:tcPr>
          <w:p w14:paraId="13BBD080" w14:textId="39C20674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0.00</w:t>
            </w:r>
          </w:p>
        </w:tc>
        <w:tc>
          <w:tcPr>
            <w:tcW w:w="760" w:type="pct"/>
            <w:shd w:val="clear" w:color="auto" w:fill="auto"/>
          </w:tcPr>
          <w:p w14:paraId="273A85E9" w14:textId="04D9C6AB" w:rsidR="00B379F2" w:rsidRPr="00672132" w:rsidRDefault="00B379F2" w:rsidP="00B379F2">
            <w:pPr>
              <w:jc w:val="center"/>
              <w:rPr>
                <w:rFonts w:asciiTheme="minorHAnsi" w:hAnsiTheme="minorHAnsi" w:cstheme="minorHAnsi"/>
                <w:szCs w:val="22"/>
              </w:rPr>
            </w:pPr>
            <w:r w:rsidRPr="005C13E9">
              <w:t>0.00</w:t>
            </w:r>
          </w:p>
        </w:tc>
        <w:tc>
          <w:tcPr>
            <w:tcW w:w="839" w:type="pct"/>
            <w:vMerge/>
          </w:tcPr>
          <w:p w14:paraId="0B2FF318" w14:textId="77777777" w:rsidR="00B379F2" w:rsidRPr="00672132" w:rsidRDefault="00B379F2" w:rsidP="00B379F2">
            <w:pPr>
              <w:jc w:val="center"/>
              <w:rPr>
                <w:szCs w:val="22"/>
              </w:rPr>
            </w:pPr>
          </w:p>
        </w:tc>
        <w:tc>
          <w:tcPr>
            <w:tcW w:w="760" w:type="pct"/>
          </w:tcPr>
          <w:p w14:paraId="498DA314" w14:textId="6E825ACB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0.00</w:t>
            </w:r>
          </w:p>
        </w:tc>
        <w:tc>
          <w:tcPr>
            <w:tcW w:w="758" w:type="pct"/>
          </w:tcPr>
          <w:p w14:paraId="59B61B6B" w14:textId="0EEF2FB4" w:rsidR="00B379F2" w:rsidRPr="00672132" w:rsidRDefault="00B379F2" w:rsidP="00B379F2">
            <w:pPr>
              <w:jc w:val="center"/>
              <w:rPr>
                <w:rFonts w:cs="Arial"/>
                <w:szCs w:val="22"/>
              </w:rPr>
            </w:pPr>
            <w:r w:rsidRPr="00CA6091">
              <w:t>0.00</w:t>
            </w:r>
          </w:p>
        </w:tc>
      </w:tr>
    </w:tbl>
    <w:p w14:paraId="3D495E7D" w14:textId="003ED833" w:rsidR="007431A8" w:rsidRDefault="007431A8">
      <w:pPr>
        <w:spacing w:line="259" w:lineRule="auto"/>
        <w:jc w:val="left"/>
        <w:rPr>
          <w:sz w:val="24"/>
          <w:szCs w:val="24"/>
          <w:lang w:val="en-GB" w:eastAsia="de-DE"/>
        </w:rPr>
        <w:pPrChange w:id="20" w:author="Annabelle Walz" w:date="2022-01-21T10:56:00Z">
          <w:pPr>
            <w:jc w:val="center"/>
          </w:pPr>
        </w:pPrChange>
      </w:pPr>
      <w:bookmarkStart w:id="21" w:name="_Toc23608050"/>
      <w:bookmarkStart w:id="22" w:name="_Toc23608127"/>
      <w:bookmarkStart w:id="23" w:name="_Toc23608198"/>
      <w:bookmarkStart w:id="24" w:name="_Toc23608269"/>
      <w:bookmarkStart w:id="25" w:name="_Toc42119942"/>
      <w:bookmarkStart w:id="26" w:name="_Toc42121434"/>
      <w:bookmarkStart w:id="27" w:name="_Toc42121967"/>
      <w:bookmarkStart w:id="28" w:name="_Toc42124179"/>
      <w:bookmarkStart w:id="29" w:name="_Toc42124337"/>
      <w:bookmarkStart w:id="30" w:name="_Toc43900044"/>
      <w:bookmarkStart w:id="31" w:name="_Toc43900119"/>
      <w:bookmarkStart w:id="32" w:name="_Toc43900194"/>
      <w:bookmarkStart w:id="33" w:name="_Toc43900277"/>
      <w:bookmarkStart w:id="34" w:name="_Toc48813319"/>
      <w:bookmarkStart w:id="35" w:name="_Toc48813409"/>
      <w:bookmarkStart w:id="36" w:name="_Toc49427906"/>
      <w:bookmarkStart w:id="37" w:name="_Toc23608052"/>
      <w:bookmarkStart w:id="38" w:name="_Toc23608129"/>
      <w:bookmarkStart w:id="39" w:name="_Toc23608200"/>
      <w:bookmarkStart w:id="40" w:name="_Toc23608271"/>
      <w:bookmarkStart w:id="41" w:name="_Toc42119944"/>
      <w:bookmarkStart w:id="42" w:name="_Toc42121436"/>
      <w:bookmarkStart w:id="43" w:name="_Toc42121969"/>
      <w:bookmarkStart w:id="44" w:name="_Toc42124181"/>
      <w:bookmarkStart w:id="45" w:name="_Toc42124339"/>
      <w:bookmarkStart w:id="46" w:name="_Toc43900046"/>
      <w:bookmarkStart w:id="47" w:name="_Toc43900121"/>
      <w:bookmarkStart w:id="48" w:name="_Toc43900196"/>
      <w:bookmarkStart w:id="49" w:name="_Toc43900279"/>
      <w:bookmarkStart w:id="50" w:name="_Toc48813321"/>
      <w:bookmarkStart w:id="51" w:name="_Toc48813411"/>
      <w:bookmarkStart w:id="52" w:name="_Toc49427908"/>
      <w:bookmarkStart w:id="53" w:name="_Toc54254671"/>
      <w:bookmarkStart w:id="54" w:name="_Toc54775236"/>
      <w:bookmarkStart w:id="55" w:name="_Toc55294726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sz w:val="24"/>
          <w:szCs w:val="24"/>
          <w:lang w:val="en-GB" w:eastAsia="de-DE"/>
        </w:rPr>
        <w:br w:type="page"/>
      </w:r>
    </w:p>
    <w:p w14:paraId="54E5EAF5" w14:textId="77777777" w:rsidR="007431A8" w:rsidRPr="00BC19F0" w:rsidRDefault="007431A8" w:rsidP="007431A8">
      <w:pPr>
        <w:pStyle w:val="Heading1"/>
      </w:pPr>
      <w:r w:rsidRPr="00BC19F0">
        <w:lastRenderedPageBreak/>
        <w:t>References</w:t>
      </w:r>
    </w:p>
    <w:p w14:paraId="2789877C" w14:textId="77777777" w:rsidR="00A47787" w:rsidRPr="00A47787" w:rsidRDefault="007431A8" w:rsidP="00A47787">
      <w:pPr>
        <w:pStyle w:val="EndNoteBibliography"/>
        <w:spacing w:after="0"/>
        <w:ind w:left="720" w:hanging="720"/>
      </w:pPr>
      <w:r w:rsidRPr="00BC19F0">
        <w:fldChar w:fldCharType="begin"/>
      </w:r>
      <w:r w:rsidRPr="00BC19F0">
        <w:instrText xml:space="preserve"> ADDIN EN.REFLIST </w:instrText>
      </w:r>
      <w:r w:rsidRPr="00BC19F0">
        <w:fldChar w:fldCharType="separate"/>
      </w:r>
      <w:r w:rsidR="00A47787" w:rsidRPr="00A47787">
        <w:t>1.</w:t>
      </w:r>
      <w:r w:rsidR="00A47787" w:rsidRPr="00A47787">
        <w:tab/>
        <w:t>Sanz LM, Crespo B, De-Cózar C, Ding XC, Llergo JL, Burrows JN, García-Bustos JF, Gamo FJ.</w:t>
      </w:r>
      <w:r w:rsidR="00A47787" w:rsidRPr="00A47787">
        <w:rPr>
          <w:b/>
        </w:rPr>
        <w:t xml:space="preserve"> </w:t>
      </w:r>
      <w:r w:rsidR="00A47787" w:rsidRPr="00A47787">
        <w:t>2012. P. falciparum in vitro killing rates allow to discriminate between different antimalarial mode-of-action. PLoS One 7:e30949.</w:t>
      </w:r>
    </w:p>
    <w:p w14:paraId="47B814C7" w14:textId="77777777" w:rsidR="00A47787" w:rsidRPr="00A47787" w:rsidRDefault="00A47787" w:rsidP="00A47787">
      <w:pPr>
        <w:pStyle w:val="EndNoteBibliography"/>
        <w:spacing w:after="0"/>
        <w:ind w:left="720" w:hanging="720"/>
      </w:pPr>
      <w:r w:rsidRPr="00A47787">
        <w:t>2.</w:t>
      </w:r>
      <w:r w:rsidRPr="00A47787">
        <w:tab/>
        <w:t>Delves M, Plouffe D, Scheurer C, Meister S, Wittlin S, Winzeler EA, Sinden RE, Leroy D.</w:t>
      </w:r>
      <w:r w:rsidRPr="00A47787">
        <w:rPr>
          <w:b/>
        </w:rPr>
        <w:t xml:space="preserve"> </w:t>
      </w:r>
      <w:r w:rsidRPr="00A47787">
        <w:t>2012. The activities of current antimalarial drugs on the life cycle stages of Plasmodium: a comparative study with human and rodent parasites. PLoS Med 9:e1001169.</w:t>
      </w:r>
    </w:p>
    <w:p w14:paraId="267F4907" w14:textId="77777777" w:rsidR="00A47787" w:rsidRPr="00A47787" w:rsidRDefault="00A47787" w:rsidP="00A47787">
      <w:pPr>
        <w:pStyle w:val="EndNoteBibliography"/>
        <w:spacing w:after="0"/>
        <w:ind w:left="720" w:hanging="720"/>
      </w:pPr>
      <w:r w:rsidRPr="00A47787">
        <w:t>3.</w:t>
      </w:r>
      <w:r w:rsidRPr="00A47787">
        <w:tab/>
        <w:t>Snyder C, Chollet J, Santo-Tomas J, Scheurer C, Wittlin S.</w:t>
      </w:r>
      <w:r w:rsidRPr="00A47787">
        <w:rPr>
          <w:b/>
        </w:rPr>
        <w:t xml:space="preserve"> </w:t>
      </w:r>
      <w:r w:rsidRPr="00A47787">
        <w:t>2007. In vitro and in vivo interaction of synthetic peroxide RBx11160 (OZ277) with piperaquine in Plasmodium models. Exp Parasitol 115:296-300.</w:t>
      </w:r>
    </w:p>
    <w:p w14:paraId="4D8EB006" w14:textId="77777777" w:rsidR="00A47787" w:rsidRPr="00A47787" w:rsidRDefault="00A47787" w:rsidP="00A47787">
      <w:pPr>
        <w:pStyle w:val="EndNoteBibliography"/>
        <w:spacing w:after="0"/>
        <w:ind w:left="720" w:hanging="720"/>
      </w:pPr>
      <w:r w:rsidRPr="00A47787">
        <w:t>4.</w:t>
      </w:r>
      <w:r w:rsidRPr="00A47787">
        <w:tab/>
        <w:t>Desjardins RE, Canfield CJ, Haynes JD, Chulay JD.</w:t>
      </w:r>
      <w:r w:rsidRPr="00A47787">
        <w:rPr>
          <w:b/>
        </w:rPr>
        <w:t xml:space="preserve"> </w:t>
      </w:r>
      <w:r w:rsidRPr="00A47787">
        <w:t>1979. Quantitative assessment of antimalarial activity in vitro by a semiautomated microdilution technique. Antimicrob Agents Chemother 16:710-8.</w:t>
      </w:r>
    </w:p>
    <w:p w14:paraId="099AFDED" w14:textId="77777777" w:rsidR="00A47787" w:rsidRPr="00A47787" w:rsidRDefault="00A47787" w:rsidP="00A47787">
      <w:pPr>
        <w:pStyle w:val="EndNoteBibliography"/>
        <w:ind w:left="720" w:hanging="720"/>
      </w:pPr>
      <w:r w:rsidRPr="00A47787">
        <w:t>5.</w:t>
      </w:r>
      <w:r w:rsidRPr="00A47787">
        <w:tab/>
        <w:t>White NJ.</w:t>
      </w:r>
      <w:r w:rsidRPr="00A47787">
        <w:rPr>
          <w:b/>
        </w:rPr>
        <w:t xml:space="preserve"> </w:t>
      </w:r>
      <w:r w:rsidRPr="00A47787">
        <w:t>1997. Assessment of the pharmacodynamic properties of antimalarial drugs in vivo. Antimicrob Agents Chemother 41:1413-22.</w:t>
      </w:r>
    </w:p>
    <w:p w14:paraId="48ED5D07" w14:textId="5B2D1E2B" w:rsidR="007431A8" w:rsidRPr="008A0F60" w:rsidRDefault="007431A8" w:rsidP="007431A8">
      <w:pPr>
        <w:spacing w:line="259" w:lineRule="auto"/>
        <w:jc w:val="left"/>
        <w:rPr>
          <w:sz w:val="24"/>
          <w:szCs w:val="24"/>
          <w:lang w:val="en-GB" w:eastAsia="de-DE"/>
        </w:rPr>
      </w:pPr>
      <w:r w:rsidRPr="00BC19F0">
        <w:rPr>
          <w:i/>
        </w:rPr>
        <w:fldChar w:fldCharType="end"/>
      </w:r>
    </w:p>
    <w:sectPr w:rsidR="007431A8" w:rsidRPr="008A0F60" w:rsidSect="003D584B">
      <w:headerReference w:type="first" r:id="rId33"/>
      <w:footerReference w:type="first" r:id="rId34"/>
      <w:type w:val="continuous"/>
      <w:pgSz w:w="11906" w:h="16838" w:code="9"/>
      <w:pgMar w:top="1276" w:right="1276" w:bottom="851" w:left="1276" w:header="851" w:footer="567" w:gutter="0"/>
      <w:pgNumType w:start="1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E1C67" w16cex:dateUtc="2021-12-22T20:51:00Z"/>
  <w16cex:commentExtensible w16cex:durableId="25915DEC" w16cex:dateUtc="2022-01-18T10:34:00Z"/>
  <w16cex:commentExtensible w16cex:durableId="2592A228" w16cex:dateUtc="2022-01-19T13:43:00Z"/>
  <w16cex:commentExtensible w16cex:durableId="2593ADB8" w16cex:dateUtc="2022-01-19T17:38:00Z"/>
  <w16cex:commentExtensible w16cex:durableId="2593AF48" w16cex:dateUtc="2022-01-20T08:52:00Z"/>
  <w16cex:commentExtensible w16cex:durableId="2593B73D" w16cex:dateUtc="2022-01-20T09:26:00Z"/>
  <w16cex:commentExtensible w16cex:durableId="2592A219" w16cex:dateUtc="2022-01-19T13:43:00Z"/>
  <w16cex:commentExtensible w16cex:durableId="2593ADBA" w16cex:dateUtc="2022-01-19T17:42:00Z"/>
  <w16cex:commentExtensible w16cex:durableId="2592A000" w16cex:dateUtc="2022-01-19T13:34:00Z"/>
  <w16cex:commentExtensible w16cex:durableId="2593ADBC" w16cex:dateUtc="2022-01-19T17:44:00Z"/>
  <w16cex:commentExtensible w16cex:durableId="2593B8A6" w16cex:dateUtc="2022-01-20T09:32:00Z"/>
  <w16cex:commentExtensible w16cex:durableId="2592AB5C" w16cex:dateUtc="2022-01-19T14:23:00Z"/>
  <w16cex:commentExtensible w16cex:durableId="2593ADBF" w16cex:dateUtc="2022-01-19T18:04:00Z"/>
  <w16cex:commentExtensible w16cex:durableId="2593AF80" w16cex:dateUtc="2022-01-20T08:53:00Z"/>
  <w16cex:commentExtensible w16cex:durableId="259160DC" w16cex:dateUtc="2022-01-18T14:53:00Z"/>
  <w16cex:commentExtensible w16cex:durableId="25929C23" w16cex:dateUtc="2022-01-18T16:11:00Z"/>
  <w16cex:commentExtensible w16cex:durableId="25929E57" w16cex:dateUtc="2022-01-19T13:27:00Z"/>
  <w16cex:commentExtensible w16cex:durableId="256E1C4F" w16cex:dateUtc="2021-12-22T17:20:00Z"/>
  <w16cex:commentExtensible w16cex:durableId="25915DEE" w16cex:dateUtc="2022-01-18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7205" w16cid:durableId="256E1C67"/>
  <w16cid:commentId w16cid:paraId="68DADAB3" w16cid:durableId="25915DEC"/>
  <w16cid:commentId w16cid:paraId="57C71D0E" w16cid:durableId="2592A228"/>
  <w16cid:commentId w16cid:paraId="753018C9" w16cid:durableId="2593ADB8"/>
  <w16cid:commentId w16cid:paraId="10ECC778" w16cid:durableId="2593AF48"/>
  <w16cid:commentId w16cid:paraId="07D442C5" w16cid:durableId="2593B73D"/>
  <w16cid:commentId w16cid:paraId="11307EA7" w16cid:durableId="2592A219"/>
  <w16cid:commentId w16cid:paraId="0A0B3C53" w16cid:durableId="2593ADBA"/>
  <w16cid:commentId w16cid:paraId="24B066DB" w16cid:durableId="2592A000"/>
  <w16cid:commentId w16cid:paraId="21FFAADC" w16cid:durableId="2593ADBC"/>
  <w16cid:commentId w16cid:paraId="4905B366" w16cid:durableId="2593B8A6"/>
  <w16cid:commentId w16cid:paraId="51456DF7" w16cid:durableId="2592AB5C"/>
  <w16cid:commentId w16cid:paraId="61A05487" w16cid:durableId="2593ADBF"/>
  <w16cid:commentId w16cid:paraId="4AA55F84" w16cid:durableId="2593AF80"/>
  <w16cid:commentId w16cid:paraId="51868180" w16cid:durableId="259160DC"/>
  <w16cid:commentId w16cid:paraId="42FEE8C2" w16cid:durableId="25929C23"/>
  <w16cid:commentId w16cid:paraId="2C2DB609" w16cid:durableId="25929E57"/>
  <w16cid:commentId w16cid:paraId="2B586836" w16cid:durableId="256E1C4F"/>
  <w16cid:commentId w16cid:paraId="51D71318" w16cid:durableId="25915D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1AB1" w14:textId="77777777" w:rsidR="00A511B6" w:rsidRDefault="00A511B6" w:rsidP="00E31889">
      <w:pPr>
        <w:spacing w:after="0" w:line="240" w:lineRule="auto"/>
      </w:pPr>
      <w:r>
        <w:separator/>
      </w:r>
    </w:p>
  </w:endnote>
  <w:endnote w:type="continuationSeparator" w:id="0">
    <w:p w14:paraId="0CF0A505" w14:textId="77777777" w:rsidR="00A511B6" w:rsidRDefault="00A511B6" w:rsidP="00E3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30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19BE1" w14:textId="1C497D93" w:rsidR="00A511B6" w:rsidRDefault="00A51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9F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0475656" w14:textId="44EA839B" w:rsidR="00A511B6" w:rsidRDefault="00A511B6" w:rsidP="00747CBB">
    <w:pPr>
      <w:pStyle w:val="FooterFont-SwissTPH"/>
      <w:tabs>
        <w:tab w:val="clear" w:pos="9360"/>
        <w:tab w:val="right" w:pos="14601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4A0F7" w14:textId="77777777" w:rsidR="00A511B6" w:rsidRDefault="00A511B6" w:rsidP="00E31889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71FA369A" wp14:editId="270DAA95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4110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46680" w14:textId="63899AA6" w:rsidR="00A511B6" w:rsidRDefault="00A51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9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734B9A" w14:textId="44ACF9B5" w:rsidR="00A511B6" w:rsidRDefault="00A511B6" w:rsidP="004873CC">
    <w:pPr>
      <w:pStyle w:val="FooterFont-SwissTPH"/>
      <w:tabs>
        <w:tab w:val="clear" w:pos="9360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923F4" w14:textId="77777777" w:rsidR="00A511B6" w:rsidRDefault="00A511B6" w:rsidP="00E31889">
      <w:pPr>
        <w:spacing w:after="0" w:line="240" w:lineRule="auto"/>
      </w:pPr>
      <w:r>
        <w:separator/>
      </w:r>
    </w:p>
  </w:footnote>
  <w:footnote w:type="continuationSeparator" w:id="0">
    <w:p w14:paraId="6CC33C43" w14:textId="77777777" w:rsidR="00A511B6" w:rsidRDefault="00A511B6" w:rsidP="00E31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7D9AF" w14:textId="77777777" w:rsidR="00A511B6" w:rsidRDefault="00A511B6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7EEF9275" wp14:editId="47D2830C">
          <wp:simplePos x="0" y="0"/>
          <wp:positionH relativeFrom="column">
            <wp:posOffset>-798195</wp:posOffset>
          </wp:positionH>
          <wp:positionV relativeFrom="page">
            <wp:posOffset>14605</wp:posOffset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8FE2B" w14:textId="77777777" w:rsidR="00A511B6" w:rsidRDefault="00A51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5D3"/>
    <w:multiLevelType w:val="hybridMultilevel"/>
    <w:tmpl w:val="13ECCA20"/>
    <w:lvl w:ilvl="0" w:tplc="AA5CF6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614E"/>
    <w:multiLevelType w:val="hybridMultilevel"/>
    <w:tmpl w:val="10223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640C7"/>
    <w:multiLevelType w:val="multilevel"/>
    <w:tmpl w:val="C58407A8"/>
    <w:styleLink w:val="NormalOutline"/>
    <w:lvl w:ilvl="0">
      <w:start w:val="1"/>
      <w:numFmt w:val="decimal"/>
      <w:pStyle w:val="Normal-NumberedList-SwissTPH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abstractNum w:abstractNumId="3" w15:restartNumberingAfterBreak="0">
    <w:nsid w:val="033F25BD"/>
    <w:multiLevelType w:val="hybridMultilevel"/>
    <w:tmpl w:val="1C0A2A60"/>
    <w:lvl w:ilvl="0" w:tplc="1CC8AD74">
      <w:start w:val="1"/>
      <w:numFmt w:val="bullet"/>
      <w:pStyle w:val="TableBullets"/>
      <w:lvlText w:val=""/>
      <w:lvlJc w:val="left"/>
      <w:pPr>
        <w:ind w:left="371" w:hanging="286"/>
      </w:pPr>
      <w:rPr>
        <w:rFonts w:ascii="Symbol" w:hAnsi="Symbol" w:hint="default"/>
        <w:color w:val="BF3227" w:themeColor="accent2"/>
        <w:w w:val="100"/>
        <w:sz w:val="18"/>
        <w:szCs w:val="18"/>
        <w:lang w:val="en-US" w:eastAsia="en-US" w:bidi="ar-SA"/>
      </w:rPr>
    </w:lvl>
    <w:lvl w:ilvl="1" w:tplc="530EA480">
      <w:numFmt w:val="bullet"/>
      <w:lvlText w:val="•"/>
      <w:lvlJc w:val="left"/>
      <w:pPr>
        <w:ind w:left="898" w:hanging="286"/>
      </w:pPr>
      <w:rPr>
        <w:rFonts w:hint="default"/>
        <w:lang w:val="en-US" w:eastAsia="en-US" w:bidi="ar-SA"/>
      </w:rPr>
    </w:lvl>
    <w:lvl w:ilvl="2" w:tplc="2C9A7F08">
      <w:numFmt w:val="bullet"/>
      <w:lvlText w:val="•"/>
      <w:lvlJc w:val="left"/>
      <w:pPr>
        <w:ind w:left="1417" w:hanging="286"/>
      </w:pPr>
      <w:rPr>
        <w:rFonts w:hint="default"/>
        <w:lang w:val="en-US" w:eastAsia="en-US" w:bidi="ar-SA"/>
      </w:rPr>
    </w:lvl>
    <w:lvl w:ilvl="3" w:tplc="C41637DA">
      <w:numFmt w:val="bullet"/>
      <w:lvlText w:val="•"/>
      <w:lvlJc w:val="left"/>
      <w:pPr>
        <w:ind w:left="1935" w:hanging="286"/>
      </w:pPr>
      <w:rPr>
        <w:rFonts w:hint="default"/>
        <w:lang w:val="en-US" w:eastAsia="en-US" w:bidi="ar-SA"/>
      </w:rPr>
    </w:lvl>
    <w:lvl w:ilvl="4" w:tplc="1F6252B4">
      <w:numFmt w:val="bullet"/>
      <w:lvlText w:val="•"/>
      <w:lvlJc w:val="left"/>
      <w:pPr>
        <w:ind w:left="2454" w:hanging="286"/>
      </w:pPr>
      <w:rPr>
        <w:rFonts w:hint="default"/>
        <w:lang w:val="en-US" w:eastAsia="en-US" w:bidi="ar-SA"/>
      </w:rPr>
    </w:lvl>
    <w:lvl w:ilvl="5" w:tplc="2CFC2F76">
      <w:numFmt w:val="bullet"/>
      <w:lvlText w:val="•"/>
      <w:lvlJc w:val="left"/>
      <w:pPr>
        <w:ind w:left="2973" w:hanging="286"/>
      </w:pPr>
      <w:rPr>
        <w:rFonts w:hint="default"/>
        <w:lang w:val="en-US" w:eastAsia="en-US" w:bidi="ar-SA"/>
      </w:rPr>
    </w:lvl>
    <w:lvl w:ilvl="6" w:tplc="505A2366">
      <w:numFmt w:val="bullet"/>
      <w:lvlText w:val="•"/>
      <w:lvlJc w:val="left"/>
      <w:pPr>
        <w:ind w:left="3491" w:hanging="286"/>
      </w:pPr>
      <w:rPr>
        <w:rFonts w:hint="default"/>
        <w:lang w:val="en-US" w:eastAsia="en-US" w:bidi="ar-SA"/>
      </w:rPr>
    </w:lvl>
    <w:lvl w:ilvl="7" w:tplc="79A404B2">
      <w:numFmt w:val="bullet"/>
      <w:lvlText w:val="•"/>
      <w:lvlJc w:val="left"/>
      <w:pPr>
        <w:ind w:left="4010" w:hanging="286"/>
      </w:pPr>
      <w:rPr>
        <w:rFonts w:hint="default"/>
        <w:lang w:val="en-US" w:eastAsia="en-US" w:bidi="ar-SA"/>
      </w:rPr>
    </w:lvl>
    <w:lvl w:ilvl="8" w:tplc="6B1CA9DC">
      <w:numFmt w:val="bullet"/>
      <w:lvlText w:val="•"/>
      <w:lvlJc w:val="left"/>
      <w:pPr>
        <w:ind w:left="4528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3E93A5A"/>
    <w:multiLevelType w:val="multilevel"/>
    <w:tmpl w:val="3156067C"/>
    <w:styleLink w:val="NormalBulletDefinition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–"/>
      <w:lvlJc w:val="left"/>
      <w:pPr>
        <w:ind w:left="1701" w:hanging="425"/>
      </w:pPr>
      <w:rPr>
        <w:rFonts w:ascii="Arial" w:hAnsi="Arial" w:hint="default"/>
        <w:color w:val="BF3227" w:themeColor="accent2"/>
      </w:rPr>
    </w:lvl>
    <w:lvl w:ilvl="2">
      <w:start w:val="1"/>
      <w:numFmt w:val="bullet"/>
      <w:lvlText w:val="–"/>
      <w:lvlJc w:val="left"/>
      <w:pPr>
        <w:ind w:left="2126" w:hanging="425"/>
      </w:pPr>
      <w:rPr>
        <w:rFonts w:ascii="Arial" w:hAnsi="Arial" w:hint="default"/>
        <w:color w:val="BF3227" w:themeColor="accent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A6734"/>
    <w:multiLevelType w:val="hybridMultilevel"/>
    <w:tmpl w:val="25C66278"/>
    <w:lvl w:ilvl="0" w:tplc="121C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154FD"/>
    <w:multiLevelType w:val="hybridMultilevel"/>
    <w:tmpl w:val="5562F1FC"/>
    <w:lvl w:ilvl="0" w:tplc="121C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4320" w:hanging="1440"/>
      </w:pPr>
      <w:rPr>
        <w:rFonts w:hint="default"/>
      </w:rPr>
    </w:lvl>
  </w:abstractNum>
  <w:abstractNum w:abstractNumId="8" w15:restartNumberingAfterBreak="0">
    <w:nsid w:val="10AF4753"/>
    <w:multiLevelType w:val="hybridMultilevel"/>
    <w:tmpl w:val="1F380E70"/>
    <w:lvl w:ilvl="0" w:tplc="121C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D42C7"/>
    <w:multiLevelType w:val="hybridMultilevel"/>
    <w:tmpl w:val="10223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84812"/>
    <w:multiLevelType w:val="hybridMultilevel"/>
    <w:tmpl w:val="5364B6A6"/>
    <w:lvl w:ilvl="0" w:tplc="ED1E3028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53708"/>
    <w:multiLevelType w:val="hybridMultilevel"/>
    <w:tmpl w:val="FCCE3056"/>
    <w:lvl w:ilvl="0" w:tplc="121C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B0AD3"/>
    <w:multiLevelType w:val="hybridMultilevel"/>
    <w:tmpl w:val="4502CC92"/>
    <w:lvl w:ilvl="0" w:tplc="9E466D30">
      <w:start w:val="1"/>
      <w:numFmt w:val="decimal"/>
      <w:lvlText w:val="(%1)"/>
      <w:lvlJc w:val="left"/>
      <w:pPr>
        <w:ind w:left="1800" w:hanging="360"/>
      </w:pPr>
      <w:rPr>
        <w:rFonts w:eastAsiaTheme="minorEastAsia" w:hint="default"/>
        <w:sz w:val="24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812161"/>
    <w:multiLevelType w:val="hybridMultilevel"/>
    <w:tmpl w:val="3282F054"/>
    <w:lvl w:ilvl="0" w:tplc="B0346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112B9"/>
    <w:multiLevelType w:val="hybridMultilevel"/>
    <w:tmpl w:val="80024FE2"/>
    <w:lvl w:ilvl="0" w:tplc="EC02B532">
      <w:start w:val="1"/>
      <w:numFmt w:val="bullet"/>
      <w:pStyle w:val="Normal-Indent-BulletedList-SwissTPH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E3157"/>
    <w:multiLevelType w:val="hybridMultilevel"/>
    <w:tmpl w:val="20C223CA"/>
    <w:lvl w:ilvl="0" w:tplc="121C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0623B"/>
    <w:multiLevelType w:val="hybridMultilevel"/>
    <w:tmpl w:val="D9E011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62554"/>
    <w:multiLevelType w:val="hybridMultilevel"/>
    <w:tmpl w:val="71F07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45EB0"/>
    <w:multiLevelType w:val="hybridMultilevel"/>
    <w:tmpl w:val="972620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55547"/>
    <w:multiLevelType w:val="hybridMultilevel"/>
    <w:tmpl w:val="10223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226A1"/>
    <w:multiLevelType w:val="hybridMultilevel"/>
    <w:tmpl w:val="301E5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5382C"/>
    <w:multiLevelType w:val="multilevel"/>
    <w:tmpl w:val="A13C0BBA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25" w:hanging="425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468AB2" w:themeColor="accent3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default"/>
        <w:color w:val="468AB2" w:themeColor="accent3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3DC3170A"/>
    <w:multiLevelType w:val="hybridMultilevel"/>
    <w:tmpl w:val="22BCF1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94CE8"/>
    <w:multiLevelType w:val="hybridMultilevel"/>
    <w:tmpl w:val="4F722EAA"/>
    <w:lvl w:ilvl="0" w:tplc="0807000F">
      <w:start w:val="1"/>
      <w:numFmt w:val="decimal"/>
      <w:lvlText w:val="%1."/>
      <w:lvlJc w:val="left"/>
      <w:pPr>
        <w:ind w:left="1211" w:hanging="360"/>
      </w:pPr>
    </w:lvl>
    <w:lvl w:ilvl="1" w:tplc="08070019" w:tentative="1">
      <w:start w:val="1"/>
      <w:numFmt w:val="lowerLetter"/>
      <w:lvlText w:val="%2."/>
      <w:lvlJc w:val="left"/>
      <w:pPr>
        <w:ind w:left="1931" w:hanging="360"/>
      </w:pPr>
    </w:lvl>
    <w:lvl w:ilvl="2" w:tplc="0807001B" w:tentative="1">
      <w:start w:val="1"/>
      <w:numFmt w:val="lowerRoman"/>
      <w:lvlText w:val="%3."/>
      <w:lvlJc w:val="right"/>
      <w:pPr>
        <w:ind w:left="2651" w:hanging="180"/>
      </w:pPr>
    </w:lvl>
    <w:lvl w:ilvl="3" w:tplc="0807000F" w:tentative="1">
      <w:start w:val="1"/>
      <w:numFmt w:val="decimal"/>
      <w:lvlText w:val="%4."/>
      <w:lvlJc w:val="left"/>
      <w:pPr>
        <w:ind w:left="3371" w:hanging="360"/>
      </w:pPr>
    </w:lvl>
    <w:lvl w:ilvl="4" w:tplc="08070019" w:tentative="1">
      <w:start w:val="1"/>
      <w:numFmt w:val="lowerLetter"/>
      <w:lvlText w:val="%5."/>
      <w:lvlJc w:val="left"/>
      <w:pPr>
        <w:ind w:left="4091" w:hanging="360"/>
      </w:pPr>
    </w:lvl>
    <w:lvl w:ilvl="5" w:tplc="0807001B" w:tentative="1">
      <w:start w:val="1"/>
      <w:numFmt w:val="lowerRoman"/>
      <w:lvlText w:val="%6."/>
      <w:lvlJc w:val="right"/>
      <w:pPr>
        <w:ind w:left="4811" w:hanging="180"/>
      </w:pPr>
    </w:lvl>
    <w:lvl w:ilvl="6" w:tplc="0807000F" w:tentative="1">
      <w:start w:val="1"/>
      <w:numFmt w:val="decimal"/>
      <w:lvlText w:val="%7."/>
      <w:lvlJc w:val="left"/>
      <w:pPr>
        <w:ind w:left="5531" w:hanging="360"/>
      </w:pPr>
    </w:lvl>
    <w:lvl w:ilvl="7" w:tplc="08070019" w:tentative="1">
      <w:start w:val="1"/>
      <w:numFmt w:val="lowerLetter"/>
      <w:lvlText w:val="%8."/>
      <w:lvlJc w:val="left"/>
      <w:pPr>
        <w:ind w:left="6251" w:hanging="360"/>
      </w:pPr>
    </w:lvl>
    <w:lvl w:ilvl="8" w:tplc="08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1DC655C"/>
    <w:multiLevelType w:val="hybridMultilevel"/>
    <w:tmpl w:val="E8C68634"/>
    <w:lvl w:ilvl="0" w:tplc="144E7A52">
      <w:start w:val="1"/>
      <w:numFmt w:val="decimal"/>
      <w:pStyle w:val="Equation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062D4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2C42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F8A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666E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F41D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6CA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04C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0EC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FE3F61"/>
    <w:multiLevelType w:val="multilevel"/>
    <w:tmpl w:val="C58407A8"/>
    <w:numStyleLink w:val="NormalOutline"/>
  </w:abstractNum>
  <w:abstractNum w:abstractNumId="26" w15:restartNumberingAfterBreak="0">
    <w:nsid w:val="492C577B"/>
    <w:multiLevelType w:val="hybridMultilevel"/>
    <w:tmpl w:val="41F24BB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D5B91"/>
    <w:multiLevelType w:val="multilevel"/>
    <w:tmpl w:val="5BC2B29A"/>
    <w:styleLink w:val="HeadingsAppendix"/>
    <w:lvl w:ilvl="0">
      <w:start w:val="1"/>
      <w:numFmt w:val="upperLetter"/>
      <w:pStyle w:val="AppendixHeading1"/>
      <w:suff w:val="space"/>
      <w:lvlText w:val="Appendix %1: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4320" w:hanging="1440"/>
      </w:pPr>
      <w:rPr>
        <w:rFonts w:hint="default"/>
      </w:rPr>
    </w:lvl>
  </w:abstractNum>
  <w:abstractNum w:abstractNumId="28" w15:restartNumberingAfterBreak="0">
    <w:nsid w:val="4FC90DDA"/>
    <w:multiLevelType w:val="hybridMultilevel"/>
    <w:tmpl w:val="415A9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130E9"/>
    <w:multiLevelType w:val="hybridMultilevel"/>
    <w:tmpl w:val="BD8C28A0"/>
    <w:lvl w:ilvl="0" w:tplc="CAC435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A1082"/>
    <w:multiLevelType w:val="hybridMultilevel"/>
    <w:tmpl w:val="016A8A6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277A7"/>
    <w:multiLevelType w:val="hybridMultilevel"/>
    <w:tmpl w:val="3854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40C59"/>
    <w:multiLevelType w:val="multilevel"/>
    <w:tmpl w:val="3AC85C2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abstractNum w:abstractNumId="33" w15:restartNumberingAfterBreak="0">
    <w:nsid w:val="606B405A"/>
    <w:multiLevelType w:val="hybridMultilevel"/>
    <w:tmpl w:val="C166DE86"/>
    <w:lvl w:ilvl="0" w:tplc="688E7C6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2440581"/>
    <w:multiLevelType w:val="hybridMultilevel"/>
    <w:tmpl w:val="A01E11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1553E"/>
    <w:multiLevelType w:val="hybridMultilevel"/>
    <w:tmpl w:val="EB443B76"/>
    <w:lvl w:ilvl="0" w:tplc="121C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1"/>
        </w:tabs>
        <w:ind w:left="1031" w:hanging="85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8AB2" w:themeColor="accent3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468AB2" w:themeColor="accent3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4320" w:hanging="1440"/>
      </w:pPr>
      <w:rPr>
        <w:rFonts w:hint="default"/>
      </w:rPr>
    </w:lvl>
  </w:abstractNum>
  <w:abstractNum w:abstractNumId="37" w15:restartNumberingAfterBreak="0">
    <w:nsid w:val="66DE1BC0"/>
    <w:multiLevelType w:val="hybridMultilevel"/>
    <w:tmpl w:val="AA7267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F07D4"/>
    <w:multiLevelType w:val="hybridMultilevel"/>
    <w:tmpl w:val="F04A076C"/>
    <w:lvl w:ilvl="0" w:tplc="121C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36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2"/>
  </w:num>
  <w:num w:numId="7">
    <w:abstractNumId w:val="2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–"/>
        <w:lvlJc w:val="left"/>
        <w:pPr>
          <w:ind w:left="1701" w:hanging="425"/>
        </w:pPr>
        <w:rPr>
          <w:rFonts w:ascii="Arial" w:hAnsi="Arial" w:hint="default"/>
          <w:color w:val="000000" w:themeColor="text1"/>
        </w:rPr>
      </w:lvl>
    </w:lvlOverride>
  </w:num>
  <w:num w:numId="10">
    <w:abstractNumId w:val="25"/>
  </w:num>
  <w:num w:numId="11">
    <w:abstractNumId w:val="4"/>
  </w:num>
  <w:num w:numId="12">
    <w:abstractNumId w:val="21"/>
  </w:num>
  <w:num w:numId="13">
    <w:abstractNumId w:val="27"/>
    <w:lvlOverride w:ilvl="0">
      <w:lvl w:ilvl="0">
        <w:start w:val="1"/>
        <w:numFmt w:val="upperLetter"/>
        <w:pStyle w:val="AppendixHeading1"/>
        <w:suff w:val="space"/>
        <w:lvlText w:val="Appendix %1:"/>
        <w:lvlJc w:val="left"/>
        <w:pPr>
          <w:ind w:left="4991" w:hanging="851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468AB2" w:themeColor="accent3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AppendixHeading2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468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576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828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97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0800"/>
          </w:tabs>
          <w:ind w:left="4320" w:hanging="1440"/>
        </w:pPr>
        <w:rPr>
          <w:rFonts w:hint="default"/>
        </w:rPr>
      </w:lvl>
    </w:lvlOverride>
  </w:num>
  <w:num w:numId="14">
    <w:abstractNumId w:val="27"/>
  </w:num>
  <w:num w:numId="15">
    <w:abstractNumId w:val="10"/>
  </w:num>
  <w:num w:numId="16">
    <w:abstractNumId w:val="33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lvl w:ilvl="0">
        <w:start w:val="1"/>
        <w:numFmt w:val="upperLetter"/>
        <w:pStyle w:val="AppendixHeading1"/>
        <w:suff w:val="space"/>
        <w:lvlText w:val="Appendix %1:"/>
        <w:lvlJc w:val="left"/>
        <w:pPr>
          <w:ind w:left="4991" w:hanging="851"/>
        </w:pPr>
        <w:rPr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468AB2" w:themeColor="accent3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32"/>
  </w:num>
  <w:num w:numId="20">
    <w:abstractNumId w:val="9"/>
  </w:num>
  <w:num w:numId="21">
    <w:abstractNumId w:val="19"/>
  </w:num>
  <w:num w:numId="22">
    <w:abstractNumId w:val="1"/>
  </w:num>
  <w:num w:numId="23">
    <w:abstractNumId w:val="20"/>
  </w:num>
  <w:num w:numId="24">
    <w:abstractNumId w:val="17"/>
  </w:num>
  <w:num w:numId="25">
    <w:abstractNumId w:val="31"/>
  </w:num>
  <w:num w:numId="26">
    <w:abstractNumId w:val="14"/>
  </w:num>
  <w:num w:numId="27">
    <w:abstractNumId w:val="11"/>
  </w:num>
  <w:num w:numId="28">
    <w:abstractNumId w:val="6"/>
  </w:num>
  <w:num w:numId="29">
    <w:abstractNumId w:val="35"/>
  </w:num>
  <w:num w:numId="30">
    <w:abstractNumId w:val="15"/>
  </w:num>
  <w:num w:numId="31">
    <w:abstractNumId w:val="8"/>
  </w:num>
  <w:num w:numId="32">
    <w:abstractNumId w:val="5"/>
  </w:num>
  <w:num w:numId="33">
    <w:abstractNumId w:val="38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</w:num>
  <w:num w:numId="37">
    <w:abstractNumId w:val="14"/>
  </w:num>
  <w:num w:numId="38">
    <w:abstractNumId w:val="12"/>
  </w:num>
  <w:num w:numId="39">
    <w:abstractNumId w:val="37"/>
  </w:num>
  <w:num w:numId="40">
    <w:abstractNumId w:val="29"/>
  </w:num>
  <w:num w:numId="41">
    <w:abstractNumId w:val="30"/>
  </w:num>
  <w:num w:numId="42">
    <w:abstractNumId w:val="16"/>
  </w:num>
  <w:num w:numId="43">
    <w:abstractNumId w:val="26"/>
  </w:num>
  <w:num w:numId="44">
    <w:abstractNumId w:val="28"/>
  </w:num>
  <w:num w:numId="45">
    <w:abstractNumId w:val="0"/>
  </w:num>
  <w:num w:numId="46">
    <w:abstractNumId w:val="34"/>
  </w:num>
  <w:num w:numId="47">
    <w:abstractNumId w:val="22"/>
  </w:num>
  <w:num w:numId="48">
    <w:abstractNumId w:val="23"/>
  </w:num>
  <w:num w:numId="4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belle Walz">
    <w15:presenceInfo w15:providerId="None" w15:userId="Annabelle Wal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timicrobial Agents Chemo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2p5fpefqffe94ex0z25wa57dz5ft5f9wwvf&quot;&gt;My EndNote Library-Converted&lt;record-ids&gt;&lt;item&gt;1&lt;/item&gt;&lt;item&gt;2&lt;/item&gt;&lt;item&gt;3&lt;/item&gt;&lt;item&gt;4&lt;/item&gt;&lt;item&gt;5&lt;/item&gt;&lt;/record-ids&gt;&lt;/item&gt;&lt;/Libraries&gt;"/>
  </w:docVars>
  <w:rsids>
    <w:rsidRoot w:val="00AA4252"/>
    <w:rsid w:val="000029A0"/>
    <w:rsid w:val="00003A7A"/>
    <w:rsid w:val="00005EDD"/>
    <w:rsid w:val="00015120"/>
    <w:rsid w:val="00020027"/>
    <w:rsid w:val="00020373"/>
    <w:rsid w:val="000235D6"/>
    <w:rsid w:val="00036488"/>
    <w:rsid w:val="00037A07"/>
    <w:rsid w:val="00037E53"/>
    <w:rsid w:val="00043CF0"/>
    <w:rsid w:val="00044127"/>
    <w:rsid w:val="00044611"/>
    <w:rsid w:val="00046993"/>
    <w:rsid w:val="00050CBC"/>
    <w:rsid w:val="00053E92"/>
    <w:rsid w:val="00056798"/>
    <w:rsid w:val="00056998"/>
    <w:rsid w:val="00061003"/>
    <w:rsid w:val="00065E2E"/>
    <w:rsid w:val="00066A1E"/>
    <w:rsid w:val="000717B0"/>
    <w:rsid w:val="00072067"/>
    <w:rsid w:val="0007246F"/>
    <w:rsid w:val="0007537D"/>
    <w:rsid w:val="00077A71"/>
    <w:rsid w:val="00080893"/>
    <w:rsid w:val="0008180C"/>
    <w:rsid w:val="0008195A"/>
    <w:rsid w:val="00083037"/>
    <w:rsid w:val="000838FB"/>
    <w:rsid w:val="00090FB5"/>
    <w:rsid w:val="00094DB4"/>
    <w:rsid w:val="000951A0"/>
    <w:rsid w:val="00097900"/>
    <w:rsid w:val="000B3008"/>
    <w:rsid w:val="000C47A2"/>
    <w:rsid w:val="000D30F6"/>
    <w:rsid w:val="000E2FCE"/>
    <w:rsid w:val="000E3F66"/>
    <w:rsid w:val="000E76A0"/>
    <w:rsid w:val="000F634D"/>
    <w:rsid w:val="000F7433"/>
    <w:rsid w:val="0010015B"/>
    <w:rsid w:val="00104841"/>
    <w:rsid w:val="00105FCD"/>
    <w:rsid w:val="00106260"/>
    <w:rsid w:val="00106421"/>
    <w:rsid w:val="00111ECD"/>
    <w:rsid w:val="00113931"/>
    <w:rsid w:val="0012007B"/>
    <w:rsid w:val="00122133"/>
    <w:rsid w:val="00127FC4"/>
    <w:rsid w:val="00131525"/>
    <w:rsid w:val="001340AD"/>
    <w:rsid w:val="0013415A"/>
    <w:rsid w:val="00134947"/>
    <w:rsid w:val="00137B1B"/>
    <w:rsid w:val="00140F44"/>
    <w:rsid w:val="00142B7E"/>
    <w:rsid w:val="00150301"/>
    <w:rsid w:val="00154FAC"/>
    <w:rsid w:val="001572F0"/>
    <w:rsid w:val="00163FA2"/>
    <w:rsid w:val="00164D89"/>
    <w:rsid w:val="001653D8"/>
    <w:rsid w:val="0017574F"/>
    <w:rsid w:val="00192E49"/>
    <w:rsid w:val="00194E79"/>
    <w:rsid w:val="00195450"/>
    <w:rsid w:val="00196708"/>
    <w:rsid w:val="00197982"/>
    <w:rsid w:val="001A0BC4"/>
    <w:rsid w:val="001B0601"/>
    <w:rsid w:val="001B0B6B"/>
    <w:rsid w:val="001B1EE5"/>
    <w:rsid w:val="001B6429"/>
    <w:rsid w:val="001B730A"/>
    <w:rsid w:val="001C1C45"/>
    <w:rsid w:val="001C2A7D"/>
    <w:rsid w:val="001D14C6"/>
    <w:rsid w:val="001D405E"/>
    <w:rsid w:val="001E58D6"/>
    <w:rsid w:val="001F12BE"/>
    <w:rsid w:val="001F2802"/>
    <w:rsid w:val="001F44A5"/>
    <w:rsid w:val="001F5CF3"/>
    <w:rsid w:val="00200460"/>
    <w:rsid w:val="00215DAA"/>
    <w:rsid w:val="00217032"/>
    <w:rsid w:val="0024519E"/>
    <w:rsid w:val="00250984"/>
    <w:rsid w:val="00251621"/>
    <w:rsid w:val="002516B5"/>
    <w:rsid w:val="00251CBE"/>
    <w:rsid w:val="0026662B"/>
    <w:rsid w:val="00276453"/>
    <w:rsid w:val="00286369"/>
    <w:rsid w:val="00291342"/>
    <w:rsid w:val="00291EAF"/>
    <w:rsid w:val="002B1426"/>
    <w:rsid w:val="002B23DA"/>
    <w:rsid w:val="002C0DF5"/>
    <w:rsid w:val="002C2F62"/>
    <w:rsid w:val="002C520B"/>
    <w:rsid w:val="002D0163"/>
    <w:rsid w:val="002D3D69"/>
    <w:rsid w:val="002D54D8"/>
    <w:rsid w:val="002D7F62"/>
    <w:rsid w:val="002D7F7B"/>
    <w:rsid w:val="002E5B1E"/>
    <w:rsid w:val="002E6B05"/>
    <w:rsid w:val="00314CEA"/>
    <w:rsid w:val="00315714"/>
    <w:rsid w:val="00315A65"/>
    <w:rsid w:val="0031729F"/>
    <w:rsid w:val="003207D4"/>
    <w:rsid w:val="0032679F"/>
    <w:rsid w:val="003268BB"/>
    <w:rsid w:val="00344666"/>
    <w:rsid w:val="00352E20"/>
    <w:rsid w:val="00354FAD"/>
    <w:rsid w:val="00371764"/>
    <w:rsid w:val="00375745"/>
    <w:rsid w:val="003815F3"/>
    <w:rsid w:val="00382A3E"/>
    <w:rsid w:val="00392C59"/>
    <w:rsid w:val="00397208"/>
    <w:rsid w:val="003A00A8"/>
    <w:rsid w:val="003A0A77"/>
    <w:rsid w:val="003A2683"/>
    <w:rsid w:val="003B2F7F"/>
    <w:rsid w:val="003B4479"/>
    <w:rsid w:val="003B5F16"/>
    <w:rsid w:val="003C66DA"/>
    <w:rsid w:val="003D1CBB"/>
    <w:rsid w:val="003D4433"/>
    <w:rsid w:val="003D584B"/>
    <w:rsid w:val="003E5BBA"/>
    <w:rsid w:val="003F1966"/>
    <w:rsid w:val="004001EC"/>
    <w:rsid w:val="00402B00"/>
    <w:rsid w:val="00410014"/>
    <w:rsid w:val="00412E78"/>
    <w:rsid w:val="00416079"/>
    <w:rsid w:val="00416321"/>
    <w:rsid w:val="00434A2B"/>
    <w:rsid w:val="00443792"/>
    <w:rsid w:val="004505C9"/>
    <w:rsid w:val="00451E61"/>
    <w:rsid w:val="004567EA"/>
    <w:rsid w:val="004578AA"/>
    <w:rsid w:val="00460FA6"/>
    <w:rsid w:val="00461A3C"/>
    <w:rsid w:val="00463E1D"/>
    <w:rsid w:val="00474164"/>
    <w:rsid w:val="00476788"/>
    <w:rsid w:val="00485A16"/>
    <w:rsid w:val="004873CC"/>
    <w:rsid w:val="00494CE4"/>
    <w:rsid w:val="004A08C5"/>
    <w:rsid w:val="004A1E4A"/>
    <w:rsid w:val="004A1EE9"/>
    <w:rsid w:val="004A2FED"/>
    <w:rsid w:val="004B31B6"/>
    <w:rsid w:val="004C6A5C"/>
    <w:rsid w:val="004D334D"/>
    <w:rsid w:val="004D6116"/>
    <w:rsid w:val="004D6732"/>
    <w:rsid w:val="004E10F1"/>
    <w:rsid w:val="004E7970"/>
    <w:rsid w:val="004E7D75"/>
    <w:rsid w:val="004F11F3"/>
    <w:rsid w:val="004F2127"/>
    <w:rsid w:val="004F2467"/>
    <w:rsid w:val="005012A3"/>
    <w:rsid w:val="0051146F"/>
    <w:rsid w:val="0051568B"/>
    <w:rsid w:val="00526B7B"/>
    <w:rsid w:val="00531447"/>
    <w:rsid w:val="00536370"/>
    <w:rsid w:val="0053777B"/>
    <w:rsid w:val="00537A30"/>
    <w:rsid w:val="00540C2A"/>
    <w:rsid w:val="005457E4"/>
    <w:rsid w:val="005559EB"/>
    <w:rsid w:val="00564B67"/>
    <w:rsid w:val="005732E9"/>
    <w:rsid w:val="005738E9"/>
    <w:rsid w:val="00573AD5"/>
    <w:rsid w:val="00577DED"/>
    <w:rsid w:val="005832CB"/>
    <w:rsid w:val="005870DA"/>
    <w:rsid w:val="005964E5"/>
    <w:rsid w:val="00597D8F"/>
    <w:rsid w:val="005A0F3A"/>
    <w:rsid w:val="005A14A4"/>
    <w:rsid w:val="005A1A3C"/>
    <w:rsid w:val="005A3ABA"/>
    <w:rsid w:val="005A434B"/>
    <w:rsid w:val="005B3970"/>
    <w:rsid w:val="005B5277"/>
    <w:rsid w:val="005C0349"/>
    <w:rsid w:val="005C3067"/>
    <w:rsid w:val="005C64CC"/>
    <w:rsid w:val="005D1C15"/>
    <w:rsid w:val="005D432D"/>
    <w:rsid w:val="005E0274"/>
    <w:rsid w:val="005E06FB"/>
    <w:rsid w:val="005E26EF"/>
    <w:rsid w:val="005F770E"/>
    <w:rsid w:val="006008BB"/>
    <w:rsid w:val="00617B76"/>
    <w:rsid w:val="00624D3D"/>
    <w:rsid w:val="00637081"/>
    <w:rsid w:val="0064224D"/>
    <w:rsid w:val="006527A6"/>
    <w:rsid w:val="00654409"/>
    <w:rsid w:val="006573B8"/>
    <w:rsid w:val="00660CE0"/>
    <w:rsid w:val="00663328"/>
    <w:rsid w:val="006657AC"/>
    <w:rsid w:val="00666D6C"/>
    <w:rsid w:val="00667493"/>
    <w:rsid w:val="00672132"/>
    <w:rsid w:val="00675C13"/>
    <w:rsid w:val="00681D94"/>
    <w:rsid w:val="00683FD7"/>
    <w:rsid w:val="00687BE4"/>
    <w:rsid w:val="0069271F"/>
    <w:rsid w:val="006A64F6"/>
    <w:rsid w:val="006B295F"/>
    <w:rsid w:val="006B48C5"/>
    <w:rsid w:val="006C15EA"/>
    <w:rsid w:val="006C31B5"/>
    <w:rsid w:val="006C441A"/>
    <w:rsid w:val="006C68D0"/>
    <w:rsid w:val="006C6AA9"/>
    <w:rsid w:val="006D1839"/>
    <w:rsid w:val="006D43CC"/>
    <w:rsid w:val="006D4925"/>
    <w:rsid w:val="006D60EC"/>
    <w:rsid w:val="006F37BA"/>
    <w:rsid w:val="006F5119"/>
    <w:rsid w:val="006F5C28"/>
    <w:rsid w:val="00702BD1"/>
    <w:rsid w:val="0070688F"/>
    <w:rsid w:val="007078C4"/>
    <w:rsid w:val="007148A1"/>
    <w:rsid w:val="00720AF6"/>
    <w:rsid w:val="00720F4C"/>
    <w:rsid w:val="007303E1"/>
    <w:rsid w:val="007431A8"/>
    <w:rsid w:val="00745B36"/>
    <w:rsid w:val="0074608A"/>
    <w:rsid w:val="00747CBB"/>
    <w:rsid w:val="00755F4F"/>
    <w:rsid w:val="00757926"/>
    <w:rsid w:val="007775EA"/>
    <w:rsid w:val="007816D1"/>
    <w:rsid w:val="007840D8"/>
    <w:rsid w:val="00790146"/>
    <w:rsid w:val="007A05E6"/>
    <w:rsid w:val="007A7A9E"/>
    <w:rsid w:val="007B5F3A"/>
    <w:rsid w:val="007C0A47"/>
    <w:rsid w:val="007C1A7F"/>
    <w:rsid w:val="007D3BCF"/>
    <w:rsid w:val="007D5030"/>
    <w:rsid w:val="007E17B2"/>
    <w:rsid w:val="007E1C14"/>
    <w:rsid w:val="007E704D"/>
    <w:rsid w:val="0080098A"/>
    <w:rsid w:val="0080617D"/>
    <w:rsid w:val="00821ABC"/>
    <w:rsid w:val="0082479D"/>
    <w:rsid w:val="008264A5"/>
    <w:rsid w:val="00827F26"/>
    <w:rsid w:val="00830CAF"/>
    <w:rsid w:val="0084011E"/>
    <w:rsid w:val="00840C55"/>
    <w:rsid w:val="00845BB6"/>
    <w:rsid w:val="00846583"/>
    <w:rsid w:val="00850AC5"/>
    <w:rsid w:val="008518A2"/>
    <w:rsid w:val="00855023"/>
    <w:rsid w:val="00867866"/>
    <w:rsid w:val="008702D7"/>
    <w:rsid w:val="00874315"/>
    <w:rsid w:val="008750A6"/>
    <w:rsid w:val="00880196"/>
    <w:rsid w:val="008817C8"/>
    <w:rsid w:val="008A0F60"/>
    <w:rsid w:val="008A4249"/>
    <w:rsid w:val="008A6701"/>
    <w:rsid w:val="008B6220"/>
    <w:rsid w:val="008B6320"/>
    <w:rsid w:val="008B6B71"/>
    <w:rsid w:val="008B7EF6"/>
    <w:rsid w:val="008C38F5"/>
    <w:rsid w:val="008C4318"/>
    <w:rsid w:val="008C7B5F"/>
    <w:rsid w:val="008D3C13"/>
    <w:rsid w:val="008F27C5"/>
    <w:rsid w:val="008F3D3F"/>
    <w:rsid w:val="008F62CA"/>
    <w:rsid w:val="008F6C7D"/>
    <w:rsid w:val="008F6E86"/>
    <w:rsid w:val="009007E4"/>
    <w:rsid w:val="0091019A"/>
    <w:rsid w:val="009106C4"/>
    <w:rsid w:val="009117C7"/>
    <w:rsid w:val="0091262C"/>
    <w:rsid w:val="00920140"/>
    <w:rsid w:val="00923B25"/>
    <w:rsid w:val="009331A9"/>
    <w:rsid w:val="0094528B"/>
    <w:rsid w:val="00950525"/>
    <w:rsid w:val="00955086"/>
    <w:rsid w:val="00955F1E"/>
    <w:rsid w:val="009853D9"/>
    <w:rsid w:val="009A085D"/>
    <w:rsid w:val="009B314E"/>
    <w:rsid w:val="009B3500"/>
    <w:rsid w:val="009B3E08"/>
    <w:rsid w:val="009C5C77"/>
    <w:rsid w:val="009C7BA0"/>
    <w:rsid w:val="009D34BD"/>
    <w:rsid w:val="009E5603"/>
    <w:rsid w:val="009E5E7F"/>
    <w:rsid w:val="00A205AB"/>
    <w:rsid w:val="00A22D6E"/>
    <w:rsid w:val="00A31364"/>
    <w:rsid w:val="00A322FC"/>
    <w:rsid w:val="00A32EBA"/>
    <w:rsid w:val="00A3300F"/>
    <w:rsid w:val="00A33192"/>
    <w:rsid w:val="00A41D55"/>
    <w:rsid w:val="00A436C8"/>
    <w:rsid w:val="00A47787"/>
    <w:rsid w:val="00A50E48"/>
    <w:rsid w:val="00A511B6"/>
    <w:rsid w:val="00A53537"/>
    <w:rsid w:val="00A54992"/>
    <w:rsid w:val="00A55DAB"/>
    <w:rsid w:val="00A62D4F"/>
    <w:rsid w:val="00A67D08"/>
    <w:rsid w:val="00A765D9"/>
    <w:rsid w:val="00A7707A"/>
    <w:rsid w:val="00A862E6"/>
    <w:rsid w:val="00A87EAB"/>
    <w:rsid w:val="00A960AA"/>
    <w:rsid w:val="00AA3CCF"/>
    <w:rsid w:val="00AA4252"/>
    <w:rsid w:val="00AB4900"/>
    <w:rsid w:val="00AB6C9E"/>
    <w:rsid w:val="00AB75A5"/>
    <w:rsid w:val="00AB7A59"/>
    <w:rsid w:val="00AC44B7"/>
    <w:rsid w:val="00AC4533"/>
    <w:rsid w:val="00AC6102"/>
    <w:rsid w:val="00AD1DC2"/>
    <w:rsid w:val="00AE60AF"/>
    <w:rsid w:val="00AF3BE0"/>
    <w:rsid w:val="00AF6A59"/>
    <w:rsid w:val="00B04311"/>
    <w:rsid w:val="00B1789A"/>
    <w:rsid w:val="00B20CC1"/>
    <w:rsid w:val="00B21323"/>
    <w:rsid w:val="00B22EDC"/>
    <w:rsid w:val="00B270C0"/>
    <w:rsid w:val="00B27555"/>
    <w:rsid w:val="00B30342"/>
    <w:rsid w:val="00B32805"/>
    <w:rsid w:val="00B33AF1"/>
    <w:rsid w:val="00B37040"/>
    <w:rsid w:val="00B379F2"/>
    <w:rsid w:val="00B41C4A"/>
    <w:rsid w:val="00B44D34"/>
    <w:rsid w:val="00B457EC"/>
    <w:rsid w:val="00B5561A"/>
    <w:rsid w:val="00B67D76"/>
    <w:rsid w:val="00B71D12"/>
    <w:rsid w:val="00B725E7"/>
    <w:rsid w:val="00B76891"/>
    <w:rsid w:val="00B832A7"/>
    <w:rsid w:val="00B85ED6"/>
    <w:rsid w:val="00BA3788"/>
    <w:rsid w:val="00BA7FCF"/>
    <w:rsid w:val="00BB3959"/>
    <w:rsid w:val="00BB3B7A"/>
    <w:rsid w:val="00BB6BAA"/>
    <w:rsid w:val="00BC19F0"/>
    <w:rsid w:val="00BD0B52"/>
    <w:rsid w:val="00BD4617"/>
    <w:rsid w:val="00BD58E7"/>
    <w:rsid w:val="00BE4808"/>
    <w:rsid w:val="00BE4DF5"/>
    <w:rsid w:val="00BE7DC4"/>
    <w:rsid w:val="00BF1974"/>
    <w:rsid w:val="00BF3D32"/>
    <w:rsid w:val="00C208D5"/>
    <w:rsid w:val="00C277CB"/>
    <w:rsid w:val="00C27857"/>
    <w:rsid w:val="00C30CA2"/>
    <w:rsid w:val="00C410C2"/>
    <w:rsid w:val="00C41ABB"/>
    <w:rsid w:val="00C520F1"/>
    <w:rsid w:val="00C52DDB"/>
    <w:rsid w:val="00C63D53"/>
    <w:rsid w:val="00C67C3C"/>
    <w:rsid w:val="00C71D46"/>
    <w:rsid w:val="00C71E1F"/>
    <w:rsid w:val="00C75CE4"/>
    <w:rsid w:val="00C8501E"/>
    <w:rsid w:val="00C94373"/>
    <w:rsid w:val="00C94C02"/>
    <w:rsid w:val="00CA11E3"/>
    <w:rsid w:val="00CA272D"/>
    <w:rsid w:val="00CB0EB8"/>
    <w:rsid w:val="00CB12AE"/>
    <w:rsid w:val="00CB6D17"/>
    <w:rsid w:val="00CC7138"/>
    <w:rsid w:val="00CD26BB"/>
    <w:rsid w:val="00CD70DD"/>
    <w:rsid w:val="00CE6A30"/>
    <w:rsid w:val="00CE7B85"/>
    <w:rsid w:val="00D0053C"/>
    <w:rsid w:val="00D03286"/>
    <w:rsid w:val="00D04684"/>
    <w:rsid w:val="00D1186B"/>
    <w:rsid w:val="00D15F49"/>
    <w:rsid w:val="00D23A8A"/>
    <w:rsid w:val="00D34C52"/>
    <w:rsid w:val="00D3561F"/>
    <w:rsid w:val="00D433AD"/>
    <w:rsid w:val="00D43665"/>
    <w:rsid w:val="00D44A2E"/>
    <w:rsid w:val="00D44E95"/>
    <w:rsid w:val="00D458A1"/>
    <w:rsid w:val="00D4697C"/>
    <w:rsid w:val="00D4769B"/>
    <w:rsid w:val="00D54853"/>
    <w:rsid w:val="00D560C7"/>
    <w:rsid w:val="00D56B33"/>
    <w:rsid w:val="00D57A02"/>
    <w:rsid w:val="00D71D99"/>
    <w:rsid w:val="00D72BE5"/>
    <w:rsid w:val="00D74BDF"/>
    <w:rsid w:val="00D768BE"/>
    <w:rsid w:val="00D76F48"/>
    <w:rsid w:val="00D833E4"/>
    <w:rsid w:val="00D939A7"/>
    <w:rsid w:val="00D96790"/>
    <w:rsid w:val="00DA0B5F"/>
    <w:rsid w:val="00DB1E22"/>
    <w:rsid w:val="00DB2BA0"/>
    <w:rsid w:val="00DC0311"/>
    <w:rsid w:val="00DC0BE2"/>
    <w:rsid w:val="00DC181B"/>
    <w:rsid w:val="00DC3D35"/>
    <w:rsid w:val="00DD06A8"/>
    <w:rsid w:val="00DD6008"/>
    <w:rsid w:val="00DD782A"/>
    <w:rsid w:val="00DE645C"/>
    <w:rsid w:val="00DF16E9"/>
    <w:rsid w:val="00DF26FE"/>
    <w:rsid w:val="00DF35E4"/>
    <w:rsid w:val="00DF5B83"/>
    <w:rsid w:val="00DF6856"/>
    <w:rsid w:val="00DF71FA"/>
    <w:rsid w:val="00E11AD8"/>
    <w:rsid w:val="00E13BF7"/>
    <w:rsid w:val="00E24393"/>
    <w:rsid w:val="00E25432"/>
    <w:rsid w:val="00E30310"/>
    <w:rsid w:val="00E31889"/>
    <w:rsid w:val="00E4030B"/>
    <w:rsid w:val="00E4432C"/>
    <w:rsid w:val="00E459A6"/>
    <w:rsid w:val="00E52397"/>
    <w:rsid w:val="00E546B6"/>
    <w:rsid w:val="00E6509B"/>
    <w:rsid w:val="00E66A77"/>
    <w:rsid w:val="00E736AE"/>
    <w:rsid w:val="00E73B53"/>
    <w:rsid w:val="00E7428A"/>
    <w:rsid w:val="00E756F0"/>
    <w:rsid w:val="00E80747"/>
    <w:rsid w:val="00E9494C"/>
    <w:rsid w:val="00EA175A"/>
    <w:rsid w:val="00EA2DFF"/>
    <w:rsid w:val="00EA55B5"/>
    <w:rsid w:val="00EA78D1"/>
    <w:rsid w:val="00EB1B4E"/>
    <w:rsid w:val="00EB220A"/>
    <w:rsid w:val="00EB76AC"/>
    <w:rsid w:val="00EC088D"/>
    <w:rsid w:val="00EC38A9"/>
    <w:rsid w:val="00EC46BB"/>
    <w:rsid w:val="00EC6858"/>
    <w:rsid w:val="00ED00D6"/>
    <w:rsid w:val="00ED4AD2"/>
    <w:rsid w:val="00EF18F6"/>
    <w:rsid w:val="00EF3E19"/>
    <w:rsid w:val="00EF48B0"/>
    <w:rsid w:val="00EF77E3"/>
    <w:rsid w:val="00F119C8"/>
    <w:rsid w:val="00F11FE6"/>
    <w:rsid w:val="00F14414"/>
    <w:rsid w:val="00F15931"/>
    <w:rsid w:val="00F164E2"/>
    <w:rsid w:val="00F16965"/>
    <w:rsid w:val="00F2195F"/>
    <w:rsid w:val="00F27321"/>
    <w:rsid w:val="00F359BB"/>
    <w:rsid w:val="00F41383"/>
    <w:rsid w:val="00F503E4"/>
    <w:rsid w:val="00F567E5"/>
    <w:rsid w:val="00F603BB"/>
    <w:rsid w:val="00F63739"/>
    <w:rsid w:val="00F70788"/>
    <w:rsid w:val="00F8663A"/>
    <w:rsid w:val="00F868A3"/>
    <w:rsid w:val="00FA0700"/>
    <w:rsid w:val="00FA0929"/>
    <w:rsid w:val="00FA28A4"/>
    <w:rsid w:val="00FB3545"/>
    <w:rsid w:val="00FB401C"/>
    <w:rsid w:val="00FB5435"/>
    <w:rsid w:val="00FB56C9"/>
    <w:rsid w:val="00FD090E"/>
    <w:rsid w:val="00FD2146"/>
    <w:rsid w:val="00FD61C0"/>
    <w:rsid w:val="00FD6447"/>
    <w:rsid w:val="00FE1118"/>
    <w:rsid w:val="00FF0756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06F35445"/>
  <w15:chartTrackingRefBased/>
  <w15:docId w15:val="{6B2F0420-91B1-449F-A73C-3125810B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- SwissTPH"/>
    <w:qFormat/>
    <w:rsid w:val="00094DB4"/>
    <w:pPr>
      <w:spacing w:line="264" w:lineRule="auto"/>
      <w:jc w:val="both"/>
    </w:pPr>
    <w:rPr>
      <w:color w:val="000000" w:themeColor="text1"/>
    </w:rPr>
  </w:style>
  <w:style w:type="paragraph" w:styleId="Heading1">
    <w:name w:val="heading 1"/>
    <w:aliases w:val="SwissTPH 1"/>
    <w:basedOn w:val="Normal"/>
    <w:next w:val="Normal"/>
    <w:link w:val="Heading1Char"/>
    <w:uiPriority w:val="9"/>
    <w:qFormat/>
    <w:rsid w:val="00CE6A30"/>
    <w:pPr>
      <w:keepNext/>
      <w:numPr>
        <w:numId w:val="12"/>
      </w:numPr>
      <w:spacing w:before="560" w:after="240"/>
      <w:jc w:val="left"/>
      <w:outlineLvl w:val="0"/>
    </w:pPr>
    <w:rPr>
      <w:rFonts w:ascii="Arial" w:eastAsia="Times New Roman" w:hAnsi="Arial" w:cs="Arial"/>
      <w:b/>
      <w:bCs/>
      <w:caps/>
      <w:color w:val="468AB2" w:themeColor="accent3"/>
      <w:kern w:val="32"/>
      <w:sz w:val="36"/>
      <w:szCs w:val="48"/>
      <w:lang w:val="en-GB" w:eastAsia="de-DE"/>
    </w:rPr>
  </w:style>
  <w:style w:type="paragraph" w:styleId="Heading2">
    <w:name w:val="heading 2"/>
    <w:aliases w:val="SwissTPH 2"/>
    <w:basedOn w:val="Normal"/>
    <w:next w:val="Normal"/>
    <w:link w:val="Heading2Char"/>
    <w:uiPriority w:val="9"/>
    <w:unhideWhenUsed/>
    <w:qFormat/>
    <w:rsid w:val="009E5603"/>
    <w:pPr>
      <w:keepNext/>
      <w:numPr>
        <w:ilvl w:val="1"/>
        <w:numId w:val="12"/>
      </w:numPr>
      <w:spacing w:before="480" w:after="240" w:line="240" w:lineRule="auto"/>
      <w:jc w:val="left"/>
      <w:outlineLvl w:val="1"/>
    </w:pPr>
    <w:rPr>
      <w:rFonts w:asciiTheme="majorHAnsi" w:eastAsiaTheme="majorEastAsia" w:hAnsiTheme="majorHAnsi" w:cstheme="majorBidi"/>
      <w:b/>
      <w:color w:val="468AB2" w:themeColor="accent3"/>
      <w:sz w:val="26"/>
      <w:szCs w:val="26"/>
    </w:rPr>
  </w:style>
  <w:style w:type="paragraph" w:styleId="Heading3">
    <w:name w:val="heading 3"/>
    <w:aliases w:val="SwissTPH 3"/>
    <w:basedOn w:val="Heading3-SwissTPH"/>
    <w:next w:val="Normal"/>
    <w:link w:val="Heading3Char"/>
    <w:autoRedefine/>
    <w:uiPriority w:val="9"/>
    <w:unhideWhenUsed/>
    <w:qFormat/>
    <w:rsid w:val="005E0274"/>
    <w:pPr>
      <w:spacing w:after="120" w:line="240" w:lineRule="auto"/>
      <w:jc w:val="left"/>
      <w:outlineLvl w:val="2"/>
    </w:pPr>
    <w:rPr>
      <w:lang w:eastAsia="de-DE"/>
    </w:rPr>
  </w:style>
  <w:style w:type="paragraph" w:styleId="Heading4">
    <w:name w:val="heading 4"/>
    <w:aliases w:val="SwissTPH 4"/>
    <w:basedOn w:val="Normal"/>
    <w:next w:val="Normal"/>
    <w:link w:val="Heading4Char"/>
    <w:uiPriority w:val="9"/>
    <w:unhideWhenUsed/>
    <w:qFormat/>
    <w:rsid w:val="00E13BF7"/>
    <w:pPr>
      <w:keepNext/>
      <w:keepLines/>
      <w:spacing w:before="40" w:after="12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BF322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89"/>
  </w:style>
  <w:style w:type="paragraph" w:styleId="Footer">
    <w:name w:val="footer"/>
    <w:basedOn w:val="Normal"/>
    <w:link w:val="FooterChar"/>
    <w:uiPriority w:val="99"/>
    <w:unhideWhenUsed/>
    <w:rsid w:val="00E3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89"/>
  </w:style>
  <w:style w:type="paragraph" w:styleId="NoSpacing">
    <w:name w:val="No Spacing"/>
    <w:aliases w:val="Client Ref (Cover) - SwissTPH"/>
    <w:basedOn w:val="Normal"/>
    <w:uiPriority w:val="1"/>
    <w:qFormat/>
    <w:rsid w:val="005A434B"/>
    <w:pPr>
      <w:spacing w:after="0"/>
      <w:ind w:left="720"/>
      <w:jc w:val="left"/>
    </w:pPr>
    <w:rPr>
      <w:rFonts w:cs="Arial"/>
      <w:i/>
      <w:iCs/>
      <w:sz w:val="24"/>
      <w:szCs w:val="24"/>
    </w:rPr>
  </w:style>
  <w:style w:type="paragraph" w:styleId="Title">
    <w:name w:val="Title"/>
    <w:aliases w:val="Title Document"/>
    <w:basedOn w:val="Normal"/>
    <w:next w:val="Normal"/>
    <w:link w:val="TitleChar"/>
    <w:uiPriority w:val="10"/>
    <w:qFormat/>
    <w:rsid w:val="00CE6A30"/>
    <w:pPr>
      <w:autoSpaceDE w:val="0"/>
      <w:autoSpaceDN w:val="0"/>
      <w:adjustRightInd w:val="0"/>
      <w:spacing w:before="560" w:after="240" w:line="240" w:lineRule="auto"/>
      <w:ind w:left="720"/>
      <w:jc w:val="left"/>
    </w:pPr>
    <w:rPr>
      <w:rFonts w:cs="Arial"/>
      <w:b/>
      <w:bCs/>
      <w:caps/>
      <w:color w:val="468AB2" w:themeColor="accent3"/>
      <w:sz w:val="56"/>
      <w:szCs w:val="56"/>
    </w:rPr>
  </w:style>
  <w:style w:type="character" w:customStyle="1" w:styleId="TitleChar">
    <w:name w:val="Title Char"/>
    <w:aliases w:val="Title Document Char"/>
    <w:basedOn w:val="DefaultParagraphFont"/>
    <w:link w:val="Title"/>
    <w:uiPriority w:val="10"/>
    <w:rsid w:val="00CE6A30"/>
    <w:rPr>
      <w:rFonts w:cs="Arial"/>
      <w:b/>
      <w:bCs/>
      <w:caps/>
      <w:color w:val="468AB2" w:themeColor="accent3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7F"/>
    <w:pPr>
      <w:autoSpaceDE w:val="0"/>
      <w:autoSpaceDN w:val="0"/>
      <w:adjustRightInd w:val="0"/>
      <w:spacing w:after="0" w:line="240" w:lineRule="auto"/>
      <w:ind w:left="720"/>
      <w:jc w:val="left"/>
    </w:pPr>
    <w:rPr>
      <w:rFonts w:cs="Arial"/>
      <w:color w:val="BF3227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B2F7F"/>
    <w:rPr>
      <w:rFonts w:cs="Arial"/>
      <w:color w:val="BF3227"/>
      <w:sz w:val="44"/>
      <w:szCs w:val="44"/>
    </w:rPr>
  </w:style>
  <w:style w:type="paragraph" w:customStyle="1" w:styleId="AuthorDetailCover-SwissTPH">
    <w:name w:val="Author Detail (Cover) - SwissTPH"/>
    <w:basedOn w:val="Normal"/>
    <w:link w:val="AuthorDetailCover-SwissTPHChar"/>
    <w:qFormat/>
    <w:rsid w:val="00E31889"/>
    <w:pPr>
      <w:autoSpaceDE w:val="0"/>
      <w:autoSpaceDN w:val="0"/>
      <w:adjustRightInd w:val="0"/>
      <w:spacing w:after="0"/>
      <w:ind w:left="720"/>
    </w:pPr>
    <w:rPr>
      <w:rFonts w:cs="Arial"/>
      <w:b/>
      <w:bCs/>
      <w:sz w:val="28"/>
      <w:szCs w:val="28"/>
    </w:rPr>
  </w:style>
  <w:style w:type="paragraph" w:customStyle="1" w:styleId="FooterFont-SwissTPH">
    <w:name w:val="Footer Font - SwissTPH"/>
    <w:basedOn w:val="Footer"/>
    <w:link w:val="FooterFont-SwissTPHChar"/>
    <w:qFormat/>
    <w:rsid w:val="00E31889"/>
    <w:rPr>
      <w:rFonts w:cs="Arial"/>
      <w:sz w:val="16"/>
      <w:szCs w:val="16"/>
    </w:rPr>
  </w:style>
  <w:style w:type="character" w:customStyle="1" w:styleId="AuthorDetailCover-SwissTPHChar">
    <w:name w:val="Author Detail (Cover) - SwissTPH Char"/>
    <w:basedOn w:val="DefaultParagraphFont"/>
    <w:link w:val="AuthorDetailCover-SwissTPH"/>
    <w:rsid w:val="00E31889"/>
    <w:rPr>
      <w:rFonts w:cs="Arial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aliases w:val="SwissTPH 1 Char"/>
    <w:basedOn w:val="DefaultParagraphFont"/>
    <w:link w:val="Heading1"/>
    <w:uiPriority w:val="9"/>
    <w:rsid w:val="00CE6A30"/>
    <w:rPr>
      <w:rFonts w:ascii="Arial" w:eastAsia="Times New Roman" w:hAnsi="Arial" w:cs="Arial"/>
      <w:b/>
      <w:bCs/>
      <w:caps/>
      <w:color w:val="468AB2" w:themeColor="accent3"/>
      <w:kern w:val="32"/>
      <w:sz w:val="36"/>
      <w:szCs w:val="48"/>
      <w:lang w:val="en-GB" w:eastAsia="de-DE"/>
    </w:rPr>
  </w:style>
  <w:style w:type="character" w:customStyle="1" w:styleId="FooterFont-SwissTPHChar">
    <w:name w:val="Footer Font - SwissTPH Char"/>
    <w:basedOn w:val="FooterChar"/>
    <w:link w:val="FooterFont-SwissTPH"/>
    <w:rsid w:val="00E31889"/>
    <w:rPr>
      <w:rFonts w:cs="Arial"/>
      <w:color w:val="000000" w:themeColor="text1"/>
      <w:sz w:val="16"/>
      <w:szCs w:val="16"/>
    </w:rPr>
  </w:style>
  <w:style w:type="table" w:customStyle="1" w:styleId="TableFront">
    <w:name w:val="Table Front"/>
    <w:basedOn w:val="TableNormal"/>
    <w:rsid w:val="00094DB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styleId="Hyperlink">
    <w:name w:val="Hyperlink"/>
    <w:basedOn w:val="DefaultParagraphFont"/>
    <w:uiPriority w:val="99"/>
    <w:rsid w:val="00094DB4"/>
    <w:rPr>
      <w:color w:val="0000FF"/>
      <w:u w:val="single"/>
    </w:rPr>
  </w:style>
  <w:style w:type="paragraph" w:customStyle="1" w:styleId="Normalnospaceafter">
    <w:name w:val="Normal (no space after)"/>
    <w:basedOn w:val="Normal"/>
    <w:uiPriority w:val="34"/>
    <w:rsid w:val="00094DB4"/>
    <w:pPr>
      <w:tabs>
        <w:tab w:val="left" w:pos="851"/>
      </w:tabs>
      <w:spacing w:after="0" w:line="240" w:lineRule="auto"/>
    </w:pPr>
    <w:rPr>
      <w:rFonts w:ascii="Arial" w:eastAsia="Times New Roman" w:hAnsi="Arial" w:cs="Times New Roman"/>
      <w:color w:val="auto"/>
      <w:lang w:val="en-GB" w:eastAsia="de-DE"/>
    </w:rPr>
  </w:style>
  <w:style w:type="paragraph" w:customStyle="1" w:styleId="Heading3-SwissTPH">
    <w:name w:val="Heading 3 - SwissTPH"/>
    <w:basedOn w:val="Normal"/>
    <w:next w:val="Heading3"/>
    <w:link w:val="Heading3-SwissTPHChar"/>
    <w:rsid w:val="00094DB4"/>
    <w:rPr>
      <w:b/>
      <w:bCs/>
      <w:color w:val="468AB2" w:themeColor="accent3"/>
      <w:sz w:val="24"/>
      <w:szCs w:val="24"/>
    </w:rPr>
  </w:style>
  <w:style w:type="table" w:customStyle="1" w:styleId="Table-OnlyGrid">
    <w:name w:val="Table-Only Grid"/>
    <w:basedOn w:val="TableNormal"/>
    <w:uiPriority w:val="99"/>
    <w:rsid w:val="00094DB4"/>
    <w:pPr>
      <w:spacing w:after="0" w:line="240" w:lineRule="auto"/>
    </w:pPr>
    <w:rPr>
      <w:lang w:val="en-GB"/>
    </w:rPr>
    <w:tblPr>
      <w:tblCellMar>
        <w:left w:w="0" w:type="dxa"/>
        <w:right w:w="0" w:type="dxa"/>
      </w:tblCellMar>
    </w:tblPr>
  </w:style>
  <w:style w:type="character" w:customStyle="1" w:styleId="Heading3Char">
    <w:name w:val="Heading 3 Char"/>
    <w:aliases w:val="SwissTPH 3 Char"/>
    <w:basedOn w:val="DefaultParagraphFont"/>
    <w:link w:val="Heading3"/>
    <w:uiPriority w:val="9"/>
    <w:rsid w:val="005E0274"/>
    <w:rPr>
      <w:b/>
      <w:bCs/>
      <w:color w:val="468AB2" w:themeColor="accent3"/>
      <w:sz w:val="24"/>
      <w:szCs w:val="24"/>
      <w:lang w:eastAsia="de-DE"/>
    </w:rPr>
  </w:style>
  <w:style w:type="character" w:customStyle="1" w:styleId="Heading3-SwissTPHChar">
    <w:name w:val="Heading 3 - SwissTPH Char"/>
    <w:basedOn w:val="DefaultParagraphFont"/>
    <w:link w:val="Heading3-SwissTPH"/>
    <w:rsid w:val="00094DB4"/>
    <w:rPr>
      <w:b/>
      <w:bCs/>
      <w:color w:val="468AB2" w:themeColor="accent3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73CC"/>
    <w:pPr>
      <w:numPr>
        <w:numId w:val="0"/>
      </w:numPr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40C2A"/>
    <w:pPr>
      <w:tabs>
        <w:tab w:val="left" w:pos="426"/>
        <w:tab w:val="right" w:leader="dot" w:pos="9344"/>
      </w:tabs>
      <w:spacing w:after="100"/>
    </w:pPr>
  </w:style>
  <w:style w:type="paragraph" w:customStyle="1" w:styleId="Heading1no">
    <w:name w:val="Heading 1 no #"/>
    <w:basedOn w:val="Heading1"/>
    <w:link w:val="Heading1noChar"/>
    <w:rsid w:val="00E736AE"/>
    <w:pPr>
      <w:spacing w:before="480" w:line="240" w:lineRule="auto"/>
      <w:ind w:left="709" w:hanging="709"/>
    </w:pPr>
    <w:rPr>
      <w:caps w:val="0"/>
    </w:rPr>
  </w:style>
  <w:style w:type="character" w:customStyle="1" w:styleId="Heading1noChar">
    <w:name w:val="Heading 1 no # Char"/>
    <w:basedOn w:val="Heading1Char"/>
    <w:link w:val="Heading1no"/>
    <w:rsid w:val="00E736AE"/>
    <w:rPr>
      <w:rFonts w:ascii="Arial" w:eastAsia="Times New Roman" w:hAnsi="Arial" w:cs="Arial"/>
      <w:b/>
      <w:bCs/>
      <w:caps w:val="0"/>
      <w:color w:val="468AB2" w:themeColor="accent3"/>
      <w:kern w:val="32"/>
      <w:sz w:val="36"/>
      <w:szCs w:val="48"/>
      <w:lang w:val="en-GB" w:eastAsia="de-DE"/>
    </w:rPr>
  </w:style>
  <w:style w:type="character" w:customStyle="1" w:styleId="Heading2Char">
    <w:name w:val="Heading 2 Char"/>
    <w:aliases w:val="SwissTPH 2 Char"/>
    <w:basedOn w:val="DefaultParagraphFont"/>
    <w:link w:val="Heading2"/>
    <w:uiPriority w:val="9"/>
    <w:rsid w:val="009E5603"/>
    <w:rPr>
      <w:rFonts w:asciiTheme="majorHAnsi" w:eastAsiaTheme="majorEastAsia" w:hAnsiTheme="majorHAnsi" w:cstheme="majorBidi"/>
      <w:b/>
      <w:color w:val="468AB2" w:themeColor="accent3"/>
      <w:sz w:val="26"/>
      <w:szCs w:val="26"/>
    </w:rPr>
  </w:style>
  <w:style w:type="character" w:customStyle="1" w:styleId="Heading4Char">
    <w:name w:val="Heading 4 Char"/>
    <w:aliases w:val="SwissTPH 4 Char"/>
    <w:basedOn w:val="DefaultParagraphFont"/>
    <w:link w:val="Heading4"/>
    <w:uiPriority w:val="9"/>
    <w:rsid w:val="00E13BF7"/>
    <w:rPr>
      <w:rFonts w:asciiTheme="majorHAnsi" w:eastAsiaTheme="majorEastAsia" w:hAnsiTheme="majorHAnsi" w:cstheme="majorBidi"/>
      <w:b/>
      <w:iCs/>
      <w:color w:val="BF3227" w:themeColor="accent2"/>
    </w:rPr>
  </w:style>
  <w:style w:type="paragraph" w:customStyle="1" w:styleId="NormalIndentLeft-Right">
    <w:name w:val="Normal Indent Left-Right"/>
    <w:basedOn w:val="NormalIndent"/>
    <w:link w:val="NormalIndentLeft-RightChar"/>
    <w:uiPriority w:val="34"/>
    <w:rsid w:val="00094DB4"/>
    <w:pPr>
      <w:tabs>
        <w:tab w:val="left" w:pos="851"/>
      </w:tabs>
      <w:spacing w:after="120" w:line="240" w:lineRule="auto"/>
      <w:ind w:right="851"/>
    </w:pPr>
    <w:rPr>
      <w:rFonts w:ascii="Arial" w:eastAsia="Times New Roman" w:hAnsi="Arial" w:cs="Times New Roman"/>
      <w:color w:val="auto"/>
      <w:lang w:val="en-GB" w:eastAsia="de-DE"/>
    </w:rPr>
  </w:style>
  <w:style w:type="paragraph" w:styleId="ListParagraph">
    <w:name w:val="List Paragraph"/>
    <w:basedOn w:val="Normal"/>
    <w:uiPriority w:val="34"/>
    <w:qFormat/>
    <w:rsid w:val="00094DB4"/>
    <w:pPr>
      <w:tabs>
        <w:tab w:val="left" w:pos="851"/>
      </w:tabs>
      <w:spacing w:after="120" w:line="240" w:lineRule="auto"/>
      <w:ind w:left="720"/>
      <w:contextualSpacing/>
    </w:pPr>
    <w:rPr>
      <w:rFonts w:ascii="Arial" w:eastAsia="Times New Roman" w:hAnsi="Arial" w:cs="Times New Roman"/>
      <w:color w:val="auto"/>
      <w:lang w:val="en-GB" w:eastAsia="de-DE"/>
    </w:rPr>
  </w:style>
  <w:style w:type="paragraph" w:styleId="NormalIndent">
    <w:name w:val="Normal Indent"/>
    <w:aliases w:val="Normal Indent - SwissTPH"/>
    <w:basedOn w:val="Normal"/>
    <w:link w:val="NormalIndentChar"/>
    <w:unhideWhenUsed/>
    <w:qFormat/>
    <w:rsid w:val="00F14414"/>
    <w:pPr>
      <w:ind w:left="851"/>
    </w:pPr>
  </w:style>
  <w:style w:type="table" w:styleId="TableGrid">
    <w:name w:val="Table Grid"/>
    <w:basedOn w:val="TableNormal"/>
    <w:rsid w:val="00531447"/>
    <w:pPr>
      <w:keepNext/>
      <w:keepLines/>
      <w:spacing w:before="100" w:beforeAutospacing="1" w:after="100" w:afterAutospacing="1" w:line="240" w:lineRule="auto"/>
      <w:ind w:left="57" w:right="85"/>
      <w:contextualSpacing/>
    </w:pPr>
    <w:rPr>
      <w:rFonts w:ascii="Arial" w:eastAsia="Batang" w:hAnsi="Arial" w:cs="Times New Roman"/>
      <w:szCs w:val="18"/>
      <w:lang w:val="en-GB" w:eastAsia="en-GB"/>
    </w:rPr>
    <w:tblPr>
      <w:tblInd w:w="57" w:type="dxa"/>
      <w:tblBorders>
        <w:top w:val="single" w:sz="4" w:space="0" w:color="468AB2" w:themeColor="accent3"/>
        <w:left w:val="single" w:sz="4" w:space="0" w:color="468AB2" w:themeColor="accent3"/>
        <w:bottom w:val="single" w:sz="4" w:space="0" w:color="468AB2" w:themeColor="accent3"/>
        <w:right w:val="single" w:sz="4" w:space="0" w:color="468AB2" w:themeColor="accent3"/>
        <w:insideH w:val="single" w:sz="4" w:space="0" w:color="468AB2" w:themeColor="accent3"/>
        <w:insideV w:val="single" w:sz="4" w:space="0" w:color="468AB2" w:themeColor="accent3"/>
      </w:tblBorders>
      <w:tblCellMar>
        <w:top w:w="85" w:type="dxa"/>
        <w:left w:w="28" w:type="dxa"/>
        <w:bottom w:w="57" w:type="dxa"/>
        <w:right w:w="0" w:type="dxa"/>
      </w:tblCellMar>
    </w:tblPr>
    <w:trPr>
      <w:cantSplit/>
    </w:trPr>
    <w:tcPr>
      <w:shd w:val="clear" w:color="auto" w:fill="FFFFFF"/>
    </w:tcPr>
    <w:tblStylePr w:type="firstRow">
      <w:pPr>
        <w:wordWrap/>
      </w:pPr>
      <w:rPr>
        <w:rFonts w:ascii="Arial" w:hAnsi="Arial"/>
        <w:b/>
        <w:sz w:val="22"/>
        <w:szCs w:val="20"/>
      </w:rPr>
      <w:tblPr/>
      <w:tcPr>
        <w:tcBorders>
          <w:top w:val="single" w:sz="4" w:space="0" w:color="468AB2" w:themeColor="accent3"/>
          <w:left w:val="single" w:sz="4" w:space="0" w:color="468AB2" w:themeColor="accent3"/>
          <w:bottom w:val="single" w:sz="4" w:space="0" w:color="468AB2" w:themeColor="accent3"/>
          <w:right w:val="single" w:sz="4" w:space="0" w:color="468AB2" w:themeColor="accent3"/>
          <w:insideH w:val="single" w:sz="4" w:space="0" w:color="468AB2" w:themeColor="accent3"/>
          <w:insideV w:val="single" w:sz="4" w:space="0" w:color="468AB2" w:themeColor="accent3"/>
          <w:tl2br w:val="nil"/>
          <w:tr2bl w:val="nil"/>
        </w:tcBorders>
        <w:shd w:val="clear" w:color="auto" w:fill="468AB2" w:themeFill="accent3"/>
      </w:tcPr>
    </w:tblStylePr>
  </w:style>
  <w:style w:type="paragraph" w:styleId="Caption">
    <w:name w:val="caption"/>
    <w:basedOn w:val="Normal"/>
    <w:next w:val="Normal"/>
    <w:link w:val="CaptionChar"/>
    <w:uiPriority w:val="35"/>
    <w:qFormat/>
    <w:rsid w:val="009E5603"/>
    <w:pPr>
      <w:tabs>
        <w:tab w:val="left" w:pos="851"/>
      </w:tabs>
      <w:spacing w:before="120" w:after="240" w:line="288" w:lineRule="auto"/>
      <w:jc w:val="left"/>
    </w:pPr>
    <w:rPr>
      <w:rFonts w:ascii="Arial" w:eastAsia="Times New Roman" w:hAnsi="Arial" w:cs="Times New Roman"/>
      <w:bCs/>
      <w:color w:val="auto"/>
      <w:sz w:val="20"/>
      <w:szCs w:val="20"/>
      <w:lang w:val="en-GB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3268BB"/>
    <w:pPr>
      <w:tabs>
        <w:tab w:val="left" w:pos="1560"/>
        <w:tab w:val="right" w:leader="dot" w:pos="9344"/>
      </w:tabs>
      <w:spacing w:after="100"/>
      <w:ind w:left="1560" w:hanging="709"/>
    </w:pPr>
  </w:style>
  <w:style w:type="paragraph" w:styleId="TOC2">
    <w:name w:val="toc 2"/>
    <w:basedOn w:val="Normal"/>
    <w:next w:val="Normal"/>
    <w:autoRedefine/>
    <w:uiPriority w:val="39"/>
    <w:unhideWhenUsed/>
    <w:rsid w:val="003268BB"/>
    <w:pPr>
      <w:tabs>
        <w:tab w:val="left" w:pos="993"/>
        <w:tab w:val="right" w:leader="dot" w:pos="9344"/>
      </w:tabs>
      <w:spacing w:after="100"/>
      <w:ind w:left="993" w:hanging="567"/>
      <w:jc w:val="left"/>
    </w:pPr>
  </w:style>
  <w:style w:type="paragraph" w:customStyle="1" w:styleId="BodyTextChartDetail-SwissTPH">
    <w:name w:val="Body Text (Chart Detail) - SwissTPH"/>
    <w:basedOn w:val="Normal"/>
    <w:link w:val="BodyTextChartDetail-SwissTPHChar"/>
    <w:qFormat/>
    <w:rsid w:val="003B2F7F"/>
    <w:pPr>
      <w:ind w:left="851"/>
      <w:jc w:val="left"/>
    </w:pPr>
  </w:style>
  <w:style w:type="paragraph" w:customStyle="1" w:styleId="SourceChart">
    <w:name w:val="Source Chart"/>
    <w:basedOn w:val="NormalIndentLeft-Right"/>
    <w:link w:val="SourceChartChar"/>
    <w:qFormat/>
    <w:rsid w:val="003B2F7F"/>
    <w:pPr>
      <w:jc w:val="left"/>
    </w:pPr>
    <w:rPr>
      <w:rFonts w:cs="Arial"/>
      <w:i/>
      <w:iCs/>
      <w:sz w:val="18"/>
      <w:szCs w:val="18"/>
    </w:rPr>
  </w:style>
  <w:style w:type="character" w:customStyle="1" w:styleId="BodyTextChartDetail-SwissTPHChar">
    <w:name w:val="Body Text (Chart Detail) - SwissTPH Char"/>
    <w:basedOn w:val="DefaultParagraphFont"/>
    <w:link w:val="BodyTextChartDetail-SwissTPH"/>
    <w:rsid w:val="003B2F7F"/>
    <w:rPr>
      <w:color w:val="000000" w:themeColor="text1"/>
    </w:rPr>
  </w:style>
  <w:style w:type="paragraph" w:customStyle="1" w:styleId="Picture">
    <w:name w:val="Picture"/>
    <w:basedOn w:val="Normal"/>
    <w:next w:val="Normal"/>
    <w:uiPriority w:val="35"/>
    <w:rsid w:val="00DF35E4"/>
    <w:pPr>
      <w:keepNext/>
      <w:tabs>
        <w:tab w:val="left" w:pos="851"/>
      </w:tabs>
      <w:spacing w:before="220" w:after="220" w:line="240" w:lineRule="auto"/>
    </w:pPr>
    <w:rPr>
      <w:rFonts w:ascii="Arial" w:eastAsia="Times New Roman" w:hAnsi="Arial" w:cs="Times New Roman"/>
      <w:color w:val="auto"/>
      <w:lang w:val="en-GB" w:eastAsia="de-DE"/>
    </w:rPr>
  </w:style>
  <w:style w:type="character" w:customStyle="1" w:styleId="NormalIndentChar">
    <w:name w:val="Normal Indent Char"/>
    <w:aliases w:val="Normal Indent - SwissTPH Char"/>
    <w:basedOn w:val="DefaultParagraphFont"/>
    <w:link w:val="NormalIndent"/>
    <w:rsid w:val="00F14414"/>
    <w:rPr>
      <w:color w:val="000000" w:themeColor="text1"/>
    </w:rPr>
  </w:style>
  <w:style w:type="character" w:customStyle="1" w:styleId="NormalIndentLeft-RightChar">
    <w:name w:val="Normal Indent Left-Right Char"/>
    <w:basedOn w:val="NormalIndentChar"/>
    <w:link w:val="NormalIndentLeft-Right"/>
    <w:uiPriority w:val="34"/>
    <w:rsid w:val="00531447"/>
    <w:rPr>
      <w:rFonts w:ascii="Arial" w:eastAsia="Times New Roman" w:hAnsi="Arial" w:cs="Times New Roman"/>
      <w:color w:val="000000" w:themeColor="text1"/>
      <w:lang w:val="en-GB" w:eastAsia="de-DE"/>
    </w:rPr>
  </w:style>
  <w:style w:type="character" w:customStyle="1" w:styleId="SourceChartChar">
    <w:name w:val="Source Chart Char"/>
    <w:basedOn w:val="NormalIndentLeft-RightChar"/>
    <w:link w:val="SourceChart"/>
    <w:rsid w:val="003B2F7F"/>
    <w:rPr>
      <w:rFonts w:ascii="Arial" w:eastAsia="Times New Roman" w:hAnsi="Arial" w:cs="Arial"/>
      <w:i/>
      <w:iCs/>
      <w:color w:val="000000" w:themeColor="text1"/>
      <w:sz w:val="18"/>
      <w:szCs w:val="18"/>
      <w:lang w:val="en-GB" w:eastAsia="de-DE"/>
    </w:rPr>
  </w:style>
  <w:style w:type="paragraph" w:customStyle="1" w:styleId="Boxtext">
    <w:name w:val="Box text"/>
    <w:basedOn w:val="Normal"/>
    <w:uiPriority w:val="98"/>
    <w:qFormat/>
    <w:rsid w:val="003B2F7F"/>
    <w:pPr>
      <w:framePr w:w="1701" w:h="1701" w:hSpace="142" w:wrap="around" w:vAnchor="text" w:hAnchor="page" w:x="1419" w:y="1"/>
      <w:tabs>
        <w:tab w:val="left" w:pos="851"/>
      </w:tabs>
      <w:spacing w:after="120" w:line="220" w:lineRule="atLeast"/>
      <w:jc w:val="left"/>
    </w:pPr>
    <w:rPr>
      <w:rFonts w:ascii="Arial" w:eastAsia="Times New Roman" w:hAnsi="Arial" w:cs="Times New Roman"/>
      <w:i/>
      <w:color w:val="auto"/>
      <w:sz w:val="15"/>
      <w:szCs w:val="15"/>
      <w:lang w:val="en-GB" w:eastAsia="de-DE"/>
    </w:rPr>
  </w:style>
  <w:style w:type="character" w:styleId="FootnoteReference">
    <w:name w:val="footnote reference"/>
    <w:basedOn w:val="DefaultParagraphFont"/>
    <w:semiHidden/>
    <w:rsid w:val="004873CC"/>
    <w:rPr>
      <w:rFonts w:ascii="Arial" w:hAnsi="Arial"/>
      <w:vertAlign w:val="superscript"/>
    </w:rPr>
  </w:style>
  <w:style w:type="paragraph" w:styleId="FootnoteText">
    <w:name w:val="footnote text"/>
    <w:basedOn w:val="Normal"/>
    <w:link w:val="FootnoteTextChar"/>
    <w:semiHidden/>
    <w:rsid w:val="004873CC"/>
    <w:pPr>
      <w:tabs>
        <w:tab w:val="left" w:pos="851"/>
      </w:tabs>
      <w:spacing w:after="120" w:line="240" w:lineRule="auto"/>
    </w:pPr>
    <w:rPr>
      <w:rFonts w:ascii="Arial" w:eastAsia="Times New Roman" w:hAnsi="Arial" w:cs="Times New Roman"/>
      <w:color w:val="auto"/>
      <w:sz w:val="16"/>
      <w:szCs w:val="20"/>
      <w:lang w:val="en-GB"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4873CC"/>
    <w:rPr>
      <w:rFonts w:ascii="Arial" w:eastAsia="Times New Roman" w:hAnsi="Arial" w:cs="Times New Roman"/>
      <w:sz w:val="16"/>
      <w:szCs w:val="20"/>
      <w:lang w:val="en-GB" w:eastAsia="de-DE"/>
    </w:rPr>
  </w:style>
  <w:style w:type="paragraph" w:customStyle="1" w:styleId="Normal-BulletedList-SwissTPH">
    <w:name w:val="Normal-Bulleted List - SwissTPH"/>
    <w:basedOn w:val="Normal-BulletedList"/>
    <w:autoRedefine/>
    <w:qFormat/>
    <w:rsid w:val="00E736AE"/>
    <w:pPr>
      <w:jc w:val="both"/>
    </w:pPr>
  </w:style>
  <w:style w:type="numbering" w:customStyle="1" w:styleId="NormalOutline">
    <w:name w:val="Normal Outline"/>
    <w:rsid w:val="004873CC"/>
    <w:pPr>
      <w:numPr>
        <w:numId w:val="6"/>
      </w:numPr>
    </w:pPr>
  </w:style>
  <w:style w:type="paragraph" w:customStyle="1" w:styleId="Equation">
    <w:name w:val="Equation"/>
    <w:basedOn w:val="Normal"/>
    <w:uiPriority w:val="35"/>
    <w:rsid w:val="004873CC"/>
    <w:pPr>
      <w:numPr>
        <w:numId w:val="7"/>
      </w:numPr>
      <w:tabs>
        <w:tab w:val="clear" w:pos="567"/>
        <w:tab w:val="left" w:pos="851"/>
      </w:tabs>
      <w:spacing w:after="120" w:line="240" w:lineRule="auto"/>
      <w:ind w:left="1702" w:hanging="851"/>
    </w:pPr>
    <w:rPr>
      <w:rFonts w:ascii="Arial" w:eastAsia="Times New Roman" w:hAnsi="Arial" w:cs="Times New Roman"/>
      <w:color w:val="auto"/>
      <w:lang w:val="en-GB" w:eastAsia="de-DE"/>
    </w:rPr>
  </w:style>
  <w:style w:type="paragraph" w:customStyle="1" w:styleId="Normal-NumberedList-SwissTPH">
    <w:name w:val="Normal-Numbered List - SwissTPH"/>
    <w:basedOn w:val="Normal"/>
    <w:qFormat/>
    <w:rsid w:val="00E736AE"/>
    <w:pPr>
      <w:numPr>
        <w:numId w:val="6"/>
      </w:numPr>
      <w:tabs>
        <w:tab w:val="left" w:pos="851"/>
      </w:tabs>
      <w:spacing w:after="120" w:line="240" w:lineRule="auto"/>
    </w:pPr>
    <w:rPr>
      <w:rFonts w:ascii="Arial" w:eastAsia="Times New Roman" w:hAnsi="Arial" w:cs="Times New Roman"/>
      <w:color w:val="auto"/>
      <w:lang w:val="en-GB" w:eastAsia="de-DE"/>
    </w:rPr>
  </w:style>
  <w:style w:type="numbering" w:customStyle="1" w:styleId="NormalBulletDefinition">
    <w:name w:val="Normal Bullet Definition"/>
    <w:uiPriority w:val="99"/>
    <w:rsid w:val="004873CC"/>
    <w:pPr>
      <w:numPr>
        <w:numId w:val="11"/>
      </w:numPr>
    </w:pPr>
  </w:style>
  <w:style w:type="paragraph" w:customStyle="1" w:styleId="AppendixHeading1">
    <w:name w:val="Appendix Heading 1"/>
    <w:basedOn w:val="Heading1"/>
    <w:next w:val="Normal"/>
    <w:uiPriority w:val="12"/>
    <w:qFormat/>
    <w:rsid w:val="006D60EC"/>
    <w:pPr>
      <w:numPr>
        <w:numId w:val="13"/>
      </w:numPr>
      <w:ind w:left="850" w:hanging="850"/>
    </w:pPr>
    <w:rPr>
      <w:caps w:val="0"/>
    </w:rPr>
  </w:style>
  <w:style w:type="paragraph" w:customStyle="1" w:styleId="AppendixHeading2">
    <w:name w:val="Appendix Heading 2"/>
    <w:basedOn w:val="Heading2"/>
    <w:next w:val="Normal"/>
    <w:uiPriority w:val="12"/>
    <w:qFormat/>
    <w:rsid w:val="006D60EC"/>
    <w:pPr>
      <w:numPr>
        <w:numId w:val="13"/>
      </w:numPr>
    </w:pPr>
    <w:rPr>
      <w:rFonts w:ascii="Arial" w:eastAsiaTheme="minorHAnsi" w:hAnsi="Arial" w:cs="Arial"/>
      <w:bCs/>
      <w:iCs/>
      <w:sz w:val="28"/>
      <w:szCs w:val="40"/>
    </w:rPr>
  </w:style>
  <w:style w:type="paragraph" w:customStyle="1" w:styleId="AppendixHeading3">
    <w:name w:val="Appendix Heading 3"/>
    <w:basedOn w:val="Heading3"/>
    <w:next w:val="Normal"/>
    <w:uiPriority w:val="12"/>
    <w:qFormat/>
    <w:rsid w:val="006D60EC"/>
    <w:pPr>
      <w:keepNext/>
      <w:spacing w:before="360"/>
      <w:ind w:left="4991" w:hanging="851"/>
    </w:pPr>
    <w:rPr>
      <w:rFonts w:ascii="Arial" w:eastAsia="Times New Roman" w:hAnsi="Arial" w:cs="Arial"/>
      <w:szCs w:val="32"/>
      <w:lang w:val="en-GB"/>
    </w:rPr>
  </w:style>
  <w:style w:type="numbering" w:customStyle="1" w:styleId="HeadingsAppendix">
    <w:name w:val="Headings Appendix"/>
    <w:uiPriority w:val="99"/>
    <w:rsid w:val="006D60EC"/>
    <w:pPr>
      <w:numPr>
        <w:numId w:val="14"/>
      </w:numPr>
    </w:pPr>
  </w:style>
  <w:style w:type="paragraph" w:customStyle="1" w:styleId="Normal-NumberedList">
    <w:name w:val="Normal-Numbered List"/>
    <w:basedOn w:val="Normal"/>
    <w:qFormat/>
    <w:rsid w:val="006D60EC"/>
    <w:pPr>
      <w:tabs>
        <w:tab w:val="left" w:pos="851"/>
        <w:tab w:val="num" w:pos="1276"/>
      </w:tabs>
      <w:spacing w:after="120" w:line="240" w:lineRule="auto"/>
      <w:ind w:left="1276" w:hanging="425"/>
      <w:jc w:val="left"/>
    </w:pPr>
    <w:rPr>
      <w:rFonts w:ascii="Arial" w:eastAsia="Times New Roman" w:hAnsi="Arial" w:cs="Times New Roman"/>
      <w:color w:val="auto"/>
      <w:lang w:val="en-GB" w:eastAsia="de-DE"/>
    </w:rPr>
  </w:style>
  <w:style w:type="paragraph" w:customStyle="1" w:styleId="References">
    <w:name w:val="References"/>
    <w:basedOn w:val="Normal"/>
    <w:uiPriority w:val="98"/>
    <w:qFormat/>
    <w:rsid w:val="006D60EC"/>
    <w:pPr>
      <w:tabs>
        <w:tab w:val="left" w:pos="851"/>
      </w:tabs>
      <w:spacing w:after="120" w:line="240" w:lineRule="auto"/>
      <w:jc w:val="left"/>
    </w:pPr>
    <w:rPr>
      <w:rFonts w:ascii="Arial" w:eastAsia="Times New Roman" w:hAnsi="Arial" w:cs="Times New Roman"/>
      <w:color w:val="auto"/>
      <w:lang w:val="en-GB" w:eastAsia="de-DE"/>
    </w:rPr>
  </w:style>
  <w:style w:type="paragraph" w:customStyle="1" w:styleId="Normal-Indent-BulletedList-SwissTPH">
    <w:name w:val="Normal-Indent-Bulleted List - SwissTPH"/>
    <w:basedOn w:val="Normal-BulletedList"/>
    <w:autoRedefine/>
    <w:qFormat/>
    <w:rsid w:val="00056798"/>
    <w:pPr>
      <w:numPr>
        <w:numId w:val="26"/>
      </w:numPr>
    </w:pPr>
  </w:style>
  <w:style w:type="paragraph" w:customStyle="1" w:styleId="Heading1Appendix">
    <w:name w:val="Heading 1 Appendix"/>
    <w:basedOn w:val="Heading1"/>
    <w:next w:val="Normal"/>
    <w:uiPriority w:val="12"/>
    <w:rsid w:val="00F14414"/>
    <w:pPr>
      <w:numPr>
        <w:numId w:val="0"/>
      </w:numPr>
      <w:ind w:left="850" w:hanging="850"/>
    </w:pPr>
    <w:rPr>
      <w:caps w:val="0"/>
    </w:rPr>
  </w:style>
  <w:style w:type="paragraph" w:customStyle="1" w:styleId="Heading2Appendix">
    <w:name w:val="Heading 2 Appendix"/>
    <w:basedOn w:val="Heading2"/>
    <w:next w:val="Normal"/>
    <w:uiPriority w:val="12"/>
    <w:rsid w:val="00F14414"/>
    <w:pPr>
      <w:numPr>
        <w:ilvl w:val="0"/>
        <w:numId w:val="0"/>
      </w:numPr>
      <w:tabs>
        <w:tab w:val="num" w:pos="851"/>
      </w:tabs>
      <w:ind w:left="851" w:hanging="851"/>
    </w:pPr>
    <w:rPr>
      <w:rFonts w:ascii="Arial" w:eastAsiaTheme="minorHAnsi" w:hAnsi="Arial" w:cs="Arial"/>
      <w:bCs/>
      <w:iCs/>
      <w:sz w:val="28"/>
      <w:szCs w:val="40"/>
    </w:rPr>
  </w:style>
  <w:style w:type="character" w:styleId="Strong">
    <w:name w:val="Strong"/>
    <w:basedOn w:val="DefaultParagraphFont"/>
    <w:uiPriority w:val="1"/>
    <w:rsid w:val="00F14414"/>
    <w:rPr>
      <w:b/>
      <w:bCs/>
    </w:rPr>
  </w:style>
  <w:style w:type="paragraph" w:customStyle="1" w:styleId="Normal-BulletedList">
    <w:name w:val="Normal-Bulleted List"/>
    <w:basedOn w:val="Normal"/>
    <w:autoRedefine/>
    <w:qFormat/>
    <w:rsid w:val="00755F4F"/>
    <w:pPr>
      <w:spacing w:after="120" w:line="240" w:lineRule="auto"/>
      <w:ind w:left="284" w:hanging="284"/>
      <w:jc w:val="left"/>
    </w:pPr>
    <w:rPr>
      <w:rFonts w:ascii="Arial" w:eastAsia="Times New Roman" w:hAnsi="Arial" w:cs="Times New Roman"/>
      <w:lang w:val="en-GB" w:eastAsia="de-DE"/>
    </w:rPr>
  </w:style>
  <w:style w:type="paragraph" w:customStyle="1" w:styleId="Heading3Appendix">
    <w:name w:val="Heading 3 Appendix"/>
    <w:basedOn w:val="Heading3"/>
    <w:next w:val="Normal"/>
    <w:uiPriority w:val="12"/>
    <w:rsid w:val="00F14414"/>
    <w:pPr>
      <w:keepNext/>
      <w:tabs>
        <w:tab w:val="num" w:pos="851"/>
      </w:tabs>
      <w:spacing w:before="360"/>
      <w:ind w:left="851" w:hanging="851"/>
    </w:pPr>
    <w:rPr>
      <w:rFonts w:ascii="Arial" w:eastAsia="Times New Roman" w:hAnsi="Arial" w:cs="Arial"/>
      <w:szCs w:val="32"/>
      <w:lang w:val="en-GB"/>
    </w:rPr>
  </w:style>
  <w:style w:type="paragraph" w:customStyle="1" w:styleId="Instructions">
    <w:name w:val="Instructions"/>
    <w:basedOn w:val="Normal"/>
    <w:rsid w:val="00747CBB"/>
    <w:pPr>
      <w:tabs>
        <w:tab w:val="left" w:pos="284"/>
      </w:tabs>
      <w:spacing w:before="40" w:after="40" w:line="240" w:lineRule="auto"/>
      <w:ind w:left="284" w:hanging="284"/>
      <w:jc w:val="left"/>
    </w:pPr>
    <w:rPr>
      <w:rFonts w:ascii="Arial" w:eastAsia="Times New Roman" w:hAnsi="Arial" w:cs="Times New Roman"/>
      <w:color w:val="auto"/>
      <w:sz w:val="18"/>
      <w:lang w:val="en-GB" w:eastAsia="de-DE"/>
    </w:rPr>
  </w:style>
  <w:style w:type="paragraph" w:customStyle="1" w:styleId="Description-SwissTPH">
    <w:name w:val="Description - SwissTPH"/>
    <w:basedOn w:val="Normal"/>
    <w:qFormat/>
    <w:rsid w:val="00747CBB"/>
    <w:pPr>
      <w:tabs>
        <w:tab w:val="left" w:pos="1531"/>
      </w:tabs>
      <w:spacing w:before="40" w:after="40" w:line="240" w:lineRule="auto"/>
      <w:ind w:left="1531" w:hanging="1531"/>
      <w:jc w:val="left"/>
    </w:pPr>
    <w:rPr>
      <w:rFonts w:ascii="Arial" w:eastAsia="Times New Roman" w:hAnsi="Arial" w:cs="Times New Roman"/>
      <w:color w:val="auto"/>
      <w:sz w:val="18"/>
      <w:lang w:val="en-GB" w:eastAsia="de-DE"/>
    </w:rPr>
  </w:style>
  <w:style w:type="paragraph" w:customStyle="1" w:styleId="TOC-Headline1Style-SwissTPH">
    <w:name w:val="TOC - Headline 1 Style - SwissTPH"/>
    <w:basedOn w:val="TOC1"/>
    <w:link w:val="TOC-Headline1Style-SwissTPHChar"/>
    <w:qFormat/>
    <w:rsid w:val="00003A7A"/>
    <w:pPr>
      <w:tabs>
        <w:tab w:val="clear" w:pos="426"/>
        <w:tab w:val="left" w:pos="440"/>
      </w:tabs>
    </w:pPr>
    <w:rPr>
      <w:b/>
      <w:noProof/>
    </w:rPr>
  </w:style>
  <w:style w:type="paragraph" w:customStyle="1" w:styleId="Table-Header">
    <w:name w:val="Table - Header"/>
    <w:basedOn w:val="Normal"/>
    <w:link w:val="Table-HeaderChar"/>
    <w:qFormat/>
    <w:rsid w:val="00003A7A"/>
    <w:pPr>
      <w:keepNext/>
      <w:keepLines/>
      <w:spacing w:before="100" w:beforeAutospacing="1" w:after="100" w:afterAutospacing="1"/>
      <w:ind w:left="57" w:right="85"/>
      <w:contextualSpacing/>
    </w:pPr>
    <w:rPr>
      <w:rFonts w:ascii="Arial" w:eastAsia="Batang" w:hAnsi="Arial" w:cs="Times New Roman"/>
      <w:b/>
      <w:color w:val="EFEFF0" w:themeColor="background1"/>
      <w:szCs w:val="20"/>
      <w:lang w:val="en-GB" w:eastAsia="en-GB"/>
    </w:rPr>
  </w:style>
  <w:style w:type="character" w:customStyle="1" w:styleId="TOC1Char">
    <w:name w:val="TOC 1 Char"/>
    <w:basedOn w:val="DefaultParagraphFont"/>
    <w:link w:val="TOC1"/>
    <w:uiPriority w:val="39"/>
    <w:rsid w:val="00540C2A"/>
    <w:rPr>
      <w:color w:val="000000" w:themeColor="text1"/>
    </w:rPr>
  </w:style>
  <w:style w:type="character" w:customStyle="1" w:styleId="TOC-Headline1Style-SwissTPHChar">
    <w:name w:val="TOC - Headline 1 Style - SwissTPH Char"/>
    <w:basedOn w:val="TOC1Char"/>
    <w:link w:val="TOC-Headline1Style-SwissTPH"/>
    <w:rsid w:val="00003A7A"/>
    <w:rPr>
      <w:b/>
      <w:noProof/>
      <w:color w:val="000000" w:themeColor="text1"/>
    </w:rPr>
  </w:style>
  <w:style w:type="character" w:customStyle="1" w:styleId="Table-HeaderChar">
    <w:name w:val="Table - Header Char"/>
    <w:basedOn w:val="DefaultParagraphFont"/>
    <w:link w:val="Table-Header"/>
    <w:rsid w:val="00003A7A"/>
    <w:rPr>
      <w:rFonts w:ascii="Arial" w:eastAsia="Batang" w:hAnsi="Arial" w:cs="Times New Roman"/>
      <w:b/>
      <w:color w:val="EFEFF0" w:themeColor="background1"/>
      <w:szCs w:val="20"/>
      <w:lang w:val="en-GB" w:eastAsia="en-GB"/>
    </w:rPr>
  </w:style>
  <w:style w:type="paragraph" w:customStyle="1" w:styleId="Plain-Heading1-SwissTPH">
    <w:name w:val="Plain - Heading 1 - SwissTPH"/>
    <w:basedOn w:val="Heading1"/>
    <w:link w:val="Plain-Heading1-SwissTPHChar"/>
    <w:qFormat/>
    <w:rsid w:val="00382A3E"/>
    <w:pPr>
      <w:numPr>
        <w:numId w:val="0"/>
      </w:numPr>
    </w:pPr>
  </w:style>
  <w:style w:type="paragraph" w:customStyle="1" w:styleId="Plain-Heading2-SwissTPH">
    <w:name w:val="Plain - Heading 2 - SwissTPH"/>
    <w:basedOn w:val="Heading2"/>
    <w:link w:val="Plain-Heading2-SwissTPHChar"/>
    <w:qFormat/>
    <w:rsid w:val="00382A3E"/>
    <w:pPr>
      <w:numPr>
        <w:ilvl w:val="0"/>
        <w:numId w:val="0"/>
      </w:numPr>
    </w:pPr>
    <w:rPr>
      <w:lang w:val="en-GB" w:eastAsia="de-DE"/>
    </w:rPr>
  </w:style>
  <w:style w:type="character" w:customStyle="1" w:styleId="Plain-Heading1-SwissTPHChar">
    <w:name w:val="Plain - Heading 1 - SwissTPH Char"/>
    <w:basedOn w:val="Heading1Char"/>
    <w:link w:val="Plain-Heading1-SwissTPH"/>
    <w:rsid w:val="00382A3E"/>
    <w:rPr>
      <w:rFonts w:ascii="Arial" w:eastAsia="Times New Roman" w:hAnsi="Arial" w:cs="Arial"/>
      <w:b/>
      <w:bCs/>
      <w:caps/>
      <w:color w:val="468AB2" w:themeColor="accent3"/>
      <w:kern w:val="32"/>
      <w:sz w:val="36"/>
      <w:szCs w:val="48"/>
      <w:lang w:val="en-GB" w:eastAsia="de-DE"/>
    </w:rPr>
  </w:style>
  <w:style w:type="paragraph" w:customStyle="1" w:styleId="Plain-Heading3-SwissTPH">
    <w:name w:val="Plain - Heading 3 - SwissTPH"/>
    <w:basedOn w:val="Heading3"/>
    <w:link w:val="Plain-Heading3-SwissTPHChar"/>
    <w:qFormat/>
    <w:rsid w:val="00382A3E"/>
  </w:style>
  <w:style w:type="character" w:customStyle="1" w:styleId="Plain-Heading2-SwissTPHChar">
    <w:name w:val="Plain - Heading 2 - SwissTPH Char"/>
    <w:basedOn w:val="Heading2Char"/>
    <w:link w:val="Plain-Heading2-SwissTPH"/>
    <w:rsid w:val="00382A3E"/>
    <w:rPr>
      <w:rFonts w:asciiTheme="majorHAnsi" w:eastAsiaTheme="majorEastAsia" w:hAnsiTheme="majorHAnsi" w:cstheme="majorBidi"/>
      <w:b/>
      <w:color w:val="468AB2" w:themeColor="accent3"/>
      <w:sz w:val="26"/>
      <w:szCs w:val="26"/>
      <w:lang w:val="en-GB" w:eastAsia="de-DE"/>
    </w:rPr>
  </w:style>
  <w:style w:type="character" w:customStyle="1" w:styleId="Plain-Heading3-SwissTPHChar">
    <w:name w:val="Plain - Heading 3 - SwissTPH Char"/>
    <w:basedOn w:val="Heading3Char"/>
    <w:link w:val="Plain-Heading3-SwissTPH"/>
    <w:rsid w:val="00382A3E"/>
    <w:rPr>
      <w:b/>
      <w:bCs/>
      <w:color w:val="468AB2" w:themeColor="accent3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E6"/>
    <w:rPr>
      <w:rFonts w:ascii="Segoe UI" w:hAnsi="Segoe UI" w:cs="Segoe UI"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6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6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61C0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1C0"/>
    <w:rPr>
      <w:b/>
      <w:bCs/>
      <w:color w:val="000000" w:themeColor="text1"/>
      <w:sz w:val="20"/>
      <w:szCs w:val="20"/>
    </w:rPr>
  </w:style>
  <w:style w:type="paragraph" w:customStyle="1" w:styleId="TableFigure">
    <w:name w:val="Table/Figure"/>
    <w:basedOn w:val="Caption"/>
    <w:link w:val="TableFigureChar"/>
    <w:qFormat/>
    <w:rsid w:val="009A085D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9A085D"/>
    <w:rPr>
      <w:rFonts w:ascii="Arial" w:eastAsia="Times New Roman" w:hAnsi="Arial" w:cs="Times New Roman"/>
      <w:bCs/>
      <w:sz w:val="20"/>
      <w:szCs w:val="20"/>
      <w:lang w:val="en-GB" w:eastAsia="de-DE"/>
    </w:rPr>
  </w:style>
  <w:style w:type="character" w:customStyle="1" w:styleId="TableFigureChar">
    <w:name w:val="Table/Figure Char"/>
    <w:basedOn w:val="CaptionChar"/>
    <w:link w:val="TableFigure"/>
    <w:rsid w:val="009A085D"/>
    <w:rPr>
      <w:rFonts w:ascii="Arial" w:eastAsia="Times New Roman" w:hAnsi="Arial" w:cs="Times New Roman"/>
      <w:bCs/>
      <w:i/>
      <w:sz w:val="20"/>
      <w:szCs w:val="20"/>
      <w:lang w:val="en-GB" w:eastAsia="de-DE"/>
    </w:rPr>
  </w:style>
  <w:style w:type="paragraph" w:customStyle="1" w:styleId="TableBullets">
    <w:name w:val="Table Bullets"/>
    <w:basedOn w:val="Normal"/>
    <w:link w:val="TableBulletsChar"/>
    <w:qFormat/>
    <w:rsid w:val="00E25432"/>
    <w:pPr>
      <w:widowControl w:val="0"/>
      <w:numPr>
        <w:numId w:val="35"/>
      </w:numPr>
      <w:tabs>
        <w:tab w:val="left" w:pos="372"/>
      </w:tabs>
      <w:autoSpaceDE w:val="0"/>
      <w:autoSpaceDN w:val="0"/>
      <w:spacing w:before="120" w:after="120" w:line="240" w:lineRule="auto"/>
      <w:ind w:right="142"/>
      <w:jc w:val="left"/>
    </w:pPr>
    <w:rPr>
      <w:rFonts w:ascii="Arial" w:eastAsia="Arial" w:hAnsi="Arial" w:cs="Arial"/>
      <w:color w:val="auto"/>
      <w:sz w:val="18"/>
    </w:rPr>
  </w:style>
  <w:style w:type="character" w:customStyle="1" w:styleId="TableBulletsChar">
    <w:name w:val="Table Bullets Char"/>
    <w:basedOn w:val="DefaultParagraphFont"/>
    <w:link w:val="TableBullets"/>
    <w:rsid w:val="00E25432"/>
    <w:rPr>
      <w:rFonts w:ascii="Arial" w:eastAsia="Arial" w:hAnsi="Arial" w:cs="Arial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295F"/>
    <w:rPr>
      <w:color w:val="7FB9C8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62E6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5A14A4"/>
    <w:pPr>
      <w:spacing w:after="0"/>
      <w:jc w:val="center"/>
    </w:pPr>
    <w:rPr>
      <w:rFonts w:ascii="Arial" w:hAnsi="Arial" w:cs="Arial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14A4"/>
    <w:rPr>
      <w:rFonts w:ascii="Arial" w:hAnsi="Arial" w:cs="Arial"/>
      <w:noProof/>
      <w:color w:val="000000" w:themeColor="text1"/>
      <w:sz w:val="20"/>
    </w:rPr>
  </w:style>
  <w:style w:type="paragraph" w:customStyle="1" w:styleId="EndNoteBibliography">
    <w:name w:val="EndNote Bibliography"/>
    <w:basedOn w:val="Normal"/>
    <w:link w:val="EndNoteBibliographyChar"/>
    <w:rsid w:val="005A14A4"/>
    <w:pPr>
      <w:spacing w:line="240" w:lineRule="auto"/>
      <w:jc w:val="left"/>
    </w:pPr>
    <w:rPr>
      <w:rFonts w:ascii="Arial" w:hAnsi="Arial" w:cs="Arial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5A14A4"/>
    <w:rPr>
      <w:rFonts w:ascii="Arial" w:hAnsi="Arial" w:cs="Arial"/>
      <w:noProof/>
      <w:color w:val="000000" w:themeColor="text1"/>
      <w:sz w:val="20"/>
    </w:rPr>
  </w:style>
  <w:style w:type="table" w:styleId="PlainTable1">
    <w:name w:val="Plain Table 1"/>
    <w:basedOn w:val="TableNormal"/>
    <w:uiPriority w:val="41"/>
    <w:rsid w:val="00CD26BB"/>
    <w:pPr>
      <w:spacing w:after="0" w:line="240" w:lineRule="auto"/>
    </w:pPr>
    <w:tblPr>
      <w:tblStyleRowBandSize w:val="1"/>
      <w:tblStyleColBandSize w:val="1"/>
      <w:tblBorders>
        <w:top w:val="single" w:sz="4" w:space="0" w:color="B0B0B5" w:themeColor="background1" w:themeShade="BF"/>
        <w:left w:val="single" w:sz="4" w:space="0" w:color="B0B0B5" w:themeColor="background1" w:themeShade="BF"/>
        <w:bottom w:val="single" w:sz="4" w:space="0" w:color="B0B0B5" w:themeColor="background1" w:themeShade="BF"/>
        <w:right w:val="single" w:sz="4" w:space="0" w:color="B0B0B5" w:themeColor="background1" w:themeShade="BF"/>
        <w:insideH w:val="single" w:sz="4" w:space="0" w:color="B0B0B5" w:themeColor="background1" w:themeShade="BF"/>
        <w:insideV w:val="single" w:sz="4" w:space="0" w:color="B0B0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0B0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4" w:themeFill="background1" w:themeFillShade="F2"/>
      </w:tcPr>
    </w:tblStylePr>
    <w:tblStylePr w:type="band1Horz">
      <w:tblPr/>
      <w:tcPr>
        <w:shd w:val="clear" w:color="auto" w:fill="E2E2E4" w:themeFill="background1" w:themeFillShade="F2"/>
      </w:tcPr>
    </w:tblStylePr>
  </w:style>
  <w:style w:type="character" w:customStyle="1" w:styleId="docsum-authors">
    <w:name w:val="docsum-authors"/>
    <w:basedOn w:val="DefaultParagraphFont"/>
    <w:rsid w:val="00D433AD"/>
  </w:style>
  <w:style w:type="character" w:customStyle="1" w:styleId="docsum-journal-citation">
    <w:name w:val="docsum-journal-citation"/>
    <w:basedOn w:val="DefaultParagraphFont"/>
    <w:rsid w:val="00D433AD"/>
  </w:style>
  <w:style w:type="character" w:customStyle="1" w:styleId="citation-part">
    <w:name w:val="citation-part"/>
    <w:basedOn w:val="DefaultParagraphFont"/>
    <w:rsid w:val="00D433AD"/>
  </w:style>
  <w:style w:type="character" w:customStyle="1" w:styleId="docsum-pmid">
    <w:name w:val="docsum-pmid"/>
    <w:basedOn w:val="DefaultParagraphFont"/>
    <w:rsid w:val="00D433AD"/>
  </w:style>
  <w:style w:type="paragraph" w:customStyle="1" w:styleId="Default">
    <w:name w:val="Default"/>
    <w:rsid w:val="00C208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B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BD1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2BD1"/>
    <w:rPr>
      <w:vertAlign w:val="superscript"/>
    </w:rPr>
  </w:style>
  <w:style w:type="paragraph" w:styleId="Revision">
    <w:name w:val="Revision"/>
    <w:hidden/>
    <w:uiPriority w:val="99"/>
    <w:semiHidden/>
    <w:rsid w:val="00B21323"/>
    <w:pPr>
      <w:spacing w:after="0" w:line="240" w:lineRule="auto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3085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" TargetMode="External"/><Relationship Id="rId18" Type="http://schemas.openxmlformats.org/officeDocument/2006/relationships/oleObject" Target="embeddings/oleObject1.bin"/><Relationship Id="rId26" Type="http://schemas.openxmlformats.org/officeDocument/2006/relationships/package" Target="embeddings/Microsoft_Excel-Arbeitsblatt1.xls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emf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package" Target="embeddings/Microsoft_Excel-Arbeitsblatt.xlsx"/><Relationship Id="rId32" Type="http://schemas.openxmlformats.org/officeDocument/2006/relationships/oleObject" Target="embeddings/oleObject2.bin"/><Relationship Id="rId37" Type="http://schemas.openxmlformats.org/officeDocument/2006/relationships/theme" Target="theme/theme1.xml"/><Relationship Id="rId40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ailto:duffeym@mmv.org" TargetMode="External"/><Relationship Id="rId23" Type="http://schemas.openxmlformats.org/officeDocument/2006/relationships/image" Target="media/image11.emf"/><Relationship Id="rId28" Type="http://schemas.openxmlformats.org/officeDocument/2006/relationships/package" Target="embeddings/Microsoft_Excel-Arbeitsblatt2.xlsx"/><Relationship Id="rId36" Type="http://schemas.microsoft.com/office/2011/relationships/people" Target="peop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mmv.or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emf"/><Relationship Id="rId30" Type="http://schemas.openxmlformats.org/officeDocument/2006/relationships/package" Target="embeddings/Microsoft_Excel-Arbeitsblatt3.xlsx"/><Relationship Id="rId35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zan\Desktop\PRR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Swiss TPH">
      <a:dk1>
        <a:srgbClr val="000000"/>
      </a:dk1>
      <a:lt1>
        <a:srgbClr val="EFEFF0"/>
      </a:lt1>
      <a:dk2>
        <a:srgbClr val="BABCBE"/>
      </a:dk2>
      <a:lt2>
        <a:srgbClr val="717073"/>
      </a:lt2>
      <a:accent1>
        <a:srgbClr val="222222"/>
      </a:accent1>
      <a:accent2>
        <a:srgbClr val="BF3227"/>
      </a:accent2>
      <a:accent3>
        <a:srgbClr val="468AB2"/>
      </a:accent3>
      <a:accent4>
        <a:srgbClr val="EDCD64"/>
      </a:accent4>
      <a:accent5>
        <a:srgbClr val="B5C751"/>
      </a:accent5>
      <a:accent6>
        <a:srgbClr val="868686"/>
      </a:accent6>
      <a:hlink>
        <a:srgbClr val="00344B"/>
      </a:hlink>
      <a:folHlink>
        <a:srgbClr val="7FB9C8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1AA09-D674-4BBF-B95C-00CAF0D8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PRR report template.dotx</Template>
  <TotalTime>0</TotalTime>
  <Pages>13</Pages>
  <Words>2774</Words>
  <Characters>17477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Walz</dc:creator>
  <cp:keywords/>
  <dc:description/>
  <cp:lastModifiedBy>Annabelle Walz</cp:lastModifiedBy>
  <cp:revision>19</cp:revision>
  <cp:lastPrinted>2021-01-14T12:50:00Z</cp:lastPrinted>
  <dcterms:created xsi:type="dcterms:W3CDTF">2022-01-21T13:33:00Z</dcterms:created>
  <dcterms:modified xsi:type="dcterms:W3CDTF">2022-01-27T13:53:00Z</dcterms:modified>
</cp:coreProperties>
</file>