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005B4D" w:rsidRDefault="00E21312" w:rsidP="00872BF4">
      <w:pPr>
        <w:jc w:val="center"/>
        <w:rPr>
          <w:b/>
          <w:sz w:val="32"/>
          <w:szCs w:val="32"/>
        </w:rPr>
      </w:pPr>
      <w:bookmarkStart w:id="0" w:name="_GoBack"/>
      <w:bookmarkEnd w:id="0"/>
      <w:r w:rsidRPr="00E21312">
        <w:rPr>
          <w:b/>
          <w:sz w:val="32"/>
          <w:szCs w:val="32"/>
        </w:rPr>
        <w:t>Triazolopyrazines (TP Series)</w:t>
      </w:r>
    </w:p>
    <w:p w:rsidR="00C374C4" w:rsidRPr="00872BF4" w:rsidRDefault="00C374C4" w:rsidP="005D48C2">
      <w:pPr>
        <w:rPr>
          <w:b/>
          <w:sz w:val="32"/>
          <w:szCs w:val="32"/>
        </w:rPr>
      </w:pPr>
    </w:p>
    <w:p w:rsidR="003D3E70" w:rsidRDefault="003D3E70" w:rsidP="00E21312">
      <w:pPr>
        <w:jc w:val="both"/>
      </w:pPr>
    </w:p>
    <w:p w:rsidR="0067082F" w:rsidRPr="0067082F" w:rsidRDefault="002D28F8" w:rsidP="00E21312">
      <w:pPr>
        <w:jc w:val="both"/>
        <w:rPr>
          <w:b/>
        </w:rPr>
      </w:pPr>
      <w:r w:rsidRPr="002D28F8">
        <w:rPr>
          <w:b/>
        </w:rPr>
        <w:t>Summary</w:t>
      </w:r>
    </w:p>
    <w:p w:rsidR="0067082F" w:rsidRDefault="005D48C2" w:rsidP="00E21312">
      <w:pPr>
        <w:jc w:val="both"/>
      </w:pPr>
      <w:r>
        <w:t>We have</w:t>
      </w:r>
      <w:r w:rsidR="00C374C4">
        <w:t xml:space="preserve"> made compounds in this series down to 16nM potency. The </w:t>
      </w:r>
      <w:r w:rsidR="003D3E70">
        <w:t>series also seems to have good in vitro HLM and hHEP stability Clint &lt; 8.1 is compatible with 10nM potency. However, RLM remains stubbornly high, particularly for the more potent analogues</w:t>
      </w:r>
      <w:r w:rsidR="00844440">
        <w:t xml:space="preserve"> translating to short half-lives in rat PK</w:t>
      </w:r>
      <w:r w:rsidR="0067082F">
        <w:t>.</w:t>
      </w:r>
      <w:r w:rsidR="00747B45">
        <w:t xml:space="preserve"> The series also appears to have little polypharmacology or cytotoxicity.</w:t>
      </w:r>
    </w:p>
    <w:p w:rsidR="00B2567C" w:rsidRDefault="00B2567C" w:rsidP="00E21312">
      <w:pPr>
        <w:jc w:val="both"/>
      </w:pPr>
      <w:r>
        <w:t xml:space="preserve">The project has so far not challenged the hypothesis that rat metabolism may not be a great model for human metabolism for this series. </w:t>
      </w:r>
    </w:p>
    <w:p w:rsidR="0067082F" w:rsidRDefault="0067082F" w:rsidP="00E21312">
      <w:pPr>
        <w:jc w:val="both"/>
      </w:pPr>
    </w:p>
    <w:p w:rsidR="0067082F" w:rsidRDefault="002D28F8" w:rsidP="00E21312">
      <w:pPr>
        <w:jc w:val="both"/>
      </w:pPr>
      <w:r w:rsidRPr="002D28F8">
        <w:rPr>
          <w:i/>
        </w:rPr>
        <w:t>Concerns</w:t>
      </w:r>
      <w:r w:rsidR="0067082F">
        <w:t>:</w:t>
      </w:r>
    </w:p>
    <w:p w:rsidR="003D3E70" w:rsidRDefault="0067082F" w:rsidP="00E21312">
      <w:pPr>
        <w:jc w:val="both"/>
      </w:pPr>
      <w:r>
        <w:t xml:space="preserve">Although dofetilide binding looks weak or nil, the series has shown activity in a patch clamp assay at Essen (1-10uM) which is quite potent though with a window of &gt;100 fold over Pfal potency. </w:t>
      </w:r>
      <w:r w:rsidR="00861F7E">
        <w:t>The series shows activity in Kieran Kirk’s PfATP4 assay which goes away for Pfal inactives in the series.</w:t>
      </w:r>
      <w:r w:rsidR="00747B45">
        <w:t xml:space="preserve"> In Kip Guy’s resistant mutants the picture is perhaps more mixed, but there is still support for the idea that some members of the series are weaker in the resistant strains.</w:t>
      </w:r>
      <w:r w:rsidR="00EE2C65">
        <w:t xml:space="preserve"> </w:t>
      </w:r>
      <w:r>
        <w:t>The series has no or weak &gt;&gt;1uM activity against gametocytes</w:t>
      </w:r>
      <w:r w:rsidR="00EE2C65">
        <w:t>, no activity against Winzeler’s Pb liver stage and may have weak activity against ookinetes but the dose-response data has not been completed.</w:t>
      </w:r>
    </w:p>
    <w:p w:rsidR="00EE2C65" w:rsidRDefault="00EE2C65" w:rsidP="00E21312">
      <w:pPr>
        <w:jc w:val="both"/>
      </w:pPr>
    </w:p>
    <w:p w:rsidR="00EE2C65" w:rsidRPr="00214D00" w:rsidRDefault="000759E6" w:rsidP="00E21312">
      <w:pPr>
        <w:jc w:val="both"/>
        <w:rPr>
          <w:i/>
        </w:rPr>
      </w:pPr>
      <w:r>
        <w:rPr>
          <w:i/>
        </w:rPr>
        <w:t>Possible next step summary</w:t>
      </w:r>
      <w:r w:rsidR="002D28F8" w:rsidRPr="002D28F8">
        <w:rPr>
          <w:i/>
        </w:rPr>
        <w:t>:</w:t>
      </w:r>
    </w:p>
    <w:p w:rsidR="00EE2C65" w:rsidRDefault="00EE2C65" w:rsidP="00E21312">
      <w:pPr>
        <w:jc w:val="both"/>
      </w:pPr>
      <w:r>
        <w:t xml:space="preserve">The series </w:t>
      </w:r>
      <w:r w:rsidR="00214D00">
        <w:t>has good potency and in vivo efficacy with few toxicity concerns. The biggest issue is metabolic stability, as measured in rat in particular. Some possible future directions include:</w:t>
      </w:r>
    </w:p>
    <w:p w:rsidR="00B311AE" w:rsidRDefault="00214D00">
      <w:pPr>
        <w:pStyle w:val="ListParagraph"/>
        <w:numPr>
          <w:ilvl w:val="0"/>
          <w:numId w:val="4"/>
        </w:numPr>
        <w:jc w:val="both"/>
      </w:pPr>
      <w:r>
        <w:t>Small scale changes around the side chains to attempt to balance potency and metabolism.</w:t>
      </w:r>
    </w:p>
    <w:p w:rsidR="00CA651C" w:rsidRDefault="00CA651C" w:rsidP="00CA651C">
      <w:pPr>
        <w:pStyle w:val="ListParagraph"/>
        <w:numPr>
          <w:ilvl w:val="0"/>
          <w:numId w:val="4"/>
        </w:numPr>
      </w:pPr>
      <w:r>
        <w:t>Incorporation of a basic centre to increase volume as a potential fix for half-life. However, this might come at the expense of plasma concentration so would require high potency. In addition of the 29 compounds with a basic centre only one has a measured potency &lt; 100nM.</w:t>
      </w:r>
    </w:p>
    <w:p w:rsidR="00CA651C" w:rsidRDefault="00CA651C" w:rsidP="00CA651C">
      <w:pPr>
        <w:pStyle w:val="ListParagraph"/>
        <w:numPr>
          <w:ilvl w:val="0"/>
          <w:numId w:val="4"/>
        </w:numPr>
      </w:pPr>
      <w:r>
        <w:t>More significant structural changes. Of the changes made to the basic skeleton, the most successful might be the recent evaluation of the substitution position changes (eg MMV670945), possibly in combination with modifying the disposition of the N atoms in the core. Related compounds have been made by others and it would be wise to incorporate the learnings from these series into any plans to explore this substitution pattern further. The first few compounds look similar in terms of metabolic stability.</w:t>
      </w:r>
    </w:p>
    <w:p w:rsidR="00CA651C" w:rsidRDefault="00CA651C" w:rsidP="00CA651C">
      <w:pPr>
        <w:jc w:val="both"/>
      </w:pPr>
    </w:p>
    <w:p w:rsidR="0067082F" w:rsidRDefault="0067082F" w:rsidP="00E21312">
      <w:pPr>
        <w:jc w:val="both"/>
      </w:pPr>
    </w:p>
    <w:p w:rsidR="0067082F" w:rsidRDefault="0067082F" w:rsidP="00E21312">
      <w:pPr>
        <w:jc w:val="both"/>
      </w:pPr>
    </w:p>
    <w:p w:rsidR="0071454C" w:rsidRPr="0071454C" w:rsidRDefault="002D28F8" w:rsidP="00E21312">
      <w:pPr>
        <w:jc w:val="both"/>
        <w:rPr>
          <w:b/>
        </w:rPr>
      </w:pPr>
      <w:r w:rsidRPr="002D28F8">
        <w:rPr>
          <w:b/>
        </w:rPr>
        <w:t>SAR summary</w:t>
      </w:r>
    </w:p>
    <w:p w:rsidR="00297400" w:rsidRPr="00005B4D" w:rsidRDefault="00297400" w:rsidP="00C374C4">
      <w:pPr>
        <w:jc w:val="both"/>
      </w:pPr>
      <w:r w:rsidRPr="00005B4D">
        <w:t xml:space="preserve">The objective of the current project was to improve the metabolic stability and the pharmacokinetic properties of this series in rat so as to meet the once-dosing criteria </w:t>
      </w:r>
      <w:r w:rsidR="00424CDA" w:rsidRPr="00005B4D">
        <w:lastRenderedPageBreak/>
        <w:t xml:space="preserve">(TCP1) </w:t>
      </w:r>
      <w:r w:rsidRPr="00005B4D">
        <w:t>set by MMV.</w:t>
      </w:r>
      <w:r w:rsidR="00424CDA" w:rsidRPr="00005B4D">
        <w:t xml:space="preserve"> Towards this end, new chemistry directed towards blocking the putative metabolic sites was initiated.</w:t>
      </w:r>
    </w:p>
    <w:p w:rsidR="00424CDA" w:rsidRDefault="00424CDA" w:rsidP="00297400">
      <w:pPr>
        <w:ind w:left="360"/>
        <w:jc w:val="both"/>
        <w:rPr>
          <w:b/>
        </w:rPr>
      </w:pPr>
    </w:p>
    <w:p w:rsidR="00424CDA" w:rsidRDefault="00AA526E" w:rsidP="00AA526E">
      <w:pPr>
        <w:numPr>
          <w:ilvl w:val="0"/>
          <w:numId w:val="2"/>
        </w:numPr>
        <w:jc w:val="both"/>
        <w:rPr>
          <w:b/>
        </w:rPr>
      </w:pPr>
      <w:r>
        <w:rPr>
          <w:b/>
        </w:rPr>
        <w:t xml:space="preserve">Cycloaliphatic </w:t>
      </w:r>
      <w:r w:rsidR="00424CDA">
        <w:rPr>
          <w:b/>
        </w:rPr>
        <w:t>Triazole Substituent:</w:t>
      </w:r>
    </w:p>
    <w:p w:rsidR="004B15EE" w:rsidRDefault="004B15EE" w:rsidP="009E5CC6">
      <w:pPr>
        <w:jc w:val="both"/>
        <w:rPr>
          <w:b/>
        </w:rPr>
      </w:pPr>
    </w:p>
    <w:p w:rsidR="009E5CC6" w:rsidRDefault="00424CDA" w:rsidP="00AA526E">
      <w:pPr>
        <w:jc w:val="center"/>
        <w:rPr>
          <w:b/>
        </w:rPr>
      </w:pPr>
      <w:r>
        <w:object w:dxaOrig="1920" w:dyaOrig="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94.6pt" o:ole="">
            <v:imagedata r:id="rId8" o:title=""/>
          </v:shape>
          <o:OLEObject Type="Embed" ProgID="ISISServer" ShapeID="_x0000_i1025" DrawAspect="Content" ObjectID="_1314175983" r:id="rId9"/>
        </w:object>
      </w:r>
    </w:p>
    <w:p w:rsidR="00395A1D" w:rsidRDefault="00AA526E" w:rsidP="00AA526E">
      <w:pPr>
        <w:jc w:val="both"/>
      </w:pPr>
      <w:r w:rsidRPr="00005B4D">
        <w:t>Attempts at lowering the lipophilicity of the TP compounds by replacing the traizole aryl substituent with a cyclo(hetero)aliphatic group, linked either by the heteroatom or otherwise (e.g. piperidine, tetrahydropyran, indoline or isoindoline) lowered the potency against PfNF54, as did an aniline substituent.</w:t>
      </w:r>
    </w:p>
    <w:p w:rsidR="00395A1D" w:rsidRDefault="00395A1D" w:rsidP="00AA526E">
      <w:pPr>
        <w:jc w:val="both"/>
      </w:pPr>
    </w:p>
    <w:p w:rsidR="00AA526E" w:rsidRDefault="00AA526E" w:rsidP="00AA526E">
      <w:pPr>
        <w:jc w:val="both"/>
        <w:rPr>
          <w:b/>
        </w:rPr>
      </w:pPr>
    </w:p>
    <w:p w:rsidR="002C2AF2" w:rsidRDefault="00AA526E" w:rsidP="00AA526E">
      <w:pPr>
        <w:numPr>
          <w:ilvl w:val="0"/>
          <w:numId w:val="2"/>
        </w:numPr>
        <w:jc w:val="both"/>
        <w:rPr>
          <w:b/>
        </w:rPr>
      </w:pPr>
      <w:r>
        <w:rPr>
          <w:b/>
        </w:rPr>
        <w:t>Core Modification of Pyrazine ring</w:t>
      </w:r>
    </w:p>
    <w:p w:rsidR="002C2AF2" w:rsidRDefault="00AA526E" w:rsidP="00E21312">
      <w:pPr>
        <w:jc w:val="center"/>
        <w:rPr>
          <w:b/>
        </w:rPr>
      </w:pPr>
      <w:r>
        <w:object w:dxaOrig="2490" w:dyaOrig="2295">
          <v:shape id="_x0000_i1026" type="#_x0000_t75" style="width:124.75pt;height:114.7pt" o:ole="">
            <v:imagedata r:id="rId10" o:title=""/>
          </v:shape>
          <o:OLEObject Type="Embed" ProgID="ISISServer" ShapeID="_x0000_i1026" DrawAspect="Content" ObjectID="_1314175984" r:id="rId11"/>
        </w:object>
      </w:r>
    </w:p>
    <w:p w:rsidR="002C2AF2" w:rsidRDefault="00F835C2" w:rsidP="00AA526E">
      <w:r w:rsidRPr="00005B4D">
        <w:t xml:space="preserve">Based on an assumption that the pyrazine moiety of the TP </w:t>
      </w:r>
      <w:r w:rsidR="00C374C4">
        <w:t>could</w:t>
      </w:r>
      <w:r w:rsidRPr="00005B4D">
        <w:t xml:space="preserve"> undergo </w:t>
      </w:r>
      <w:r w:rsidR="00572C45">
        <w:t xml:space="preserve">AO </w:t>
      </w:r>
      <w:r w:rsidRPr="00005B4D">
        <w:t>metabolism at positions alpha- to the nitrogen</w:t>
      </w:r>
      <w:r w:rsidR="00572C45">
        <w:t xml:space="preserve"> </w:t>
      </w:r>
      <w:r w:rsidRPr="00005B4D">
        <w:t>a few compounds were ma</w:t>
      </w:r>
      <w:r w:rsidR="00C374C4">
        <w:t>de with different R groups (Cl</w:t>
      </w:r>
      <w:r w:rsidRPr="00005B4D">
        <w:t>, Me, NH2, NEt2). However, all these compounds lost potency against PfNF54.</w:t>
      </w:r>
      <w:r w:rsidR="006C6713">
        <w:t xml:space="preserve">  </w:t>
      </w:r>
    </w:p>
    <w:p w:rsidR="00ED7C35" w:rsidRDefault="00ED7C35" w:rsidP="00AA526E"/>
    <w:p w:rsidR="00B35502" w:rsidRDefault="00B35502" w:rsidP="00AA526E">
      <w:pPr>
        <w:rPr>
          <w:b/>
        </w:rPr>
      </w:pPr>
    </w:p>
    <w:p w:rsidR="00B35502" w:rsidRDefault="00B35502" w:rsidP="00B35502">
      <w:pPr>
        <w:numPr>
          <w:ilvl w:val="0"/>
          <w:numId w:val="2"/>
        </w:numPr>
        <w:rPr>
          <w:b/>
        </w:rPr>
      </w:pPr>
      <w:r>
        <w:rPr>
          <w:b/>
        </w:rPr>
        <w:t>Core Modification of Triazole ring</w:t>
      </w:r>
    </w:p>
    <w:p w:rsidR="00B35502" w:rsidRDefault="00B35502" w:rsidP="00B35502">
      <w:pPr>
        <w:rPr>
          <w:b/>
        </w:rPr>
      </w:pPr>
    </w:p>
    <w:p w:rsidR="00207171" w:rsidRPr="00005B4D" w:rsidRDefault="00207171" w:rsidP="00B35502">
      <w:r w:rsidRPr="00005B4D">
        <w:t>Two compounds based on imadazopyrazines were made. Both showed reduced potency against PfNF54 vis-à-vis the corresponding TP compound. The RLM stability of one was found to be poor.</w:t>
      </w:r>
    </w:p>
    <w:p w:rsidR="00207171" w:rsidRDefault="00BB0BED" w:rsidP="00B35502">
      <w:pPr>
        <w:rPr>
          <w:b/>
        </w:rPr>
      </w:pPr>
      <w:r>
        <w:rPr>
          <w:b/>
        </w:rPr>
      </w:r>
      <w:r>
        <w:rPr>
          <w:b/>
        </w:rPr>
        <w:pict>
          <v:group id="_x0000_s1077" style="width:294pt;height:129.25pt;mso-position-horizontal-relative:char;mso-position-vertical-relative:line" coordorigin="2520,5154" coordsize="4900,2215" editas="canvas">
            <o:lock v:ext="edit" aspectratio="t"/>
            <v:shape id="_x0000_s1076" type="#_x0000_t75" style="position:absolute;left:2520;top:5154;width:4900;height:2215" o:preferrelative="f">
              <v:fill o:detectmouseclick="t"/>
              <v:path o:extrusionok="t" o:connecttype="none"/>
              <o:lock v:ext="edit" text="t"/>
            </v:shape>
            <v:shape id="_x0000_s1072" type="#_x0000_t75" style="position:absolute;left:2520;top:5154;width:1563;height:1555" fillcolor="#bbe0e3">
              <v:imagedata r:id="rId12" o:title=""/>
            </v:shape>
            <v:rect id="_x0000_s1073" style="position:absolute;left:2720;top:6594;width:2100;height:656" filled="f" fillcolor="#0c9" stroked="f">
              <v:textbox style="mso-fit-shape-to-text:t">
                <w:txbxContent>
                  <w:p w:rsidR="00D24B93" w:rsidRPr="00207171" w:rsidRDefault="00D24B93" w:rsidP="00207171">
                    <w:pPr>
                      <w:autoSpaceDE w:val="0"/>
                      <w:autoSpaceDN w:val="0"/>
                      <w:adjustRightInd w:val="0"/>
                      <w:rPr>
                        <w:rFonts w:ascii="Arial" w:hAnsi="Arial" w:cs="Arial"/>
                        <w:b/>
                        <w:bCs/>
                        <w:color w:val="000000"/>
                        <w:sz w:val="16"/>
                        <w:szCs w:val="16"/>
                      </w:rPr>
                    </w:pPr>
                    <w:r w:rsidRPr="00207171">
                      <w:rPr>
                        <w:rFonts w:ascii="Arial" w:hAnsi="Arial" w:cs="Arial"/>
                        <w:b/>
                        <w:bCs/>
                        <w:color w:val="000000"/>
                        <w:sz w:val="16"/>
                        <w:szCs w:val="16"/>
                      </w:rPr>
                      <w:t>MMV669846</w:t>
                    </w:r>
                  </w:p>
                  <w:p w:rsidR="00D24B93" w:rsidRDefault="00D24B93" w:rsidP="00207171">
                    <w:pPr>
                      <w:autoSpaceDE w:val="0"/>
                      <w:autoSpaceDN w:val="0"/>
                      <w:adjustRightInd w:val="0"/>
                      <w:rPr>
                        <w:rFonts w:ascii="Arial" w:hAnsi="Arial" w:cs="Arial"/>
                        <w:b/>
                        <w:bCs/>
                        <w:color w:val="000000"/>
                        <w:sz w:val="16"/>
                        <w:szCs w:val="16"/>
                        <w:vertAlign w:val="subscript"/>
                      </w:rPr>
                    </w:pPr>
                    <w:r w:rsidRPr="00207171">
                      <w:rPr>
                        <w:rFonts w:ascii="Arial" w:hAnsi="Arial" w:cs="Arial"/>
                        <w:b/>
                        <w:bCs/>
                        <w:color w:val="FF0000"/>
                        <w:sz w:val="16"/>
                        <w:szCs w:val="16"/>
                      </w:rPr>
                      <w:t>Pfal IC</w:t>
                    </w:r>
                    <w:r w:rsidRPr="00207171">
                      <w:rPr>
                        <w:rFonts w:ascii="Arial" w:hAnsi="Arial" w:cs="Arial"/>
                        <w:b/>
                        <w:bCs/>
                        <w:color w:val="FF0000"/>
                        <w:sz w:val="16"/>
                        <w:szCs w:val="16"/>
                        <w:vertAlign w:val="subscript"/>
                      </w:rPr>
                      <w:t>50</w:t>
                    </w:r>
                    <w:r w:rsidRPr="00207171">
                      <w:rPr>
                        <w:rFonts w:ascii="Arial" w:hAnsi="Arial" w:cs="Arial"/>
                        <w:b/>
                        <w:bCs/>
                        <w:color w:val="FF0000"/>
                        <w:sz w:val="16"/>
                        <w:szCs w:val="16"/>
                      </w:rPr>
                      <w:t xml:space="preserve"> 0.105 uM</w:t>
                    </w:r>
                    <w:r w:rsidRPr="00207171">
                      <w:rPr>
                        <w:rFonts w:ascii="Arial" w:hAnsi="Arial" w:cs="Arial"/>
                        <w:b/>
                        <w:bCs/>
                        <w:color w:val="000000"/>
                        <w:sz w:val="16"/>
                        <w:szCs w:val="16"/>
                        <w:vertAlign w:val="subscript"/>
                      </w:rPr>
                      <w:t xml:space="preserve"> </w:t>
                    </w:r>
                  </w:p>
                  <w:p w:rsidR="00D24B93" w:rsidRPr="00EB4F49" w:rsidRDefault="00D24B93" w:rsidP="00207171">
                    <w:pPr>
                      <w:autoSpaceDE w:val="0"/>
                      <w:autoSpaceDN w:val="0"/>
                      <w:adjustRightInd w:val="0"/>
                      <w:rPr>
                        <w:rFonts w:ascii="Arial" w:hAnsi="Arial" w:cs="Arial"/>
                        <w:b/>
                        <w:bCs/>
                        <w:color w:val="000000"/>
                        <w:sz w:val="22"/>
                        <w:szCs w:val="22"/>
                        <w:vertAlign w:val="subscript"/>
                      </w:rPr>
                    </w:pPr>
                    <w:r>
                      <w:rPr>
                        <w:rFonts w:ascii="Arial" w:hAnsi="Arial" w:cs="Arial"/>
                        <w:b/>
                        <w:bCs/>
                        <w:color w:val="000000"/>
                        <w:sz w:val="22"/>
                        <w:szCs w:val="22"/>
                        <w:vertAlign w:val="subscript"/>
                      </w:rPr>
                      <w:t xml:space="preserve">HLM Cl </w:t>
                    </w:r>
                    <w:r>
                      <w:rPr>
                        <w:rFonts w:ascii="Arial" w:hAnsi="Arial" w:cs="Arial"/>
                        <w:sz w:val="22"/>
                        <w:szCs w:val="22"/>
                      </w:rPr>
                      <w:t>= 55</w:t>
                    </w:r>
                  </w:p>
                </w:txbxContent>
              </v:textbox>
            </v:rect>
            <v:shape id="_x0000_s1074" type="#_x0000_t75" style="position:absolute;left:4920;top:5154;width:1563;height:1567" fillcolor="#bbe0e3">
              <v:imagedata r:id="rId13" o:title=""/>
            </v:shape>
            <v:rect id="_x0000_s1075" style="position:absolute;left:5120;top:6594;width:2300;height:775" filled="f" fillcolor="#bbe0e3" stroked="f">
              <v:textbox style="mso-fit-shape-to-text:t">
                <w:txbxContent>
                  <w:p w:rsidR="00D24B93" w:rsidRPr="00207171" w:rsidRDefault="00D24B93" w:rsidP="00207171">
                    <w:pPr>
                      <w:autoSpaceDE w:val="0"/>
                      <w:autoSpaceDN w:val="0"/>
                      <w:adjustRightInd w:val="0"/>
                      <w:rPr>
                        <w:rFonts w:ascii="Arial" w:hAnsi="Arial" w:cs="Arial"/>
                        <w:b/>
                        <w:bCs/>
                        <w:color w:val="000000"/>
                        <w:sz w:val="16"/>
                        <w:szCs w:val="16"/>
                        <w:lang w:val="de-DE"/>
                      </w:rPr>
                    </w:pPr>
                    <w:r w:rsidRPr="00207171">
                      <w:rPr>
                        <w:rFonts w:ascii="Arial" w:hAnsi="Arial" w:cs="Arial"/>
                        <w:b/>
                        <w:bCs/>
                        <w:color w:val="000000"/>
                        <w:sz w:val="16"/>
                        <w:szCs w:val="16"/>
                        <w:lang w:val="de-DE"/>
                      </w:rPr>
                      <w:t>MMV670250</w:t>
                    </w:r>
                  </w:p>
                  <w:p w:rsidR="00D24B93" w:rsidRPr="00207171" w:rsidRDefault="00D24B93" w:rsidP="00207171">
                    <w:pPr>
                      <w:autoSpaceDE w:val="0"/>
                      <w:autoSpaceDN w:val="0"/>
                      <w:adjustRightInd w:val="0"/>
                      <w:rPr>
                        <w:rFonts w:ascii="Arial" w:hAnsi="Arial" w:cs="Arial"/>
                        <w:b/>
                        <w:bCs/>
                        <w:color w:val="FF0000"/>
                        <w:sz w:val="16"/>
                        <w:szCs w:val="16"/>
                        <w:vertAlign w:val="subscript"/>
                        <w:lang w:val="de-DE"/>
                      </w:rPr>
                    </w:pPr>
                    <w:r w:rsidRPr="00207171">
                      <w:rPr>
                        <w:rFonts w:ascii="Arial" w:hAnsi="Arial" w:cs="Arial"/>
                        <w:b/>
                        <w:bCs/>
                        <w:color w:val="FF0000"/>
                        <w:sz w:val="16"/>
                        <w:szCs w:val="16"/>
                        <w:lang w:val="de-DE"/>
                      </w:rPr>
                      <w:t>Pfal IC</w:t>
                    </w:r>
                    <w:r w:rsidRPr="00207171">
                      <w:rPr>
                        <w:rFonts w:ascii="Arial" w:hAnsi="Arial" w:cs="Arial"/>
                        <w:b/>
                        <w:bCs/>
                        <w:color w:val="FF0000"/>
                        <w:sz w:val="16"/>
                        <w:szCs w:val="16"/>
                        <w:vertAlign w:val="subscript"/>
                        <w:lang w:val="de-DE"/>
                      </w:rPr>
                      <w:t>50</w:t>
                    </w:r>
                    <w:r w:rsidRPr="00207171">
                      <w:rPr>
                        <w:rFonts w:ascii="Arial" w:hAnsi="Arial" w:cs="Arial"/>
                        <w:b/>
                        <w:bCs/>
                        <w:color w:val="FF0000"/>
                        <w:sz w:val="16"/>
                        <w:szCs w:val="16"/>
                        <w:lang w:val="de-DE"/>
                      </w:rPr>
                      <w:t xml:space="preserve"> 0.831 uM</w:t>
                    </w:r>
                  </w:p>
                  <w:p w:rsidR="00D24B93" w:rsidRPr="00207171" w:rsidRDefault="00D24B93" w:rsidP="00207171">
                    <w:pPr>
                      <w:autoSpaceDE w:val="0"/>
                      <w:autoSpaceDN w:val="0"/>
                      <w:adjustRightInd w:val="0"/>
                      <w:rPr>
                        <w:rFonts w:ascii="Arial" w:hAnsi="Arial" w:cs="Arial"/>
                        <w:b/>
                        <w:bCs/>
                        <w:color w:val="FF0000"/>
                        <w:sz w:val="16"/>
                        <w:szCs w:val="16"/>
                        <w:lang w:val="de-DE"/>
                      </w:rPr>
                    </w:pPr>
                    <w:r w:rsidRPr="00207171">
                      <w:rPr>
                        <w:rFonts w:ascii="Arial" w:hAnsi="Arial" w:cs="Arial"/>
                        <w:b/>
                        <w:bCs/>
                        <w:color w:val="FF0000"/>
                        <w:sz w:val="16"/>
                        <w:szCs w:val="16"/>
                        <w:lang w:val="de-DE"/>
                      </w:rPr>
                      <w:t>HLM CL/T</w:t>
                    </w:r>
                    <w:r w:rsidRPr="00207171">
                      <w:rPr>
                        <w:rFonts w:ascii="Arial" w:hAnsi="Arial" w:cs="Arial"/>
                        <w:b/>
                        <w:bCs/>
                        <w:color w:val="FF0000"/>
                        <w:sz w:val="16"/>
                        <w:szCs w:val="16"/>
                        <w:vertAlign w:val="subscript"/>
                        <w:lang w:val="de-DE"/>
                      </w:rPr>
                      <w:t>1/2</w:t>
                    </w:r>
                    <w:r w:rsidRPr="00207171">
                      <w:rPr>
                        <w:rFonts w:ascii="Symbol" w:hAnsi="Symbol" w:cs="Symbol"/>
                        <w:b/>
                        <w:bCs/>
                        <w:color w:val="FF0000"/>
                        <w:sz w:val="16"/>
                        <w:szCs w:val="16"/>
                      </w:rPr>
                      <w:t></w:t>
                    </w:r>
                    <w:r w:rsidRPr="00207171">
                      <w:rPr>
                        <w:rFonts w:ascii="Arial" w:hAnsi="Arial" w:cs="Arial"/>
                        <w:b/>
                        <w:bCs/>
                        <w:color w:val="FF0000"/>
                        <w:sz w:val="16"/>
                        <w:szCs w:val="16"/>
                        <w:lang w:val="de-DE"/>
                      </w:rPr>
                      <w:t xml:space="preserve">200/4.3 </w:t>
                    </w:r>
                  </w:p>
                  <w:p w:rsidR="00D24B93" w:rsidRPr="00207171" w:rsidRDefault="00D24B93" w:rsidP="00207171">
                    <w:pPr>
                      <w:autoSpaceDE w:val="0"/>
                      <w:autoSpaceDN w:val="0"/>
                      <w:adjustRightInd w:val="0"/>
                      <w:rPr>
                        <w:rFonts w:ascii="Arial" w:hAnsi="Arial" w:cs="Arial"/>
                        <w:b/>
                        <w:bCs/>
                        <w:color w:val="FF0000"/>
                        <w:sz w:val="16"/>
                        <w:szCs w:val="16"/>
                        <w:lang w:val="de-DE"/>
                      </w:rPr>
                    </w:pPr>
                    <w:r w:rsidRPr="00207171">
                      <w:rPr>
                        <w:rFonts w:ascii="Arial" w:hAnsi="Arial" w:cs="Arial"/>
                        <w:b/>
                        <w:bCs/>
                        <w:color w:val="FF0000"/>
                        <w:sz w:val="16"/>
                        <w:szCs w:val="16"/>
                        <w:lang w:val="de-DE"/>
                      </w:rPr>
                      <w:t>RLM CL/T</w:t>
                    </w:r>
                    <w:r w:rsidRPr="00207171">
                      <w:rPr>
                        <w:rFonts w:ascii="Arial" w:hAnsi="Arial" w:cs="Arial"/>
                        <w:b/>
                        <w:bCs/>
                        <w:color w:val="FF0000"/>
                        <w:sz w:val="16"/>
                        <w:szCs w:val="16"/>
                        <w:vertAlign w:val="subscript"/>
                        <w:lang w:val="de-DE"/>
                      </w:rPr>
                      <w:t>1/2</w:t>
                    </w:r>
                    <w:r w:rsidRPr="00207171">
                      <w:rPr>
                        <w:rFonts w:ascii="Symbol" w:hAnsi="Symbol" w:cs="Symbol"/>
                        <w:b/>
                        <w:bCs/>
                        <w:color w:val="FF0000"/>
                        <w:sz w:val="16"/>
                        <w:szCs w:val="16"/>
                      </w:rPr>
                      <w:t></w:t>
                    </w:r>
                    <w:r w:rsidRPr="00207171">
                      <w:rPr>
                        <w:rFonts w:ascii="Arial" w:hAnsi="Arial" w:cs="Arial"/>
                        <w:b/>
                        <w:bCs/>
                        <w:color w:val="FF0000"/>
                        <w:sz w:val="16"/>
                        <w:szCs w:val="16"/>
                        <w:lang w:val="de-DE"/>
                      </w:rPr>
                      <w:t>&gt;500/&lt;3</w:t>
                    </w:r>
                  </w:p>
                </w:txbxContent>
              </v:textbox>
            </v:rect>
            <w10:anchorlock/>
          </v:group>
          <o:OLEObject Type="Embed" ProgID="ISISServer" ShapeID="_x0000_s1072" DrawAspect="Content" ObjectID="_1314175985" r:id="rId14"/>
          <o:OLEObject Type="Embed" ProgID="ISISServer" ShapeID="_x0000_s1074" DrawAspect="Content" ObjectID="_1314175986" r:id="rId15"/>
        </w:pict>
      </w:r>
    </w:p>
    <w:p w:rsidR="00EB4F49" w:rsidRDefault="002D28F8" w:rsidP="00B35502">
      <w:r w:rsidRPr="002D28F8">
        <w:t>Approx 20 structures were made with variations to the 6,5 core system. MMV669846 was the most potent. As most of the analogues were &gt; 1uM potency, fewer were tested in RLM (quite a few in HLM). Of the 4 tested in RLM, the greatest stability had a Clint of 109, (HLM 9.5), several had HLM Clint 8 or less, particularly after moving or removing the N from the pyrazine ring.</w:t>
      </w:r>
    </w:p>
    <w:p w:rsidR="006C6713" w:rsidRDefault="006C6713" w:rsidP="00B35502"/>
    <w:p w:rsidR="006C6713" w:rsidRDefault="009D56EC" w:rsidP="00B35502">
      <w:r>
        <w:t xml:space="preserve">Variations to the </w:t>
      </w:r>
      <w:r w:rsidR="006C6713">
        <w:t>TP core:</w:t>
      </w:r>
    </w:p>
    <w:p w:rsidR="006C6713" w:rsidRPr="00EB4F49" w:rsidRDefault="00C374C4" w:rsidP="00B35502">
      <w:r>
        <w:rPr>
          <w:noProof/>
        </w:rPr>
        <w:drawing>
          <wp:inline distT="0" distB="0" distL="0" distR="0">
            <wp:extent cx="5486400" cy="4408458"/>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5486400" cy="4408458"/>
                    </a:xfrm>
                    <a:prstGeom prst="rect">
                      <a:avLst/>
                    </a:prstGeom>
                    <a:noFill/>
                    <a:ln w="9525">
                      <a:noFill/>
                      <a:miter lim="800000"/>
                      <a:headEnd/>
                      <a:tailEnd/>
                    </a:ln>
                  </pic:spPr>
                </pic:pic>
              </a:graphicData>
            </a:graphic>
          </wp:inline>
        </w:drawing>
      </w:r>
    </w:p>
    <w:p w:rsidR="00207171" w:rsidRDefault="00207171" w:rsidP="00B35502">
      <w:pPr>
        <w:rPr>
          <w:b/>
        </w:rPr>
      </w:pPr>
    </w:p>
    <w:p w:rsidR="00207171" w:rsidRDefault="00404268" w:rsidP="00404268">
      <w:pPr>
        <w:numPr>
          <w:ilvl w:val="0"/>
          <w:numId w:val="2"/>
        </w:numPr>
        <w:rPr>
          <w:b/>
        </w:rPr>
      </w:pPr>
      <w:r>
        <w:rPr>
          <w:b/>
        </w:rPr>
        <w:t>Transposing the Pyrazine side-chain</w:t>
      </w:r>
    </w:p>
    <w:p w:rsidR="00404268" w:rsidRPr="00005B4D" w:rsidRDefault="00404268" w:rsidP="00404268">
      <w:r w:rsidRPr="00005B4D">
        <w:t xml:space="preserve">The side-chain on the pyrazine ring was shifted to the adjacent carbon. The chain length was varied (n = 0, 1, 2) and linked through either O or N. </w:t>
      </w:r>
    </w:p>
    <w:p w:rsidR="00404268" w:rsidRDefault="00BB0BED" w:rsidP="00404268">
      <w:pPr>
        <w:rPr>
          <w:b/>
        </w:rPr>
      </w:pPr>
      <w:r>
        <w:rPr>
          <w:b/>
          <w:noProof/>
        </w:rPr>
        <w:lastRenderedPageBreak/>
        <w:pict>
          <v:shape id="_x0000_s1080" type="#_x0000_t75" style="position:absolute;margin-left:9pt;margin-top:20.25pt;width:137.25pt;height:75pt;z-index:251654144" fillcolor="#bbe0e3">
            <v:imagedata r:id="rId17" o:title=""/>
          </v:shape>
          <o:OLEObject Type="Embed" ProgID="ISISServer" ShapeID="_x0000_s1080" DrawAspect="Content" ObjectID="_1314175987" r:id="rId18"/>
        </w:pict>
      </w:r>
      <w:r>
        <w:rPr>
          <w:b/>
          <w:noProof/>
        </w:rPr>
        <mc:AlternateContent>
          <mc:Choice Requires="wps">
            <w:drawing>
              <wp:anchor distT="0" distB="0" distL="114300" distR="114300" simplePos="0" relativeHeight="251653120" behindDoc="0" locked="0" layoutInCell="1" allowOverlap="1">
                <wp:simplePos x="0" y="0"/>
                <wp:positionH relativeFrom="column">
                  <wp:posOffset>605155</wp:posOffset>
                </wp:positionH>
                <wp:positionV relativeFrom="paragraph">
                  <wp:posOffset>839470</wp:posOffset>
                </wp:positionV>
                <wp:extent cx="152400" cy="151765"/>
                <wp:effectExtent l="0" t="1270" r="17145" b="12065"/>
                <wp:wrapNone/>
                <wp:docPr id="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76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54" o:spid="_x0000_s1026" type="#_x0000_t185" style="position:absolute;margin-left:47.65pt;margin-top:66.1pt;width:12pt;height:11.9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" fillcolor="#bbe0e3"/>
            </w:pict>
          </mc:Fallback>
        </mc:AlternateContent>
      </w:r>
      <w:r>
        <w:rPr>
          <w:b/>
          <w:noProof/>
        </w:rPr>
        <mc:AlternateContent>
          <mc:Choice Requires="wpg">
            <w:drawing>
              <wp:inline distT="0" distB="0" distL="0" distR="0">
                <wp:extent cx="1776730" cy="1181100"/>
                <wp:effectExtent l="0" t="0" r="1270" b="0"/>
                <wp:docPr id="2" name="Group 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776730" cy="1181100"/>
                          <a:chOff x="1800" y="11840"/>
                          <a:chExt cx="2798" cy="1860"/>
                        </a:xfrm>
                      </wpg:grpSpPr>
                      <wps:wsp>
                        <wps:cNvPr id="3" name="AutoShape 57"/>
                        <wps:cNvSpPr>
                          <a:spLocks noChangeAspect="1" noChangeArrowheads="1" noTextEdit="1"/>
                        </wps:cNvSpPr>
                        <wps:spPr bwMode="auto">
                          <a:xfrm>
                            <a:off x="1800" y="11840"/>
                            <a:ext cx="2798" cy="1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55"/>
                        <wps:cNvSpPr txBox="1">
                          <a:spLocks noChangeArrowheads="1"/>
                        </wps:cNvSpPr>
                        <wps:spPr bwMode="auto">
                          <a:xfrm>
                            <a:off x="2880" y="13280"/>
                            <a:ext cx="398" cy="35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B93" w:rsidRDefault="00D24B93" w:rsidP="00404268">
                              <w:pPr>
                                <w:autoSpaceDE w:val="0"/>
                                <w:autoSpaceDN w:val="0"/>
                                <w:adjustRightInd w:val="0"/>
                                <w:rPr>
                                  <w:rFonts w:ascii="Arial" w:hAnsi="Arial" w:cs="Arial"/>
                                  <w:b/>
                                  <w:bCs/>
                                  <w:color w:val="000000"/>
                                  <w:sz w:val="18"/>
                                  <w:szCs w:val="18"/>
                                </w:rPr>
                              </w:pPr>
                              <w:r>
                                <w:rPr>
                                  <w:rFonts w:ascii="Arial" w:hAnsi="Arial" w:cs="Arial"/>
                                  <w:b/>
                                  <w:bCs/>
                                  <w:color w:val="000000"/>
                                  <w:sz w:val="18"/>
                                  <w:szCs w:val="18"/>
                                </w:rPr>
                                <w:t>n</w:t>
                              </w:r>
                            </w:p>
                          </w:txbxContent>
                        </wps:txbx>
                        <wps:bodyPr rot="0" vert="horz" wrap="none" lIns="91440" tIns="45720" rIns="91440" bIns="45720" upright="1">
                          <a:spAutoFit/>
                        </wps:bodyPr>
                      </wps:wsp>
                    </wpg:wgp>
                  </a:graphicData>
                </a:graphic>
              </wp:inline>
            </w:drawing>
          </mc:Choice>
          <mc:Fallback>
            <w:pict>
              <v:group id="Group 58" o:spid="_x0000_s1026" style="width:139.9pt;height:93pt;mso-position-horizontal-relative:char;mso-position-vertical-relative:line" coordorigin="1800,11840" coordsize="2798,1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">
                <o:lock v:ext="edit" aspectratio="t"/>
                <v:rect id="AutoShape 57" o:spid="_x0000_s1027" style="position:absolute;left:1800;top:11840;width:2798;height:1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shapetype id="_x0000_t202" coordsize="21600,21600" o:spt="202" path="m0,0l0,21600,21600,21600,21600,0xe">
                  <v:stroke joinstyle="miter"/>
                  <v:path gradientshapeok="t" o:connecttype="rect"/>
                </v:shapetype>
                <v:shape id="Text Box 55" o:spid="_x0000_s1028" type="#_x0000_t202" style="position:absolute;left:2880;top:13280;width:398;height:35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3QMvwwAA&#10;ANoAAAAPAAAAZHJzL2Rvd25yZXYueG1sRI9BawIxFITvgv8hPKE3zdrSKqtRRFraXqyrHjw+N8/N&#10;4uZlSVLd/vtGKPQ4zMw3zHzZ2UZcyYfasYLxKANBXDpdc6XgsH8bTkGEiKyxcUwKfijActHvzTHX&#10;7sYFXXexEgnCIUcFJsY2lzKUhiyGkWuJk3d23mJM0ldSe7wluG3kY5a9SIs1pwWDLa0NlZfdt1Xg&#10;vDmefL392oyfwud781qst5NCqYdBt5qBiNTF//Bf+0MreIb7lXQ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3QMvwwAAANoAAAAPAAAAAAAAAAAAAAAAAJcCAABkcnMvZG93&#10;bnJldi54bWxQSwUGAAAAAAQABAD1AAAAhwMAAAAA&#10;" filled="f" fillcolor="#bbe0e3" stroked="f">
                  <v:textbox style="mso-fit-shape-to-text:t">
                    <w:txbxContent>
                      <w:p w:rsidR="00D24B93" w:rsidRDefault="00D24B93" w:rsidP="00404268">
                        <w:pPr>
                          <w:autoSpaceDE w:val="0"/>
                          <w:autoSpaceDN w:val="0"/>
                          <w:adjustRightInd w:val="0"/>
                          <w:rPr>
                            <w:rFonts w:ascii="Arial" w:hAnsi="Arial" w:cs="Arial"/>
                            <w:b/>
                            <w:bCs/>
                            <w:color w:val="000000"/>
                            <w:sz w:val="18"/>
                            <w:szCs w:val="18"/>
                          </w:rPr>
                        </w:pPr>
                        <w:r>
                          <w:rPr>
                            <w:rFonts w:ascii="Arial" w:hAnsi="Arial" w:cs="Arial"/>
                            <w:b/>
                            <w:bCs/>
                            <w:color w:val="000000"/>
                            <w:sz w:val="18"/>
                            <w:szCs w:val="18"/>
                          </w:rPr>
                          <w:t>n</w:t>
                        </w:r>
                      </w:p>
                    </w:txbxContent>
                  </v:textbox>
                </v:shape>
                <w10:anchorlock/>
              </v:group>
            </w:pict>
          </mc:Fallback>
        </mc:AlternateContent>
      </w:r>
    </w:p>
    <w:p w:rsidR="002C2AF2" w:rsidRDefault="002C2AF2" w:rsidP="00E21312">
      <w:pPr>
        <w:jc w:val="center"/>
        <w:rPr>
          <w:b/>
        </w:rPr>
      </w:pPr>
    </w:p>
    <w:p w:rsidR="002C2AF2" w:rsidRDefault="00C212D1" w:rsidP="00404268">
      <w:pPr>
        <w:jc w:val="both"/>
      </w:pPr>
      <w:r w:rsidRPr="00005B4D">
        <w:t xml:space="preserve">Among the ethers, </w:t>
      </w:r>
      <w:r w:rsidR="00404268" w:rsidRPr="00005B4D">
        <w:t xml:space="preserve">the phenethyl ether (X=O, n=2) showed good potency (Pfal IC50 </w:t>
      </w:r>
      <w:r w:rsidRPr="00005B4D">
        <w:t>33nM) but a poor stability in RLM (Cl 100 ml/min/kg).</w:t>
      </w:r>
      <w:r w:rsidR="00644E9D">
        <w:t xml:space="preserve"> </w:t>
      </w:r>
    </w:p>
    <w:p w:rsidR="00644E9D" w:rsidRPr="00005B4D" w:rsidRDefault="00872BF4" w:rsidP="00404268">
      <w:pPr>
        <w:jc w:val="both"/>
      </w:pPr>
      <w:r>
        <w:rPr>
          <w:noProof/>
        </w:rPr>
        <w:drawing>
          <wp:inline distT="0" distB="0" distL="0" distR="0">
            <wp:extent cx="5486400" cy="446100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486400" cy="4461009"/>
                    </a:xfrm>
                    <a:prstGeom prst="rect">
                      <a:avLst/>
                    </a:prstGeom>
                    <a:noFill/>
                    <a:ln w="9525">
                      <a:noFill/>
                      <a:miter lim="800000"/>
                      <a:headEnd/>
                      <a:tailEnd/>
                    </a:ln>
                  </pic:spPr>
                </pic:pic>
              </a:graphicData>
            </a:graphic>
          </wp:inline>
        </w:drawing>
      </w:r>
    </w:p>
    <w:p w:rsidR="00C212D1" w:rsidRDefault="00C212D1" w:rsidP="00404268">
      <w:pPr>
        <w:jc w:val="both"/>
        <w:rPr>
          <w:b/>
        </w:rPr>
      </w:pPr>
    </w:p>
    <w:p w:rsidR="00C212D1" w:rsidRDefault="00C212D1" w:rsidP="00C212D1">
      <w:pPr>
        <w:numPr>
          <w:ilvl w:val="0"/>
          <w:numId w:val="2"/>
        </w:numPr>
        <w:jc w:val="both"/>
        <w:rPr>
          <w:b/>
        </w:rPr>
      </w:pPr>
      <w:r>
        <w:rPr>
          <w:b/>
        </w:rPr>
        <w:t>Pyrazine side-chain modifications</w:t>
      </w:r>
    </w:p>
    <w:p w:rsidR="00C212D1" w:rsidRDefault="00C212D1" w:rsidP="00C212D1">
      <w:pPr>
        <w:jc w:val="both"/>
        <w:rPr>
          <w:b/>
        </w:rPr>
      </w:pPr>
    </w:p>
    <w:p w:rsidR="00C212D1" w:rsidRPr="00005B4D" w:rsidRDefault="00C212D1" w:rsidP="00C212D1">
      <w:pPr>
        <w:jc w:val="both"/>
      </w:pPr>
      <w:r w:rsidRPr="00005B4D">
        <w:t xml:space="preserve">Suspecting that the phenethyl ether side-chain on the pyrazine ring </w:t>
      </w:r>
      <w:r w:rsidR="00440B49" w:rsidRPr="00005B4D">
        <w:t>is a potential metabolic hot-spot, several strategies were adopted to mitigate this risk. It soon became evident that changing the length of the side-chain to anything other than 3 atoms severely lowers potency against PfNF54. Moreover, the linker atom to the pyrazine ring is also crucial (O&gt;&gt;C&gt;N). Heteroatoms within the side-chain also lowered potency, except for one compound (MMV669848) with an isoindolino-methyl group on the pyrazine ring. The latter however had poor RLM stability.</w:t>
      </w:r>
    </w:p>
    <w:p w:rsidR="00440B49" w:rsidRDefault="00BB0BED" w:rsidP="00C212D1">
      <w:pPr>
        <w:jc w:val="both"/>
        <w:rPr>
          <w:b/>
        </w:rPr>
      </w:pPr>
      <w:r>
        <w:rPr>
          <w:b/>
        </w:rPr>
      </w:r>
      <w:r>
        <w:rPr>
          <w:b/>
        </w:rPr>
        <w:pict>
          <v:group id="_x0000_s1086" style="width:138pt;height:119.4pt;mso-position-horizontal-relative:char;mso-position-vertical-relative:line" coordorigin="1800,5388" coordsize="2760,2388" editas="canvas">
            <o:lock v:ext="edit" aspectratio="t"/>
            <v:shape id="_x0000_s1085" type="#_x0000_t75" style="position:absolute;left:1800;top:5388;width:2760;height:2388" o:preferrelative="f">
              <v:fill o:detectmouseclick="t"/>
              <v:path o:extrusionok="t" o:connecttype="none"/>
              <o:lock v:ext="edit" text="t"/>
            </v:shape>
            <v:shape id="_x0000_s1083" type="#_x0000_t75" style="position:absolute;left:1800;top:5388;width:2189;height:1800" fillcolor="#bbe0e3">
              <v:imagedata r:id="rId20" o:title=""/>
            </v:shape>
            <v:rect id="_x0000_s1084" style="position:absolute;left:2040;top:7068;width:2520;height:708" filled="f" fillcolor="#bbe0e3" stroked="f">
              <v:textbox style="mso-fit-shape-to-text:t">
                <w:txbxContent>
                  <w:p w:rsidR="00D24B93" w:rsidRPr="00440B49" w:rsidRDefault="00D24B93" w:rsidP="00440B49">
                    <w:pPr>
                      <w:autoSpaceDE w:val="0"/>
                      <w:autoSpaceDN w:val="0"/>
                      <w:adjustRightInd w:val="0"/>
                      <w:rPr>
                        <w:rFonts w:ascii="Arial" w:hAnsi="Arial" w:cs="Arial"/>
                        <w:b/>
                        <w:bCs/>
                        <w:color w:val="000000"/>
                        <w:sz w:val="16"/>
                        <w:szCs w:val="16"/>
                        <w:lang w:val="de-DE"/>
                      </w:rPr>
                    </w:pPr>
                    <w:r w:rsidRPr="00440B49">
                      <w:rPr>
                        <w:rFonts w:ascii="Arial" w:hAnsi="Arial" w:cs="Arial"/>
                        <w:b/>
                        <w:bCs/>
                        <w:color w:val="000000"/>
                        <w:sz w:val="16"/>
                        <w:szCs w:val="16"/>
                        <w:lang w:val="de-DE"/>
                      </w:rPr>
                      <w:t>MMV669848</w:t>
                    </w:r>
                  </w:p>
                  <w:p w:rsidR="00D24B93" w:rsidRPr="00440B49" w:rsidRDefault="00D24B93" w:rsidP="00440B49">
                    <w:pPr>
                      <w:autoSpaceDE w:val="0"/>
                      <w:autoSpaceDN w:val="0"/>
                      <w:adjustRightInd w:val="0"/>
                      <w:rPr>
                        <w:rFonts w:ascii="Arial" w:hAnsi="Arial" w:cs="Arial"/>
                        <w:b/>
                        <w:bCs/>
                        <w:color w:val="000000"/>
                        <w:sz w:val="16"/>
                        <w:szCs w:val="16"/>
                        <w:vertAlign w:val="subscript"/>
                        <w:lang w:val="de-DE"/>
                      </w:rPr>
                    </w:pPr>
                    <w:r w:rsidRPr="00440B49">
                      <w:rPr>
                        <w:rFonts w:ascii="Arial" w:hAnsi="Arial" w:cs="Arial"/>
                        <w:b/>
                        <w:bCs/>
                        <w:color w:val="000000"/>
                        <w:sz w:val="16"/>
                        <w:szCs w:val="16"/>
                        <w:lang w:val="de-DE"/>
                      </w:rPr>
                      <w:t>Pfal IC</w:t>
                    </w:r>
                    <w:r w:rsidRPr="00440B49">
                      <w:rPr>
                        <w:rFonts w:ascii="Arial" w:hAnsi="Arial" w:cs="Arial"/>
                        <w:b/>
                        <w:bCs/>
                        <w:color w:val="000000"/>
                        <w:sz w:val="16"/>
                        <w:szCs w:val="16"/>
                        <w:vertAlign w:val="subscript"/>
                        <w:lang w:val="de-DE"/>
                      </w:rPr>
                      <w:t xml:space="preserve">50 </w:t>
                    </w:r>
                    <w:r w:rsidRPr="00440B49">
                      <w:rPr>
                        <w:rFonts w:ascii="Arial" w:hAnsi="Arial" w:cs="Arial"/>
                        <w:b/>
                        <w:bCs/>
                        <w:color w:val="000000"/>
                        <w:sz w:val="16"/>
                        <w:szCs w:val="16"/>
                        <w:lang w:val="de-DE"/>
                      </w:rPr>
                      <w:t>0.114 uM</w:t>
                    </w:r>
                  </w:p>
                  <w:p w:rsidR="00D24B93" w:rsidRPr="00440B49" w:rsidRDefault="00D24B93" w:rsidP="00440B49">
                    <w:pPr>
                      <w:autoSpaceDE w:val="0"/>
                      <w:autoSpaceDN w:val="0"/>
                      <w:adjustRightInd w:val="0"/>
                      <w:rPr>
                        <w:rFonts w:ascii="Arial" w:hAnsi="Arial" w:cs="Arial"/>
                        <w:b/>
                        <w:bCs/>
                        <w:color w:val="000000"/>
                        <w:sz w:val="16"/>
                        <w:szCs w:val="16"/>
                        <w:lang w:val="de-DE"/>
                      </w:rPr>
                    </w:pPr>
                    <w:r w:rsidRPr="00440B49">
                      <w:rPr>
                        <w:rFonts w:ascii="Arial" w:hAnsi="Arial" w:cs="Arial"/>
                        <w:b/>
                        <w:bCs/>
                        <w:color w:val="FF0000"/>
                        <w:sz w:val="16"/>
                        <w:szCs w:val="16"/>
                        <w:lang w:val="de-DE"/>
                      </w:rPr>
                      <w:t>RLM CL/T</w:t>
                    </w:r>
                    <w:r w:rsidRPr="00440B49">
                      <w:rPr>
                        <w:rFonts w:ascii="Arial" w:hAnsi="Arial" w:cs="Arial"/>
                        <w:b/>
                        <w:bCs/>
                        <w:color w:val="FF0000"/>
                        <w:sz w:val="16"/>
                        <w:szCs w:val="16"/>
                        <w:vertAlign w:val="subscript"/>
                        <w:lang w:val="de-DE"/>
                      </w:rPr>
                      <w:t>1/2</w:t>
                    </w:r>
                    <w:r w:rsidRPr="00440B49">
                      <w:rPr>
                        <w:rFonts w:ascii="Symbol" w:hAnsi="Symbol" w:cs="Symbol"/>
                        <w:b/>
                        <w:bCs/>
                        <w:color w:val="FF0000"/>
                        <w:sz w:val="16"/>
                        <w:szCs w:val="16"/>
                      </w:rPr>
                      <w:t></w:t>
                    </w:r>
                    <w:r w:rsidRPr="00440B49">
                      <w:rPr>
                        <w:rFonts w:ascii="Arial" w:hAnsi="Arial" w:cs="Arial"/>
                        <w:b/>
                        <w:bCs/>
                        <w:color w:val="FF0000"/>
                        <w:sz w:val="16"/>
                        <w:szCs w:val="16"/>
                        <w:lang w:val="de-DE"/>
                      </w:rPr>
                      <w:t>156/11</w:t>
                    </w:r>
                  </w:p>
                </w:txbxContent>
              </v:textbox>
            </v:rect>
            <w10:anchorlock/>
          </v:group>
          <o:OLEObject Type="Embed" ProgID="ISISServer" ShapeID="_x0000_s1083" DrawAspect="Content" ObjectID="_1314175988" r:id="rId21"/>
        </w:pict>
      </w:r>
    </w:p>
    <w:p w:rsidR="00141A03" w:rsidRDefault="00141A03" w:rsidP="00141A03">
      <w:pPr>
        <w:jc w:val="both"/>
        <w:rPr>
          <w:b/>
        </w:rPr>
      </w:pPr>
    </w:p>
    <w:p w:rsidR="00141A03" w:rsidRPr="00005B4D" w:rsidRDefault="00141A03" w:rsidP="00141A03">
      <w:pPr>
        <w:jc w:val="both"/>
      </w:pPr>
      <w:r w:rsidRPr="00005B4D">
        <w:t xml:space="preserve">Constraining the linear side-chain into ring systems (azetidines, pyrrolidines, pyrazoles) severely reduced potency. </w:t>
      </w:r>
    </w:p>
    <w:p w:rsidR="00CB2344" w:rsidRPr="00005B4D" w:rsidRDefault="00CB2344" w:rsidP="00141A03">
      <w:pPr>
        <w:jc w:val="both"/>
      </w:pPr>
      <w:r w:rsidRPr="00005B4D">
        <w:t xml:space="preserve">A small library of pyrazine amides was made of which the m-Cl-benzylamide (MMV 668958) showed promising potency. Other amides (derived from aliphatic or anilines) were either not active or had lower potency. The RLM stability of MMV668958 was poor, perhaps due to benzylic </w:t>
      </w:r>
      <w:r w:rsidR="00644E9D">
        <w:t>oxidation</w:t>
      </w:r>
      <w:r w:rsidRPr="00005B4D">
        <w:t>.</w:t>
      </w:r>
      <w:r w:rsidR="003B55BF" w:rsidRPr="00005B4D">
        <w:t xml:space="preserve"> Alpha-substitution at the benzylic position or constraining the benzylamine into an aminoindane did not improve potency.</w:t>
      </w:r>
    </w:p>
    <w:p w:rsidR="00E21312" w:rsidRDefault="00BB0BED" w:rsidP="00CB2344">
      <w:pPr>
        <w:jc w:val="both"/>
        <w:rPr>
          <w:b/>
        </w:rPr>
      </w:pPr>
      <w:r>
        <w:rPr>
          <w:b/>
        </w:rPr>
      </w:r>
      <w:r>
        <w:rPr>
          <w:b/>
        </w:rPr>
        <w:pict>
          <v:group id="_x0000_s1090" style="width:108.75pt;height:140pt;mso-position-horizontal-relative:char;mso-position-vertical-relative:line" coordorigin="4788,8797" coordsize="2175,2800" editas="canvas">
            <o:lock v:ext="edit" aspectratio="t"/>
            <v:shape id="_x0000_s1089" type="#_x0000_t75" style="position:absolute;left:4788;top:8797;width:2175;height:2800" o:preferrelative="f">
              <v:fill o:detectmouseclick="t"/>
              <v:path o:extrusionok="t" o:connecttype="none"/>
              <o:lock v:ext="edit" text="t"/>
            </v:shape>
            <v:shape id="_x0000_s1087" type="#_x0000_t75" style="position:absolute;left:4788;top:8977;width:2175;height:1785" fillcolor="#bbe0e3">
              <v:imagedata r:id="rId22" o:title=""/>
            </v:shape>
            <v:shape id="_x0000_s1088" type="#_x0000_t202" style="position:absolute;left:5148;top:10717;width:1752;height:696;mso-wrap-style:none;v-text-anchor:top-baseline" filled="f" fillcolor="#bbe0e3" stroked="f">
              <v:textbox style="mso-fit-shape-to-text:t">
                <w:txbxContent>
                  <w:p w:rsidR="00D24B93" w:rsidRPr="00CB2344" w:rsidRDefault="00D24B93" w:rsidP="00CB2344">
                    <w:pPr>
                      <w:autoSpaceDE w:val="0"/>
                      <w:autoSpaceDN w:val="0"/>
                      <w:adjustRightInd w:val="0"/>
                      <w:rPr>
                        <w:rFonts w:ascii="Arial" w:hAnsi="Arial" w:cs="Arial"/>
                        <w:b/>
                        <w:bCs/>
                        <w:color w:val="000000"/>
                        <w:sz w:val="16"/>
                        <w:szCs w:val="16"/>
                        <w:lang w:val="de-DE"/>
                      </w:rPr>
                    </w:pPr>
                    <w:r w:rsidRPr="00CB2344">
                      <w:rPr>
                        <w:rFonts w:ascii="Arial" w:hAnsi="Arial" w:cs="Arial"/>
                        <w:b/>
                        <w:bCs/>
                        <w:color w:val="000000"/>
                        <w:sz w:val="16"/>
                        <w:szCs w:val="16"/>
                        <w:lang w:val="de-DE"/>
                      </w:rPr>
                      <w:t>MMV668958</w:t>
                    </w:r>
                  </w:p>
                  <w:p w:rsidR="00D24B93" w:rsidRPr="00CB2344" w:rsidRDefault="00D24B93" w:rsidP="00CB2344">
                    <w:pPr>
                      <w:autoSpaceDE w:val="0"/>
                      <w:autoSpaceDN w:val="0"/>
                      <w:adjustRightInd w:val="0"/>
                      <w:rPr>
                        <w:rFonts w:ascii="Arial" w:hAnsi="Arial" w:cs="Arial"/>
                        <w:b/>
                        <w:bCs/>
                        <w:color w:val="FF0000"/>
                        <w:sz w:val="16"/>
                        <w:szCs w:val="16"/>
                        <w:vertAlign w:val="subscript"/>
                        <w:lang w:val="de-DE"/>
                      </w:rPr>
                    </w:pPr>
                    <w:r w:rsidRPr="00CB2344">
                      <w:rPr>
                        <w:rFonts w:ascii="Arial" w:hAnsi="Arial" w:cs="Arial"/>
                        <w:b/>
                        <w:bCs/>
                        <w:color w:val="FF0000"/>
                        <w:sz w:val="16"/>
                        <w:szCs w:val="16"/>
                        <w:lang w:val="de-DE"/>
                      </w:rPr>
                      <w:t>Pfal IC</w:t>
                    </w:r>
                    <w:r w:rsidRPr="00CB2344">
                      <w:rPr>
                        <w:rFonts w:ascii="Arial" w:hAnsi="Arial" w:cs="Arial"/>
                        <w:b/>
                        <w:bCs/>
                        <w:color w:val="FF0000"/>
                        <w:sz w:val="16"/>
                        <w:szCs w:val="16"/>
                        <w:vertAlign w:val="subscript"/>
                        <w:lang w:val="de-DE"/>
                      </w:rPr>
                      <w:t>50</w:t>
                    </w:r>
                    <w:r w:rsidRPr="00CB2344">
                      <w:rPr>
                        <w:rFonts w:ascii="Arial" w:hAnsi="Arial" w:cs="Arial"/>
                        <w:b/>
                        <w:bCs/>
                        <w:color w:val="FF0000"/>
                        <w:sz w:val="16"/>
                        <w:szCs w:val="16"/>
                        <w:lang w:val="de-DE"/>
                      </w:rPr>
                      <w:t xml:space="preserve"> 0.250 uM</w:t>
                    </w:r>
                  </w:p>
                  <w:p w:rsidR="00D24B93" w:rsidRPr="00CB2344" w:rsidRDefault="00D24B93" w:rsidP="00CB2344">
                    <w:pPr>
                      <w:autoSpaceDE w:val="0"/>
                      <w:autoSpaceDN w:val="0"/>
                      <w:adjustRightInd w:val="0"/>
                      <w:rPr>
                        <w:rFonts w:ascii="Arial" w:hAnsi="Arial" w:cs="Arial"/>
                        <w:b/>
                        <w:bCs/>
                        <w:color w:val="000000"/>
                        <w:sz w:val="16"/>
                        <w:szCs w:val="16"/>
                        <w:vertAlign w:val="subscript"/>
                        <w:lang w:val="de-DE"/>
                      </w:rPr>
                    </w:pPr>
                    <w:r w:rsidRPr="00CB2344">
                      <w:rPr>
                        <w:rFonts w:ascii="Arial" w:hAnsi="Arial" w:cs="Arial"/>
                        <w:b/>
                        <w:bCs/>
                        <w:color w:val="FF0000"/>
                        <w:sz w:val="16"/>
                        <w:szCs w:val="16"/>
                        <w:lang w:val="de-DE"/>
                      </w:rPr>
                      <w:t>HLM CL/T</w:t>
                    </w:r>
                    <w:r w:rsidRPr="00CB2344">
                      <w:rPr>
                        <w:rFonts w:ascii="Arial" w:hAnsi="Arial" w:cs="Arial"/>
                        <w:b/>
                        <w:bCs/>
                        <w:color w:val="FF0000"/>
                        <w:sz w:val="16"/>
                        <w:szCs w:val="16"/>
                        <w:vertAlign w:val="subscript"/>
                        <w:lang w:val="de-DE"/>
                      </w:rPr>
                      <w:t>1/2</w:t>
                    </w:r>
                    <w:r w:rsidRPr="00CB2344">
                      <w:rPr>
                        <w:rFonts w:ascii="Arial" w:hAnsi="Arial" w:cs="Arial"/>
                        <w:b/>
                        <w:bCs/>
                        <w:color w:val="FF0000"/>
                        <w:sz w:val="16"/>
                        <w:szCs w:val="16"/>
                        <w:lang w:val="de-DE"/>
                      </w:rPr>
                      <w:t xml:space="preserve"> 50/19.6</w:t>
                    </w:r>
                  </w:p>
                </w:txbxContent>
              </v:textbox>
            </v:shape>
            <w10:anchorlock/>
          </v:group>
          <o:OLEObject Type="Embed" ProgID="ISISServer" ShapeID="_x0000_s1087" DrawAspect="Content" ObjectID="_1314175989" r:id="rId23"/>
        </w:pict>
      </w:r>
    </w:p>
    <w:p w:rsidR="00CB2344" w:rsidRPr="00005B4D" w:rsidRDefault="00644E9D" w:rsidP="00CB2344">
      <w:pPr>
        <w:jc w:val="both"/>
      </w:pPr>
      <w:r>
        <w:t>T</w:t>
      </w:r>
      <w:r w:rsidR="00CB2344" w:rsidRPr="00005B4D">
        <w:t>he p-Cl benzanilide MMV670246</w:t>
      </w:r>
      <w:r w:rsidR="003B55BF" w:rsidRPr="00005B4D">
        <w:t>,</w:t>
      </w:r>
      <w:r w:rsidR="00CB2344" w:rsidRPr="00005B4D">
        <w:t xml:space="preserve"> although not active against PfNF54</w:t>
      </w:r>
      <w:r w:rsidR="003B55BF" w:rsidRPr="00005B4D">
        <w:t>,</w:t>
      </w:r>
      <w:r w:rsidR="00CB2344" w:rsidRPr="00005B4D">
        <w:t xml:space="preserve"> showed good RLM stability</w:t>
      </w:r>
      <w:r w:rsidR="003B55BF" w:rsidRPr="00005B4D">
        <w:t xml:space="preserve"> (the m-Cl analog had poor RLM stability) perhaps due to lack of benzylic metabolism. However, its rat PK showed high clearance.</w:t>
      </w:r>
    </w:p>
    <w:p w:rsidR="003B55BF" w:rsidRDefault="00BB0BED" w:rsidP="00CB2344">
      <w:pPr>
        <w:jc w:val="both"/>
        <w:rPr>
          <w:b/>
        </w:rPr>
      </w:pPr>
      <w:r>
        <w:rPr>
          <w:b/>
        </w:rPr>
      </w:r>
      <w:r>
        <w:rPr>
          <w:b/>
        </w:rPr>
        <w:pict>
          <v:group id="_x0000_s1095" style="width:243pt;height:125.4pt;mso-position-horizontal-relative:char;mso-position-vertical-relative:line" coordorigin="2520,9285" coordsize="4050,2150" editas="canvas">
            <o:lock v:ext="edit" aspectratio="t"/>
            <v:shape id="_x0000_s1094" type="#_x0000_t75" style="position:absolute;left:2520;top:9285;width:4050;height:2150" o:preferrelative="f">
              <v:fill o:detectmouseclick="t"/>
              <v:path o:extrusionok="t" o:connecttype="none"/>
              <o:lock v:ext="edit" text="t"/>
            </v:shape>
            <v:shape id="_x0000_s1091" type="#_x0000_t75" style="position:absolute;left:2520;top:9285;width:1374;height:1543" fillcolor="#bbe0e3">
              <v:imagedata r:id="rId24" o:title=""/>
            </v:shape>
            <v:rect id="_x0000_s1092" style="position:absolute;left:2520;top:10828;width:1500;height:607" filled="f" fillcolor="#bbe0e3" stroked="f">
              <v:textbox style="mso-fit-shape-to-text:t">
                <w:txbxContent>
                  <w:p w:rsidR="00D24B93" w:rsidRPr="003B55BF" w:rsidRDefault="00D24B93" w:rsidP="003B55BF">
                    <w:pPr>
                      <w:autoSpaceDE w:val="0"/>
                      <w:autoSpaceDN w:val="0"/>
                      <w:adjustRightInd w:val="0"/>
                      <w:rPr>
                        <w:rFonts w:ascii="Arial" w:hAnsi="Arial" w:cs="Arial"/>
                        <w:b/>
                        <w:bCs/>
                        <w:color w:val="A50021"/>
                        <w:sz w:val="16"/>
                        <w:szCs w:val="16"/>
                        <w:lang w:val="de-DE"/>
                      </w:rPr>
                    </w:pPr>
                    <w:r w:rsidRPr="003B55BF">
                      <w:rPr>
                        <w:rFonts w:ascii="Arial" w:hAnsi="Arial" w:cs="Arial"/>
                        <w:b/>
                        <w:bCs/>
                        <w:color w:val="A50021"/>
                        <w:sz w:val="16"/>
                        <w:szCs w:val="16"/>
                        <w:lang w:val="de-DE"/>
                      </w:rPr>
                      <w:t>MMV 670246</w:t>
                    </w:r>
                  </w:p>
                  <w:p w:rsidR="00D24B93" w:rsidRPr="003B55BF" w:rsidRDefault="00D24B93" w:rsidP="003B55BF">
                    <w:pPr>
                      <w:autoSpaceDE w:val="0"/>
                      <w:autoSpaceDN w:val="0"/>
                      <w:adjustRightInd w:val="0"/>
                      <w:rPr>
                        <w:rFonts w:ascii="Arial" w:hAnsi="Arial" w:cs="Arial"/>
                        <w:b/>
                        <w:bCs/>
                        <w:color w:val="FF0000"/>
                        <w:sz w:val="16"/>
                        <w:szCs w:val="16"/>
                        <w:lang w:val="de-DE"/>
                      </w:rPr>
                    </w:pPr>
                    <w:r w:rsidRPr="003B55BF">
                      <w:rPr>
                        <w:rFonts w:ascii="Arial" w:hAnsi="Arial" w:cs="Arial"/>
                        <w:b/>
                        <w:bCs/>
                        <w:color w:val="FF0000"/>
                        <w:sz w:val="16"/>
                        <w:szCs w:val="16"/>
                        <w:lang w:val="de-DE"/>
                      </w:rPr>
                      <w:t>Pfal IC</w:t>
                    </w:r>
                    <w:r w:rsidRPr="003B55BF">
                      <w:rPr>
                        <w:rFonts w:ascii="Arial" w:hAnsi="Arial" w:cs="Arial"/>
                        <w:b/>
                        <w:bCs/>
                        <w:color w:val="FF0000"/>
                        <w:sz w:val="16"/>
                        <w:szCs w:val="16"/>
                        <w:vertAlign w:val="subscript"/>
                        <w:lang w:val="de-DE"/>
                      </w:rPr>
                      <w:t xml:space="preserve">50 </w:t>
                    </w:r>
                    <w:r w:rsidRPr="003B55BF">
                      <w:rPr>
                        <w:rFonts w:ascii="Arial" w:hAnsi="Arial" w:cs="Arial"/>
                        <w:b/>
                        <w:bCs/>
                        <w:color w:val="FF0000"/>
                        <w:sz w:val="16"/>
                        <w:szCs w:val="16"/>
                        <w:lang w:val="de-DE"/>
                      </w:rPr>
                      <w:t>&gt;5 uM</w:t>
                    </w:r>
                  </w:p>
                  <w:p w:rsidR="00D24B93" w:rsidRPr="003B55BF" w:rsidRDefault="00D24B93" w:rsidP="003B55BF">
                    <w:pPr>
                      <w:autoSpaceDE w:val="0"/>
                      <w:autoSpaceDN w:val="0"/>
                      <w:adjustRightInd w:val="0"/>
                      <w:rPr>
                        <w:rFonts w:ascii="Arial" w:hAnsi="Arial" w:cs="Arial"/>
                        <w:b/>
                        <w:bCs/>
                        <w:color w:val="009900"/>
                        <w:sz w:val="16"/>
                        <w:szCs w:val="16"/>
                        <w:lang w:val="de-DE"/>
                      </w:rPr>
                    </w:pPr>
                    <w:r w:rsidRPr="003B55BF">
                      <w:rPr>
                        <w:rFonts w:ascii="Arial" w:hAnsi="Arial" w:cs="Arial"/>
                        <w:b/>
                        <w:bCs/>
                        <w:color w:val="009900"/>
                        <w:sz w:val="16"/>
                        <w:szCs w:val="16"/>
                        <w:lang w:val="de-DE"/>
                      </w:rPr>
                      <w:t>RLM CL/T</w:t>
                    </w:r>
                    <w:r w:rsidRPr="003B55BF">
                      <w:rPr>
                        <w:rFonts w:ascii="Arial" w:hAnsi="Arial" w:cs="Arial"/>
                        <w:b/>
                        <w:bCs/>
                        <w:color w:val="009900"/>
                        <w:sz w:val="16"/>
                        <w:szCs w:val="16"/>
                        <w:vertAlign w:val="subscript"/>
                        <w:lang w:val="de-DE"/>
                      </w:rPr>
                      <w:t>1/2</w:t>
                    </w:r>
                    <w:r w:rsidRPr="003B55BF">
                      <w:rPr>
                        <w:rFonts w:ascii="Symbol" w:hAnsi="Symbol" w:cs="Symbol"/>
                        <w:b/>
                        <w:bCs/>
                        <w:color w:val="009900"/>
                        <w:sz w:val="16"/>
                        <w:szCs w:val="16"/>
                      </w:rPr>
                      <w:t></w:t>
                    </w:r>
                    <w:r w:rsidRPr="003B55BF">
                      <w:rPr>
                        <w:rFonts w:ascii="Arial" w:hAnsi="Arial" w:cs="Arial"/>
                        <w:b/>
                        <w:bCs/>
                        <w:color w:val="009900"/>
                        <w:sz w:val="16"/>
                        <w:szCs w:val="16"/>
                        <w:lang w:val="de-DE"/>
                      </w:rPr>
                      <w:t>15/113</w:t>
                    </w:r>
                  </w:p>
                </w:txbxContent>
              </v:textbox>
            </v:rect>
            <v:shape id="TextBox 9" o:spid="_x0000_s1093" type="#_x0000_t202" style="position:absolute;left:4020;top:9594;width:2400;height:1227;visibility:visible" fillcolor="#ff9" stroked="f">
              <v:textbox style="mso-rotate-with-shape:t;mso-fit-shape-to-text:t">
                <w:txbxContent>
                  <w:p w:rsidR="00D24B93" w:rsidRPr="003B55BF" w:rsidRDefault="00D24B93" w:rsidP="003B55BF">
                    <w:pPr>
                      <w:autoSpaceDE w:val="0"/>
                      <w:autoSpaceDN w:val="0"/>
                      <w:adjustRightInd w:val="0"/>
                      <w:rPr>
                        <w:rFonts w:ascii="Arial" w:hAnsi="Arial" w:cs="Arial"/>
                        <w:b/>
                        <w:bCs/>
                        <w:color w:val="000000"/>
                        <w:sz w:val="16"/>
                        <w:szCs w:val="16"/>
                        <w:lang w:val="en-GB"/>
                      </w:rPr>
                    </w:pPr>
                    <w:r w:rsidRPr="003B55BF">
                      <w:rPr>
                        <w:rFonts w:ascii="Arial" w:hAnsi="Arial" w:cs="Arial"/>
                        <w:b/>
                        <w:bCs/>
                        <w:color w:val="000000"/>
                        <w:sz w:val="16"/>
                        <w:szCs w:val="16"/>
                        <w:lang w:val="en-GB"/>
                      </w:rPr>
                      <w:t>Rat PK: iv 0.5 mg/kg; po 3 mg/kg</w:t>
                    </w:r>
                  </w:p>
                  <w:p w:rsidR="00D24B93" w:rsidRPr="003B55BF" w:rsidRDefault="00D24B93" w:rsidP="003B55BF">
                    <w:pPr>
                      <w:autoSpaceDE w:val="0"/>
                      <w:autoSpaceDN w:val="0"/>
                      <w:adjustRightInd w:val="0"/>
                      <w:rPr>
                        <w:rFonts w:ascii="Arial" w:hAnsi="Arial" w:cs="Arial"/>
                        <w:b/>
                        <w:bCs/>
                        <w:color w:val="000000"/>
                        <w:sz w:val="16"/>
                        <w:szCs w:val="16"/>
                        <w:lang w:val="en-GB"/>
                      </w:rPr>
                    </w:pPr>
                  </w:p>
                  <w:p w:rsidR="00D24B93" w:rsidRPr="003B55BF" w:rsidRDefault="00D24B93" w:rsidP="003B55BF">
                    <w:pPr>
                      <w:autoSpaceDE w:val="0"/>
                      <w:autoSpaceDN w:val="0"/>
                      <w:adjustRightInd w:val="0"/>
                      <w:rPr>
                        <w:rFonts w:ascii="Arial" w:hAnsi="Arial" w:cs="Arial"/>
                        <w:b/>
                        <w:bCs/>
                        <w:color w:val="FF0000"/>
                        <w:sz w:val="16"/>
                        <w:szCs w:val="16"/>
                        <w:lang w:val="de-DE"/>
                      </w:rPr>
                    </w:pPr>
                    <w:r w:rsidRPr="003B55BF">
                      <w:rPr>
                        <w:rFonts w:ascii="Arial" w:hAnsi="Arial" w:cs="Arial"/>
                        <w:b/>
                        <w:bCs/>
                        <w:color w:val="000000"/>
                        <w:sz w:val="16"/>
                        <w:szCs w:val="16"/>
                        <w:lang w:val="en-GB"/>
                      </w:rPr>
                      <w:t xml:space="preserve">               </w:t>
                    </w:r>
                    <w:r w:rsidRPr="003B55BF">
                      <w:rPr>
                        <w:rFonts w:ascii="Arial" w:hAnsi="Arial" w:cs="Arial"/>
                        <w:b/>
                        <w:bCs/>
                        <w:color w:val="FF0000"/>
                        <w:sz w:val="16"/>
                        <w:szCs w:val="16"/>
                        <w:lang w:val="de-DE"/>
                      </w:rPr>
                      <w:t>CL   51.6 mL/min/kg</w:t>
                    </w:r>
                  </w:p>
                  <w:p w:rsidR="00D24B93" w:rsidRPr="003B55BF" w:rsidRDefault="00D24B93" w:rsidP="003B55BF">
                    <w:pPr>
                      <w:autoSpaceDE w:val="0"/>
                      <w:autoSpaceDN w:val="0"/>
                      <w:adjustRightInd w:val="0"/>
                      <w:rPr>
                        <w:rFonts w:ascii="Arial" w:hAnsi="Arial" w:cs="Arial"/>
                        <w:b/>
                        <w:bCs/>
                        <w:color w:val="000000"/>
                        <w:sz w:val="16"/>
                        <w:szCs w:val="16"/>
                        <w:lang w:val="de-DE"/>
                      </w:rPr>
                    </w:pPr>
                    <w:r w:rsidRPr="003B55BF">
                      <w:rPr>
                        <w:rFonts w:ascii="Arial" w:hAnsi="Arial" w:cs="Arial"/>
                        <w:b/>
                        <w:bCs/>
                        <w:color w:val="000000"/>
                        <w:sz w:val="16"/>
                        <w:szCs w:val="16"/>
                        <w:lang w:val="de-DE"/>
                      </w:rPr>
                      <w:t xml:space="preserve">               V</w:t>
                    </w:r>
                    <w:r w:rsidRPr="003B55BF">
                      <w:rPr>
                        <w:rFonts w:ascii="Arial" w:hAnsi="Arial" w:cs="Arial"/>
                        <w:b/>
                        <w:bCs/>
                        <w:color w:val="000000"/>
                        <w:sz w:val="16"/>
                        <w:szCs w:val="16"/>
                        <w:vertAlign w:val="subscript"/>
                        <w:lang w:val="de-DE"/>
                      </w:rPr>
                      <w:t>ss</w:t>
                    </w:r>
                    <w:r w:rsidRPr="003B55BF">
                      <w:rPr>
                        <w:rFonts w:ascii="Arial" w:hAnsi="Arial" w:cs="Arial"/>
                        <w:b/>
                        <w:bCs/>
                        <w:color w:val="000000"/>
                        <w:sz w:val="16"/>
                        <w:szCs w:val="16"/>
                        <w:lang w:val="de-DE"/>
                      </w:rPr>
                      <w:t xml:space="preserve">   5.2 L/Kg</w:t>
                    </w:r>
                  </w:p>
                  <w:p w:rsidR="00D24B93" w:rsidRPr="003B55BF" w:rsidRDefault="00D24B93" w:rsidP="003B55BF">
                    <w:pPr>
                      <w:autoSpaceDE w:val="0"/>
                      <w:autoSpaceDN w:val="0"/>
                      <w:adjustRightInd w:val="0"/>
                      <w:rPr>
                        <w:rFonts w:ascii="Arial" w:hAnsi="Arial" w:cs="Arial"/>
                        <w:b/>
                        <w:bCs/>
                        <w:color w:val="000000"/>
                        <w:sz w:val="16"/>
                        <w:szCs w:val="16"/>
                        <w:lang w:val="en-GB"/>
                      </w:rPr>
                    </w:pPr>
                    <w:r w:rsidRPr="003B55BF">
                      <w:rPr>
                        <w:rFonts w:ascii="Arial" w:hAnsi="Arial" w:cs="Arial"/>
                        <w:b/>
                        <w:bCs/>
                        <w:color w:val="000000"/>
                        <w:sz w:val="16"/>
                        <w:szCs w:val="16"/>
                        <w:lang w:val="de-DE"/>
                      </w:rPr>
                      <w:t xml:space="preserve">               </w:t>
                    </w:r>
                    <w:r w:rsidRPr="003B55BF">
                      <w:rPr>
                        <w:rFonts w:ascii="Arial" w:hAnsi="Arial" w:cs="Arial"/>
                        <w:b/>
                        <w:bCs/>
                        <w:color w:val="000000"/>
                        <w:sz w:val="16"/>
                        <w:szCs w:val="16"/>
                        <w:lang w:val="en-GB"/>
                      </w:rPr>
                      <w:t>T</w:t>
                    </w:r>
                    <w:r w:rsidRPr="003B55BF">
                      <w:rPr>
                        <w:rFonts w:ascii="Arial" w:hAnsi="Arial" w:cs="Arial"/>
                        <w:b/>
                        <w:bCs/>
                        <w:color w:val="000000"/>
                        <w:sz w:val="16"/>
                        <w:szCs w:val="16"/>
                        <w:vertAlign w:val="subscript"/>
                        <w:lang w:val="en-GB"/>
                      </w:rPr>
                      <w:t>1/2</w:t>
                    </w:r>
                    <w:r w:rsidRPr="003B55BF">
                      <w:rPr>
                        <w:rFonts w:ascii="Arial" w:hAnsi="Arial" w:cs="Arial"/>
                        <w:b/>
                        <w:bCs/>
                        <w:color w:val="000000"/>
                        <w:sz w:val="16"/>
                        <w:szCs w:val="16"/>
                        <w:lang w:val="en-GB"/>
                      </w:rPr>
                      <w:t xml:space="preserve">  1.6 h</w:t>
                    </w:r>
                  </w:p>
                  <w:p w:rsidR="00D24B93" w:rsidRPr="003B55BF" w:rsidRDefault="00D24B93" w:rsidP="003B55BF">
                    <w:pPr>
                      <w:autoSpaceDE w:val="0"/>
                      <w:autoSpaceDN w:val="0"/>
                      <w:adjustRightInd w:val="0"/>
                      <w:rPr>
                        <w:rFonts w:ascii="Arial" w:hAnsi="Arial" w:cs="Arial"/>
                        <w:b/>
                        <w:bCs/>
                        <w:color w:val="000000"/>
                        <w:sz w:val="16"/>
                        <w:szCs w:val="16"/>
                        <w:lang w:val="en-GB"/>
                      </w:rPr>
                    </w:pPr>
                    <w:r w:rsidRPr="003B55BF">
                      <w:rPr>
                        <w:rFonts w:ascii="Arial" w:hAnsi="Arial" w:cs="Arial"/>
                        <w:b/>
                        <w:bCs/>
                        <w:color w:val="000000"/>
                        <w:sz w:val="16"/>
                        <w:szCs w:val="16"/>
                        <w:lang w:val="en-GB"/>
                      </w:rPr>
                      <w:t xml:space="preserve">               T</w:t>
                    </w:r>
                    <w:r w:rsidRPr="003B55BF">
                      <w:rPr>
                        <w:rFonts w:ascii="Arial" w:hAnsi="Arial" w:cs="Arial"/>
                        <w:b/>
                        <w:bCs/>
                        <w:color w:val="000000"/>
                        <w:sz w:val="16"/>
                        <w:szCs w:val="16"/>
                        <w:vertAlign w:val="subscript"/>
                        <w:lang w:val="en-GB"/>
                      </w:rPr>
                      <w:t>max</w:t>
                    </w:r>
                    <w:r w:rsidRPr="003B55BF">
                      <w:rPr>
                        <w:rFonts w:ascii="Arial" w:hAnsi="Arial" w:cs="Arial"/>
                        <w:b/>
                        <w:bCs/>
                        <w:color w:val="000000"/>
                        <w:sz w:val="16"/>
                        <w:szCs w:val="16"/>
                        <w:lang w:val="en-GB"/>
                      </w:rPr>
                      <w:t xml:space="preserve"> 4 h</w:t>
                    </w:r>
                  </w:p>
                  <w:p w:rsidR="00D24B93" w:rsidRPr="003B55BF" w:rsidRDefault="00D24B93" w:rsidP="003B55BF">
                    <w:pPr>
                      <w:autoSpaceDE w:val="0"/>
                      <w:autoSpaceDN w:val="0"/>
                      <w:adjustRightInd w:val="0"/>
                      <w:rPr>
                        <w:rFonts w:ascii="Arial" w:hAnsi="Arial" w:cs="Arial"/>
                        <w:b/>
                        <w:bCs/>
                        <w:color w:val="000000"/>
                        <w:sz w:val="16"/>
                        <w:szCs w:val="16"/>
                        <w:lang w:val="en-GB"/>
                      </w:rPr>
                    </w:pPr>
                    <w:r w:rsidRPr="003B55BF">
                      <w:rPr>
                        <w:rFonts w:ascii="Arial" w:hAnsi="Arial" w:cs="Arial"/>
                        <w:b/>
                        <w:bCs/>
                        <w:color w:val="000000"/>
                        <w:sz w:val="16"/>
                        <w:szCs w:val="16"/>
                        <w:lang w:val="en-GB"/>
                      </w:rPr>
                      <w:t xml:space="preserve">               %F   9</w:t>
                    </w:r>
                  </w:p>
                </w:txbxContent>
              </v:textbox>
            </v:shape>
            <w10:anchorlock/>
          </v:group>
          <o:OLEObject Type="Embed" ProgID="ISISServer" ShapeID="_x0000_s1091" DrawAspect="Content" ObjectID="_1314175990" r:id="rId25"/>
        </w:pict>
      </w:r>
    </w:p>
    <w:p w:rsidR="003B55BF" w:rsidRPr="00005B4D" w:rsidRDefault="003B55BF" w:rsidP="00CB2344">
      <w:pPr>
        <w:jc w:val="both"/>
      </w:pPr>
      <w:r w:rsidRPr="00005B4D">
        <w:t>Several attempts to make aniline-amides with improved potency against Pfal failed.</w:t>
      </w:r>
      <w:r w:rsidR="000206CA" w:rsidRPr="00005B4D">
        <w:t xml:space="preserve"> Loading the aniline ring with lipophilic substituents marginally improved potency but led to poor RLM stability.</w:t>
      </w:r>
    </w:p>
    <w:p w:rsidR="00916643" w:rsidRPr="00005B4D" w:rsidRDefault="00916643" w:rsidP="00CB2344">
      <w:pPr>
        <w:jc w:val="both"/>
      </w:pPr>
      <w:r w:rsidRPr="00005B4D">
        <w:t xml:space="preserve">Considering that the benzylic position in the </w:t>
      </w:r>
      <w:r w:rsidR="00644E9D">
        <w:t xml:space="preserve">phenethyl </w:t>
      </w:r>
      <w:r w:rsidRPr="00005B4D">
        <w:t>side-chain is prone to metabolic oxidation, several compounds</w:t>
      </w:r>
      <w:r w:rsidR="00B22C3B" w:rsidRPr="00005B4D">
        <w:t xml:space="preserve"> having mono- and di-substitution in the benzylic position were made. Di-Substitution lowered the potency considerably whereas mono-substitution with OMe, OCHF2, CH2OH, NMe2 groups retained good potency. Additional substitution alpha- to the ether oxygen led to complete loss of potency. The alpha-</w:t>
      </w:r>
      <w:r w:rsidR="00B22C3B" w:rsidRPr="00005B4D">
        <w:lastRenderedPageBreak/>
        <w:t>OCHF2 compound MMV670652, with a p-CN-phenyl group on the triazole ring, showed better RLM stability (cLogP effect).</w:t>
      </w:r>
    </w:p>
    <w:p w:rsidR="000206CA" w:rsidRPr="00005B4D" w:rsidRDefault="000206CA" w:rsidP="00CB2344">
      <w:pPr>
        <w:jc w:val="both"/>
      </w:pPr>
      <w:r w:rsidRPr="00005B4D">
        <w:t xml:space="preserve">We also examined if the phenyethyl chain can be replaced by an aromatic group thus mitigating the potential metabolism of the ethyl chain. Several compounds with a phenol substituent on the pyrazine ring were made. Some substituted phenolates were metabolically more stable </w:t>
      </w:r>
      <w:r w:rsidRPr="00005B4D">
        <w:rPr>
          <w:i/>
        </w:rPr>
        <w:t>in-vitro</w:t>
      </w:r>
      <w:r w:rsidRPr="00005B4D">
        <w:t xml:space="preserve"> as well as </w:t>
      </w:r>
      <w:r w:rsidRPr="00005B4D">
        <w:rPr>
          <w:i/>
        </w:rPr>
        <w:t>in-vivo</w:t>
      </w:r>
      <w:r w:rsidRPr="00005B4D">
        <w:t xml:space="preserve"> in rat, although with reduced potency against Pfal.</w:t>
      </w:r>
    </w:p>
    <w:p w:rsidR="000206CA" w:rsidRDefault="000206CA" w:rsidP="00916643">
      <w:pPr>
        <w:tabs>
          <w:tab w:val="left" w:pos="6705"/>
        </w:tabs>
        <w:jc w:val="both"/>
        <w:rPr>
          <w:b/>
        </w:rPr>
      </w:pPr>
      <w:r>
        <w:rPr>
          <w:b/>
        </w:rPr>
        <w:t xml:space="preserve"> </w:t>
      </w:r>
      <w:r w:rsidR="00BB0BED">
        <w:rPr>
          <w:b/>
        </w:rPr>
      </w:r>
      <w:r w:rsidR="00BB0BED">
        <w:rPr>
          <w:b/>
        </w:rPr>
        <w:pict>
          <v:group id="_x0000_s1100" style="width:234pt;height:126pt;mso-position-horizontal-relative:char;mso-position-vertical-relative:line" coordorigin="1860,6158" coordsize="4680,2520" editas="canvas">
            <o:lock v:ext="edit" aspectratio="t"/>
            <v:shape id="_x0000_s1099" type="#_x0000_t75" style="position:absolute;left:1860;top:6158;width:4680;height:2520" o:preferrelative="f">
              <v:fill o:detectmouseclick="t"/>
              <v:path o:extrusionok="t" o:connecttype="none"/>
              <o:lock v:ext="edit" text="t"/>
            </v:shape>
            <v:shape id="_x0000_s1096" type="#_x0000_t75" style="position:absolute;left:1860;top:6158;width:2160;height:1773" fillcolor="#bbe0e3">
              <v:imagedata r:id="rId26" o:title=""/>
            </v:shape>
            <v:rect id="_x0000_s1097" style="position:absolute;left:2220;top:7970;width:1920;height:708" filled="f" fillcolor="#bbe0e3" stroked="f">
              <v:textbox style="mso-fit-shape-to-text:t">
                <w:txbxContent>
                  <w:p w:rsidR="00D24B93" w:rsidRPr="000206CA" w:rsidRDefault="00D24B93" w:rsidP="000206CA">
                    <w:pPr>
                      <w:autoSpaceDE w:val="0"/>
                      <w:autoSpaceDN w:val="0"/>
                      <w:adjustRightInd w:val="0"/>
                      <w:rPr>
                        <w:rFonts w:ascii="Arial" w:hAnsi="Arial" w:cs="Arial"/>
                        <w:b/>
                        <w:bCs/>
                        <w:color w:val="A50021"/>
                        <w:sz w:val="16"/>
                        <w:szCs w:val="16"/>
                        <w:lang w:val="de-DE"/>
                      </w:rPr>
                    </w:pPr>
                    <w:r w:rsidRPr="000206CA">
                      <w:rPr>
                        <w:rFonts w:ascii="Arial" w:hAnsi="Arial" w:cs="Arial"/>
                        <w:b/>
                        <w:bCs/>
                        <w:color w:val="A50021"/>
                        <w:sz w:val="16"/>
                        <w:szCs w:val="16"/>
                        <w:lang w:val="de-DE"/>
                      </w:rPr>
                      <w:t>MMV 669784</w:t>
                    </w:r>
                  </w:p>
                  <w:p w:rsidR="00D24B93" w:rsidRPr="000206CA" w:rsidRDefault="00D24B93" w:rsidP="000206CA">
                    <w:pPr>
                      <w:autoSpaceDE w:val="0"/>
                      <w:autoSpaceDN w:val="0"/>
                      <w:adjustRightInd w:val="0"/>
                      <w:rPr>
                        <w:rFonts w:ascii="Arial" w:hAnsi="Arial" w:cs="Arial"/>
                        <w:b/>
                        <w:bCs/>
                        <w:color w:val="000000"/>
                        <w:sz w:val="16"/>
                        <w:szCs w:val="16"/>
                        <w:vertAlign w:val="subscript"/>
                        <w:lang w:val="de-DE"/>
                      </w:rPr>
                    </w:pPr>
                    <w:r w:rsidRPr="000206CA">
                      <w:rPr>
                        <w:rFonts w:ascii="Arial" w:hAnsi="Arial" w:cs="Arial"/>
                        <w:b/>
                        <w:bCs/>
                        <w:color w:val="FF0000"/>
                        <w:sz w:val="16"/>
                        <w:szCs w:val="16"/>
                        <w:lang w:val="de-DE"/>
                      </w:rPr>
                      <w:t>Pfal IC</w:t>
                    </w:r>
                    <w:r w:rsidRPr="000206CA">
                      <w:rPr>
                        <w:rFonts w:ascii="Arial" w:hAnsi="Arial" w:cs="Arial"/>
                        <w:b/>
                        <w:bCs/>
                        <w:color w:val="FF0000"/>
                        <w:sz w:val="16"/>
                        <w:szCs w:val="16"/>
                        <w:vertAlign w:val="subscript"/>
                        <w:lang w:val="de-DE"/>
                      </w:rPr>
                      <w:t xml:space="preserve">50 </w:t>
                    </w:r>
                    <w:r w:rsidRPr="000206CA">
                      <w:rPr>
                        <w:rFonts w:ascii="Arial" w:hAnsi="Arial" w:cs="Arial"/>
                        <w:b/>
                        <w:bCs/>
                        <w:color w:val="FF0000"/>
                        <w:sz w:val="16"/>
                        <w:szCs w:val="16"/>
                        <w:lang w:val="de-DE"/>
                      </w:rPr>
                      <w:t>2.94 uM</w:t>
                    </w:r>
                  </w:p>
                  <w:p w:rsidR="00D24B93" w:rsidRPr="000206CA" w:rsidRDefault="00D24B93" w:rsidP="000206CA">
                    <w:pPr>
                      <w:autoSpaceDE w:val="0"/>
                      <w:autoSpaceDN w:val="0"/>
                      <w:adjustRightInd w:val="0"/>
                      <w:rPr>
                        <w:rFonts w:ascii="Arial" w:hAnsi="Arial" w:cs="Arial"/>
                        <w:b/>
                        <w:bCs/>
                        <w:color w:val="009900"/>
                        <w:sz w:val="16"/>
                        <w:szCs w:val="16"/>
                        <w:lang w:val="de-DE"/>
                      </w:rPr>
                    </w:pPr>
                    <w:r w:rsidRPr="000206CA">
                      <w:rPr>
                        <w:rFonts w:ascii="Arial" w:hAnsi="Arial" w:cs="Arial"/>
                        <w:b/>
                        <w:bCs/>
                        <w:color w:val="009900"/>
                        <w:sz w:val="16"/>
                        <w:szCs w:val="16"/>
                        <w:lang w:val="de-DE"/>
                      </w:rPr>
                      <w:t>RLM CL/T</w:t>
                    </w:r>
                    <w:r w:rsidRPr="000206CA">
                      <w:rPr>
                        <w:rFonts w:ascii="Arial" w:hAnsi="Arial" w:cs="Arial"/>
                        <w:b/>
                        <w:bCs/>
                        <w:color w:val="009900"/>
                        <w:sz w:val="16"/>
                        <w:szCs w:val="16"/>
                        <w:vertAlign w:val="subscript"/>
                        <w:lang w:val="de-DE"/>
                      </w:rPr>
                      <w:t>1/2</w:t>
                    </w:r>
                    <w:r w:rsidRPr="000206CA">
                      <w:rPr>
                        <w:rFonts w:ascii="Symbol" w:hAnsi="Symbol" w:cs="Symbol"/>
                        <w:b/>
                        <w:bCs/>
                        <w:color w:val="009900"/>
                        <w:sz w:val="16"/>
                        <w:szCs w:val="16"/>
                      </w:rPr>
                      <w:t></w:t>
                    </w:r>
                    <w:r w:rsidRPr="000206CA">
                      <w:rPr>
                        <w:rFonts w:ascii="Arial" w:hAnsi="Arial" w:cs="Arial"/>
                        <w:b/>
                        <w:bCs/>
                        <w:color w:val="009900"/>
                        <w:sz w:val="16"/>
                        <w:szCs w:val="16"/>
                        <w:lang w:val="de-DE"/>
                      </w:rPr>
                      <w:t>&lt;14/&gt;120</w:t>
                    </w:r>
                  </w:p>
                </w:txbxContent>
              </v:textbox>
            </v:rect>
            <v:shape id="TextBox 9" o:spid="_x0000_s1098" type="#_x0000_t202" style="position:absolute;left:4020;top:6518;width:2460;height:1064;visibility:visible" fillcolor="#ff9" stroked="f">
              <v:textbox style="mso-rotate-with-shape:t;mso-fit-shape-to-text:t">
                <w:txbxContent>
                  <w:p w:rsidR="00D24B93" w:rsidRPr="000206CA" w:rsidRDefault="00D24B93" w:rsidP="000206CA">
                    <w:pPr>
                      <w:autoSpaceDE w:val="0"/>
                      <w:autoSpaceDN w:val="0"/>
                      <w:adjustRightInd w:val="0"/>
                      <w:rPr>
                        <w:rFonts w:ascii="Arial" w:hAnsi="Arial" w:cs="Arial"/>
                        <w:b/>
                        <w:bCs/>
                        <w:color w:val="000000"/>
                        <w:sz w:val="16"/>
                        <w:szCs w:val="16"/>
                        <w:lang w:val="de-DE"/>
                      </w:rPr>
                    </w:pPr>
                    <w:r w:rsidRPr="000206CA">
                      <w:rPr>
                        <w:rFonts w:ascii="Arial" w:hAnsi="Arial" w:cs="Arial"/>
                        <w:b/>
                        <w:bCs/>
                        <w:color w:val="000000"/>
                        <w:sz w:val="16"/>
                        <w:szCs w:val="16"/>
                        <w:lang w:val="de-DE"/>
                      </w:rPr>
                      <w:t>Rat PK: iv 1 mg/kg</w:t>
                    </w:r>
                  </w:p>
                  <w:p w:rsidR="00D24B93" w:rsidRPr="000206CA" w:rsidRDefault="00D24B93" w:rsidP="000206CA">
                    <w:pPr>
                      <w:autoSpaceDE w:val="0"/>
                      <w:autoSpaceDN w:val="0"/>
                      <w:adjustRightInd w:val="0"/>
                      <w:rPr>
                        <w:rFonts w:ascii="Arial" w:hAnsi="Arial" w:cs="Arial"/>
                        <w:b/>
                        <w:bCs/>
                        <w:color w:val="000000"/>
                        <w:sz w:val="16"/>
                        <w:szCs w:val="16"/>
                        <w:lang w:val="de-DE"/>
                      </w:rPr>
                    </w:pPr>
                  </w:p>
                  <w:p w:rsidR="00D24B93" w:rsidRPr="000206CA" w:rsidRDefault="00D24B93" w:rsidP="000206CA">
                    <w:pPr>
                      <w:autoSpaceDE w:val="0"/>
                      <w:autoSpaceDN w:val="0"/>
                      <w:adjustRightInd w:val="0"/>
                      <w:rPr>
                        <w:rFonts w:ascii="Arial" w:hAnsi="Arial" w:cs="Arial"/>
                        <w:b/>
                        <w:bCs/>
                        <w:color w:val="FF0000"/>
                        <w:sz w:val="16"/>
                        <w:szCs w:val="16"/>
                        <w:lang w:val="de-DE"/>
                      </w:rPr>
                    </w:pPr>
                    <w:r w:rsidRPr="000206CA">
                      <w:rPr>
                        <w:rFonts w:ascii="Arial" w:hAnsi="Arial" w:cs="Arial"/>
                        <w:b/>
                        <w:bCs/>
                        <w:color w:val="000000"/>
                        <w:sz w:val="16"/>
                        <w:szCs w:val="16"/>
                        <w:lang w:val="de-DE"/>
                      </w:rPr>
                      <w:t xml:space="preserve">               </w:t>
                    </w:r>
                    <w:r w:rsidRPr="000206CA">
                      <w:rPr>
                        <w:rFonts w:ascii="Arial" w:hAnsi="Arial" w:cs="Arial"/>
                        <w:b/>
                        <w:bCs/>
                        <w:color w:val="FF0000"/>
                        <w:sz w:val="16"/>
                        <w:szCs w:val="16"/>
                        <w:lang w:val="de-DE"/>
                      </w:rPr>
                      <w:t>CL   27 mL/min/kg</w:t>
                    </w:r>
                  </w:p>
                  <w:p w:rsidR="00D24B93" w:rsidRPr="000206CA" w:rsidRDefault="00D24B93" w:rsidP="000206CA">
                    <w:pPr>
                      <w:autoSpaceDE w:val="0"/>
                      <w:autoSpaceDN w:val="0"/>
                      <w:adjustRightInd w:val="0"/>
                      <w:rPr>
                        <w:rFonts w:ascii="Arial" w:hAnsi="Arial" w:cs="Arial"/>
                        <w:b/>
                        <w:bCs/>
                        <w:color w:val="000000"/>
                        <w:sz w:val="16"/>
                        <w:szCs w:val="16"/>
                        <w:lang w:val="en-GB"/>
                      </w:rPr>
                    </w:pPr>
                    <w:r w:rsidRPr="000206CA">
                      <w:rPr>
                        <w:rFonts w:ascii="Arial" w:hAnsi="Arial" w:cs="Arial"/>
                        <w:b/>
                        <w:bCs/>
                        <w:color w:val="000000"/>
                        <w:sz w:val="16"/>
                        <w:szCs w:val="16"/>
                        <w:lang w:val="de-DE"/>
                      </w:rPr>
                      <w:t xml:space="preserve">               </w:t>
                    </w:r>
                    <w:r w:rsidRPr="000206CA">
                      <w:rPr>
                        <w:rFonts w:ascii="Arial" w:hAnsi="Arial" w:cs="Arial"/>
                        <w:b/>
                        <w:bCs/>
                        <w:color w:val="000000"/>
                        <w:sz w:val="16"/>
                        <w:szCs w:val="16"/>
                        <w:lang w:val="en-GB"/>
                      </w:rPr>
                      <w:t>V</w:t>
                    </w:r>
                    <w:r w:rsidRPr="000206CA">
                      <w:rPr>
                        <w:rFonts w:ascii="Arial" w:hAnsi="Arial" w:cs="Arial"/>
                        <w:b/>
                        <w:bCs/>
                        <w:color w:val="000000"/>
                        <w:sz w:val="16"/>
                        <w:szCs w:val="16"/>
                        <w:vertAlign w:val="subscript"/>
                        <w:lang w:val="en-GB"/>
                      </w:rPr>
                      <w:t>ss</w:t>
                    </w:r>
                    <w:r w:rsidRPr="000206CA">
                      <w:rPr>
                        <w:rFonts w:ascii="Arial" w:hAnsi="Arial" w:cs="Arial"/>
                        <w:b/>
                        <w:bCs/>
                        <w:color w:val="000000"/>
                        <w:sz w:val="16"/>
                        <w:szCs w:val="16"/>
                        <w:lang w:val="en-GB"/>
                      </w:rPr>
                      <w:t xml:space="preserve">   3.4 L/Kg</w:t>
                    </w:r>
                  </w:p>
                  <w:p w:rsidR="00D24B93" w:rsidRPr="000206CA" w:rsidRDefault="00D24B93" w:rsidP="000206CA">
                    <w:pPr>
                      <w:autoSpaceDE w:val="0"/>
                      <w:autoSpaceDN w:val="0"/>
                      <w:adjustRightInd w:val="0"/>
                      <w:rPr>
                        <w:rFonts w:ascii="Arial" w:hAnsi="Arial" w:cs="Arial"/>
                        <w:b/>
                        <w:bCs/>
                        <w:color w:val="000000"/>
                        <w:sz w:val="16"/>
                        <w:szCs w:val="16"/>
                        <w:lang w:val="en-GB"/>
                      </w:rPr>
                    </w:pPr>
                    <w:r w:rsidRPr="000206CA">
                      <w:rPr>
                        <w:rFonts w:ascii="Arial" w:hAnsi="Arial" w:cs="Arial"/>
                        <w:b/>
                        <w:bCs/>
                        <w:color w:val="000000"/>
                        <w:sz w:val="16"/>
                        <w:szCs w:val="16"/>
                        <w:lang w:val="en-GB"/>
                      </w:rPr>
                      <w:t xml:space="preserve">               T</w:t>
                    </w:r>
                    <w:r w:rsidRPr="000206CA">
                      <w:rPr>
                        <w:rFonts w:ascii="Arial" w:hAnsi="Arial" w:cs="Arial"/>
                        <w:b/>
                        <w:bCs/>
                        <w:color w:val="000000"/>
                        <w:sz w:val="16"/>
                        <w:szCs w:val="16"/>
                        <w:vertAlign w:val="subscript"/>
                        <w:lang w:val="en-GB"/>
                      </w:rPr>
                      <w:t>1/2</w:t>
                    </w:r>
                    <w:r w:rsidRPr="000206CA">
                      <w:rPr>
                        <w:rFonts w:ascii="Arial" w:hAnsi="Arial" w:cs="Arial"/>
                        <w:b/>
                        <w:bCs/>
                        <w:color w:val="000000"/>
                        <w:sz w:val="16"/>
                        <w:szCs w:val="16"/>
                        <w:lang w:val="en-GB"/>
                      </w:rPr>
                      <w:t xml:space="preserve">   2.2 h </w:t>
                    </w:r>
                  </w:p>
                </w:txbxContent>
              </v:textbox>
            </v:shape>
            <w10:anchorlock/>
          </v:group>
          <o:OLEObject Type="Embed" ProgID="ISISServer" ShapeID="_x0000_s1096" DrawAspect="Content" ObjectID="_1314175991" r:id="rId27"/>
        </w:pict>
      </w:r>
      <w:r w:rsidR="00916643">
        <w:rPr>
          <w:b/>
        </w:rPr>
        <w:tab/>
      </w:r>
    </w:p>
    <w:p w:rsidR="0079459F" w:rsidRDefault="00916643" w:rsidP="00916643">
      <w:pPr>
        <w:tabs>
          <w:tab w:val="left" w:pos="6705"/>
        </w:tabs>
        <w:jc w:val="both"/>
      </w:pPr>
      <w:r w:rsidRPr="00005B4D">
        <w:t xml:space="preserve">A 2-naphthol substituent on the pyrazine ring showed </w:t>
      </w:r>
      <w:r w:rsidR="00644E9D">
        <w:t>reasonable</w:t>
      </w:r>
      <w:r w:rsidR="00644E9D" w:rsidRPr="00005B4D">
        <w:t xml:space="preserve"> </w:t>
      </w:r>
      <w:r w:rsidRPr="00005B4D">
        <w:t>potency against Pfal (IC50 114 nM) but suffered from poor RLM stability. Several hetero-analogs of 2-naphthol e.g. indole, indazole, quinoline, chroman, benzisoxazole, quinazoline, etc were made but all lost potency against the parasite.</w:t>
      </w:r>
    </w:p>
    <w:p w:rsidR="00572C45" w:rsidRDefault="00572C45" w:rsidP="00916643">
      <w:pPr>
        <w:tabs>
          <w:tab w:val="left" w:pos="6705"/>
        </w:tabs>
        <w:jc w:val="both"/>
      </w:pPr>
    </w:p>
    <w:p w:rsidR="006C6C04" w:rsidRPr="006C6C04" w:rsidRDefault="002D28F8" w:rsidP="00916643">
      <w:pPr>
        <w:tabs>
          <w:tab w:val="left" w:pos="6705"/>
        </w:tabs>
        <w:jc w:val="both"/>
        <w:rPr>
          <w:b/>
        </w:rPr>
      </w:pPr>
      <w:r w:rsidRPr="002D28F8">
        <w:rPr>
          <w:b/>
        </w:rPr>
        <w:t>Pharmacokinetics</w:t>
      </w:r>
    </w:p>
    <w:p w:rsidR="00D24B93" w:rsidRDefault="009D56EC" w:rsidP="00916643">
      <w:pPr>
        <w:tabs>
          <w:tab w:val="left" w:pos="6705"/>
        </w:tabs>
        <w:jc w:val="both"/>
      </w:pPr>
      <w:r>
        <w:t xml:space="preserve">Only one compound in this series first made at </w:t>
      </w:r>
      <w:r w:rsidR="00983308">
        <w:t>the CRO</w:t>
      </w:r>
      <w:r>
        <w:t xml:space="preserve"> was measured in rat PK</w:t>
      </w:r>
      <w:r w:rsidR="00D24B93">
        <w:t xml:space="preserve"> and that was the relatively weak amide MMV670246. The curve is shown for oral &amp; IV legs &amp; parameters are below.</w:t>
      </w:r>
    </w:p>
    <w:p w:rsidR="00D24B93" w:rsidRDefault="00D24B93" w:rsidP="00916643">
      <w:pPr>
        <w:tabs>
          <w:tab w:val="left" w:pos="6705"/>
        </w:tabs>
        <w:jc w:val="both"/>
      </w:pPr>
      <w:r>
        <w:rPr>
          <w:noProof/>
        </w:rPr>
        <w:drawing>
          <wp:inline distT="0" distB="0" distL="0" distR="0">
            <wp:extent cx="3441065" cy="2374265"/>
            <wp:effectExtent l="1905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srcRect/>
                    <a:stretch>
                      <a:fillRect/>
                    </a:stretch>
                  </pic:blipFill>
                  <pic:spPr bwMode="auto">
                    <a:xfrm>
                      <a:off x="0" y="0"/>
                      <a:ext cx="3441065" cy="2374265"/>
                    </a:xfrm>
                    <a:prstGeom prst="rect">
                      <a:avLst/>
                    </a:prstGeom>
                    <a:noFill/>
                    <a:ln w="9525">
                      <a:noFill/>
                      <a:miter lim="800000"/>
                      <a:headEnd/>
                      <a:tailEnd/>
                    </a:ln>
                  </pic:spPr>
                </pic:pic>
              </a:graphicData>
            </a:graphic>
          </wp:inline>
        </w:drawing>
      </w:r>
    </w:p>
    <w:p w:rsidR="00D24B93" w:rsidRDefault="00D24B93" w:rsidP="00916643">
      <w:pPr>
        <w:tabs>
          <w:tab w:val="left" w:pos="6705"/>
        </w:tabs>
        <w:jc w:val="both"/>
      </w:pPr>
      <w:r>
        <w:rPr>
          <w:noProof/>
        </w:rPr>
        <w:lastRenderedPageBreak/>
        <w:drawing>
          <wp:inline distT="0" distB="0" distL="0" distR="0">
            <wp:extent cx="5486400" cy="3823377"/>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5486400" cy="3823377"/>
                    </a:xfrm>
                    <a:prstGeom prst="rect">
                      <a:avLst/>
                    </a:prstGeom>
                    <a:noFill/>
                    <a:ln w="9525">
                      <a:noFill/>
                      <a:miter lim="800000"/>
                      <a:headEnd/>
                      <a:tailEnd/>
                    </a:ln>
                  </pic:spPr>
                </pic:pic>
              </a:graphicData>
            </a:graphic>
          </wp:inline>
        </w:drawing>
      </w:r>
    </w:p>
    <w:p w:rsidR="00D24B93" w:rsidRDefault="00D24B93" w:rsidP="00916643">
      <w:pPr>
        <w:tabs>
          <w:tab w:val="left" w:pos="6705"/>
        </w:tabs>
        <w:jc w:val="both"/>
      </w:pPr>
    </w:p>
    <w:p w:rsidR="00282043" w:rsidRDefault="00282043" w:rsidP="00916643">
      <w:pPr>
        <w:tabs>
          <w:tab w:val="left" w:pos="6705"/>
        </w:tabs>
        <w:jc w:val="both"/>
      </w:pPr>
      <w:r>
        <w:t xml:space="preserve">One of the compounds with better </w:t>
      </w:r>
      <w:r w:rsidR="00D24B93">
        <w:t>in vitro balance</w:t>
      </w:r>
      <w:r>
        <w:t xml:space="preserve"> is MMV670652 with potency at 17nM, HLM </w:t>
      </w:r>
      <w:r w:rsidR="00540BA2">
        <w:t>Clint &lt; 8 ul/min/mg and RLM Clint at 30 ul/min/mg. This compound has not been in rat PK. Additionally it may be possible to improve potency by synthesis of the more potent enantiomer.</w:t>
      </w:r>
    </w:p>
    <w:p w:rsidR="00282043" w:rsidRDefault="00872BF4" w:rsidP="00916643">
      <w:pPr>
        <w:tabs>
          <w:tab w:val="left" w:pos="6705"/>
        </w:tabs>
        <w:jc w:val="both"/>
      </w:pPr>
      <w:r>
        <w:rPr>
          <w:noProof/>
        </w:rPr>
        <w:drawing>
          <wp:inline distT="0" distB="0" distL="0" distR="0">
            <wp:extent cx="4660265" cy="1315720"/>
            <wp:effectExtent l="19050" t="0" r="6985"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4660265" cy="1315720"/>
                    </a:xfrm>
                    <a:prstGeom prst="rect">
                      <a:avLst/>
                    </a:prstGeom>
                    <a:noFill/>
                    <a:ln w="9525">
                      <a:noFill/>
                      <a:miter lim="800000"/>
                      <a:headEnd/>
                      <a:tailEnd/>
                    </a:ln>
                  </pic:spPr>
                </pic:pic>
              </a:graphicData>
            </a:graphic>
          </wp:inline>
        </w:drawing>
      </w:r>
      <w:r w:rsidR="00282043">
        <w:t xml:space="preserve"> </w:t>
      </w:r>
    </w:p>
    <w:p w:rsidR="00540BA2" w:rsidRDefault="00540BA2" w:rsidP="00916643">
      <w:pPr>
        <w:tabs>
          <w:tab w:val="left" w:pos="6705"/>
        </w:tabs>
        <w:jc w:val="both"/>
      </w:pPr>
    </w:p>
    <w:p w:rsidR="006C6C04" w:rsidRDefault="006C6C04" w:rsidP="00916643">
      <w:pPr>
        <w:tabs>
          <w:tab w:val="left" w:pos="6705"/>
        </w:tabs>
        <w:jc w:val="both"/>
      </w:pPr>
    </w:p>
    <w:p w:rsidR="00B2567C" w:rsidRPr="006F747D" w:rsidRDefault="002D28F8" w:rsidP="00916643">
      <w:pPr>
        <w:tabs>
          <w:tab w:val="left" w:pos="6705"/>
        </w:tabs>
        <w:jc w:val="both"/>
        <w:rPr>
          <w:b/>
        </w:rPr>
      </w:pPr>
      <w:r w:rsidRPr="002D28F8">
        <w:rPr>
          <w:b/>
        </w:rPr>
        <w:t>Other observations</w:t>
      </w:r>
    </w:p>
    <w:p w:rsidR="00B2567C" w:rsidRDefault="00B2567C" w:rsidP="00916643">
      <w:pPr>
        <w:tabs>
          <w:tab w:val="left" w:pos="6705"/>
        </w:tabs>
        <w:jc w:val="both"/>
      </w:pPr>
      <w:r>
        <w:t>As would be expected HLM vs RLM shows a general correlation</w:t>
      </w:r>
      <w:r w:rsidR="006F747D">
        <w:t xml:space="preserve"> with approx 4-fold shift on average. However, for most of the more potent analogues, this increases to over 10-fold. The figure below shows the 4 sub 30nM compounds with HLM &amp; RLM measured.</w:t>
      </w:r>
    </w:p>
    <w:p w:rsidR="006F747D" w:rsidRDefault="00D24B93" w:rsidP="00916643">
      <w:pPr>
        <w:tabs>
          <w:tab w:val="left" w:pos="6705"/>
        </w:tabs>
        <w:jc w:val="both"/>
      </w:pPr>
      <w:r>
        <w:rPr>
          <w:noProof/>
        </w:rPr>
        <w:lastRenderedPageBreak/>
        <w:drawing>
          <wp:inline distT="0" distB="0" distL="0" distR="0">
            <wp:extent cx="5486400" cy="5458449"/>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cstate="print"/>
                    <a:srcRect/>
                    <a:stretch>
                      <a:fillRect/>
                    </a:stretch>
                  </pic:blipFill>
                  <pic:spPr bwMode="auto">
                    <a:xfrm>
                      <a:off x="0" y="0"/>
                      <a:ext cx="5486400" cy="5458449"/>
                    </a:xfrm>
                    <a:prstGeom prst="rect">
                      <a:avLst/>
                    </a:prstGeom>
                    <a:noFill/>
                    <a:ln w="9525">
                      <a:noFill/>
                      <a:miter lim="800000"/>
                      <a:headEnd/>
                      <a:tailEnd/>
                    </a:ln>
                  </pic:spPr>
                </pic:pic>
              </a:graphicData>
            </a:graphic>
          </wp:inline>
        </w:drawing>
      </w:r>
    </w:p>
    <w:p w:rsidR="006F747D" w:rsidRDefault="006F747D" w:rsidP="00916643">
      <w:pPr>
        <w:tabs>
          <w:tab w:val="left" w:pos="6705"/>
        </w:tabs>
        <w:jc w:val="both"/>
      </w:pPr>
    </w:p>
    <w:p w:rsidR="006F747D" w:rsidRPr="00214D00" w:rsidRDefault="002D28F8" w:rsidP="00916643">
      <w:pPr>
        <w:tabs>
          <w:tab w:val="left" w:pos="6705"/>
        </w:tabs>
        <w:jc w:val="both"/>
        <w:rPr>
          <w:u w:val="single"/>
        </w:rPr>
      </w:pPr>
      <w:r w:rsidRPr="002D28F8">
        <w:rPr>
          <w:u w:val="single"/>
        </w:rPr>
        <w:t>Lipophilicity &amp; lipophilic efficiency</w:t>
      </w:r>
    </w:p>
    <w:p w:rsidR="009653C7" w:rsidRDefault="00D24B93" w:rsidP="00916643">
      <w:pPr>
        <w:tabs>
          <w:tab w:val="left" w:pos="6705"/>
        </w:tabs>
        <w:jc w:val="both"/>
      </w:pPr>
      <w:r>
        <w:t>Few compounds achieve a lipophilic efficiency (as measured by pIC50 – AlogP) of greater than 4.0</w:t>
      </w:r>
    </w:p>
    <w:p w:rsidR="009653C7" w:rsidRDefault="00D24B93" w:rsidP="00916643">
      <w:pPr>
        <w:tabs>
          <w:tab w:val="left" w:pos="6705"/>
        </w:tabs>
        <w:jc w:val="both"/>
      </w:pPr>
      <w:r>
        <w:rPr>
          <w:noProof/>
        </w:rPr>
        <w:lastRenderedPageBreak/>
        <w:drawing>
          <wp:inline distT="0" distB="0" distL="0" distR="0">
            <wp:extent cx="5486400" cy="54531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5486400" cy="5453125"/>
                    </a:xfrm>
                    <a:prstGeom prst="rect">
                      <a:avLst/>
                    </a:prstGeom>
                    <a:noFill/>
                    <a:ln w="9525">
                      <a:noFill/>
                      <a:miter lim="800000"/>
                      <a:headEnd/>
                      <a:tailEnd/>
                    </a:ln>
                  </pic:spPr>
                </pic:pic>
              </a:graphicData>
            </a:graphic>
          </wp:inline>
        </w:drawing>
      </w:r>
    </w:p>
    <w:p w:rsidR="00572C45" w:rsidRDefault="00572C45" w:rsidP="00916643">
      <w:pPr>
        <w:tabs>
          <w:tab w:val="left" w:pos="6705"/>
        </w:tabs>
        <w:jc w:val="both"/>
      </w:pPr>
    </w:p>
    <w:p w:rsidR="00644E9D" w:rsidRPr="009653C7" w:rsidRDefault="002D28F8" w:rsidP="00916643">
      <w:pPr>
        <w:tabs>
          <w:tab w:val="left" w:pos="6705"/>
        </w:tabs>
        <w:jc w:val="both"/>
        <w:rPr>
          <w:u w:val="single"/>
        </w:rPr>
      </w:pPr>
      <w:r w:rsidRPr="002D28F8">
        <w:rPr>
          <w:u w:val="single"/>
        </w:rPr>
        <w:t>Potential next steps:</w:t>
      </w:r>
    </w:p>
    <w:p w:rsidR="00214D00" w:rsidRDefault="00214D00" w:rsidP="00214D00">
      <w:pPr>
        <w:jc w:val="both"/>
      </w:pPr>
      <w:r>
        <w:t>The series has good potency and in vivo efficacy with few toxicity concerns. The biggest issue is metabolic stability, as measured in rat in particular. Some possible future directions include:</w:t>
      </w:r>
    </w:p>
    <w:p w:rsidR="00B311AE" w:rsidRDefault="00214D00">
      <w:pPr>
        <w:pStyle w:val="ListParagraph"/>
        <w:numPr>
          <w:ilvl w:val="0"/>
          <w:numId w:val="4"/>
        </w:numPr>
      </w:pPr>
      <w:r>
        <w:t>Small scale changes around the side chains</w:t>
      </w:r>
      <w:r w:rsidR="0079459F">
        <w:t>, particularly phenethyl</w:t>
      </w:r>
      <w:r>
        <w:t xml:space="preserve"> to attempt to balance potency and metabolism</w:t>
      </w:r>
    </w:p>
    <w:p w:rsidR="00B311AE" w:rsidRDefault="0079459F">
      <w:pPr>
        <w:pStyle w:val="ListParagraph"/>
        <w:numPr>
          <w:ilvl w:val="1"/>
          <w:numId w:val="4"/>
        </w:numPr>
      </w:pPr>
      <w:r>
        <w:t>N is tolerated in the ring, hasn’t been explored much recently</w:t>
      </w:r>
    </w:p>
    <w:p w:rsidR="00B311AE" w:rsidRDefault="0079459F">
      <w:pPr>
        <w:pStyle w:val="ListParagraph"/>
        <w:numPr>
          <w:ilvl w:val="1"/>
          <w:numId w:val="4"/>
        </w:numPr>
      </w:pPr>
      <w:r>
        <w:t>Is 3,4-diF the best substitution pattern ?</w:t>
      </w:r>
    </w:p>
    <w:p w:rsidR="00B311AE" w:rsidRDefault="0079459F">
      <w:pPr>
        <w:pStyle w:val="ListParagraph"/>
        <w:numPr>
          <w:ilvl w:val="1"/>
          <w:numId w:val="4"/>
        </w:numPr>
      </w:pPr>
      <w:r>
        <w:t>Some evidence (eg MMV669848) that the phenethyl side chain can be rigidified, perhaps the iso-indoline of that compound could be improved on with other ring systems and by more optimal substitution of the aromatic benzene ring of the isoindoline.</w:t>
      </w:r>
    </w:p>
    <w:p w:rsidR="00B311AE" w:rsidRDefault="0079459F">
      <w:pPr>
        <w:pStyle w:val="ListParagraph"/>
        <w:numPr>
          <w:ilvl w:val="1"/>
          <w:numId w:val="4"/>
        </w:numPr>
      </w:pPr>
      <w:r>
        <w:t>The amide MMV670944 is interesting and shows good RLM stability, but many other amides failed to match its potency</w:t>
      </w:r>
    </w:p>
    <w:p w:rsidR="00B311AE" w:rsidRDefault="00214D00">
      <w:pPr>
        <w:pStyle w:val="ListParagraph"/>
        <w:numPr>
          <w:ilvl w:val="0"/>
          <w:numId w:val="4"/>
        </w:numPr>
      </w:pPr>
      <w:r>
        <w:lastRenderedPageBreak/>
        <w:t>Incorporation of a basic centre to increase volume as a potential fix for half-life. However, this might come at the expense of plasma concentration so would require high potency. In addition of the 29 compounds with a basic centre only one has a measured potency &lt; 100nM.</w:t>
      </w:r>
    </w:p>
    <w:p w:rsidR="00B311AE" w:rsidRDefault="00872BF4">
      <w:pPr>
        <w:ind w:left="720"/>
      </w:pPr>
      <w:r>
        <w:rPr>
          <w:noProof/>
        </w:rPr>
        <w:drawing>
          <wp:inline distT="0" distB="0" distL="0" distR="0">
            <wp:extent cx="4146651" cy="1421066"/>
            <wp:effectExtent l="19050" t="0" r="6249"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4149386" cy="1422003"/>
                    </a:xfrm>
                    <a:prstGeom prst="rect">
                      <a:avLst/>
                    </a:prstGeom>
                    <a:noFill/>
                    <a:ln w="9525">
                      <a:noFill/>
                      <a:miter lim="800000"/>
                      <a:headEnd/>
                      <a:tailEnd/>
                    </a:ln>
                  </pic:spPr>
                </pic:pic>
              </a:graphicData>
            </a:graphic>
          </wp:inline>
        </w:drawing>
      </w:r>
    </w:p>
    <w:p w:rsidR="00B311AE" w:rsidRDefault="00214D00" w:rsidP="00CA651C">
      <w:pPr>
        <w:pStyle w:val="ListParagraph"/>
        <w:numPr>
          <w:ilvl w:val="0"/>
          <w:numId w:val="5"/>
        </w:numPr>
        <w:ind w:left="567"/>
      </w:pPr>
      <w:r>
        <w:t xml:space="preserve">More significant </w:t>
      </w:r>
      <w:r w:rsidR="00CA651C">
        <w:t>structural</w:t>
      </w:r>
      <w:r>
        <w:t xml:space="preserve"> changes. Of the changes made to the basic skeleton, the most successful might be the recent evaluation of the substitution position changes</w:t>
      </w:r>
      <w:r w:rsidR="0068456F">
        <w:t xml:space="preserve"> (eg MMV670945)</w:t>
      </w:r>
      <w:r>
        <w:t>, possibly in combination with modifying the disposition of the N atoms in the core.</w:t>
      </w:r>
      <w:r w:rsidR="004E4DF3">
        <w:t xml:space="preserve"> Related compounds have been made by others and it would be wise to incorporate the learnings from these series into any plans to explore this substitution pattern further. </w:t>
      </w:r>
      <w:r w:rsidR="0068456F">
        <w:t>The</w:t>
      </w:r>
      <w:r w:rsidR="004E4DF3">
        <w:t xml:space="preserve"> first few compounds look </w:t>
      </w:r>
      <w:r w:rsidR="0068456F">
        <w:t>similar</w:t>
      </w:r>
      <w:r w:rsidR="004E4DF3">
        <w:t xml:space="preserve"> in terms of metabolic stability.</w:t>
      </w:r>
    </w:p>
    <w:p w:rsidR="00B311AE" w:rsidRDefault="00B311AE">
      <w:pPr>
        <w:pStyle w:val="ListParagraph"/>
      </w:pPr>
    </w:p>
    <w:sectPr w:rsidR="00B311AE" w:rsidSect="004D40FF">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C151D2" w:rsidRDefault="00C151D2" w:rsidP="004B1BD0">
      <w:r>
        <w:separator/>
      </w:r>
    </w:p>
  </w:endnote>
  <w:endnote w:type="continuationSeparator" w:id="0">
    <w:p w:rsidR="00C151D2" w:rsidRDefault="00C151D2" w:rsidP="004B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36844"/>
      <w:docPartObj>
        <w:docPartGallery w:val="Page Numbers (Bottom of Page)"/>
        <w:docPartUnique/>
      </w:docPartObj>
    </w:sdtPr>
    <w:sdtEndPr/>
    <w:sdtContent>
      <w:p w:rsidR="00D24B93" w:rsidRDefault="00C151D2">
        <w:pPr>
          <w:pStyle w:val="Footer"/>
          <w:jc w:val="right"/>
        </w:pPr>
        <w:r>
          <w:fldChar w:fldCharType="begin"/>
        </w:r>
        <w:r>
          <w:instrText xml:space="preserve"> PAGE   \* MERGEFORMAT </w:instrText>
        </w:r>
        <w:r>
          <w:fldChar w:fldCharType="separate"/>
        </w:r>
        <w:r w:rsidR="00BB0BED">
          <w:rPr>
            <w:noProof/>
          </w:rPr>
          <w:t>10</w:t>
        </w:r>
        <w:r>
          <w:rPr>
            <w:noProof/>
          </w:rPr>
          <w:fldChar w:fldCharType="end"/>
        </w:r>
      </w:p>
    </w:sdtContent>
  </w:sdt>
  <w:p w:rsidR="00D24B93" w:rsidRDefault="00D24B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C151D2" w:rsidRDefault="00C151D2" w:rsidP="004B1BD0">
      <w:r>
        <w:separator/>
      </w:r>
    </w:p>
  </w:footnote>
  <w:footnote w:type="continuationSeparator" w:id="0">
    <w:p w:rsidR="00C151D2" w:rsidRDefault="00C151D2" w:rsidP="004B1B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C460F2"/>
    <w:multiLevelType w:val="hybridMultilevel"/>
    <w:tmpl w:val="09FA19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6C6A18"/>
    <w:multiLevelType w:val="hybridMultilevel"/>
    <w:tmpl w:val="BD0290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22E4859"/>
    <w:multiLevelType w:val="hybridMultilevel"/>
    <w:tmpl w:val="2C145EAC"/>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5264E8"/>
    <w:multiLevelType w:val="hybridMultilevel"/>
    <w:tmpl w:val="500C2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D92B9A"/>
    <w:multiLevelType w:val="hybridMultilevel"/>
    <w:tmpl w:val="B4B2C4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312"/>
    <w:rsid w:val="00005B4D"/>
    <w:rsid w:val="000206CA"/>
    <w:rsid w:val="00045C9F"/>
    <w:rsid w:val="000759E6"/>
    <w:rsid w:val="000D2BF8"/>
    <w:rsid w:val="00141A03"/>
    <w:rsid w:val="00207171"/>
    <w:rsid w:val="00214D00"/>
    <w:rsid w:val="00223D25"/>
    <w:rsid w:val="00282043"/>
    <w:rsid w:val="00297400"/>
    <w:rsid w:val="002C2AF2"/>
    <w:rsid w:val="002C35E8"/>
    <w:rsid w:val="002D28F8"/>
    <w:rsid w:val="00301189"/>
    <w:rsid w:val="00383C1C"/>
    <w:rsid w:val="00395A1D"/>
    <w:rsid w:val="003B55BF"/>
    <w:rsid w:val="003B7F37"/>
    <w:rsid w:val="003D3E70"/>
    <w:rsid w:val="00404268"/>
    <w:rsid w:val="00424CDA"/>
    <w:rsid w:val="00440B49"/>
    <w:rsid w:val="004B15EE"/>
    <w:rsid w:val="004B1BD0"/>
    <w:rsid w:val="004D40FF"/>
    <w:rsid w:val="004E4DF3"/>
    <w:rsid w:val="00540BA2"/>
    <w:rsid w:val="00571EEA"/>
    <w:rsid w:val="00572C45"/>
    <w:rsid w:val="005D48C2"/>
    <w:rsid w:val="00611A8E"/>
    <w:rsid w:val="00644E9D"/>
    <w:rsid w:val="0067082F"/>
    <w:rsid w:val="0068456F"/>
    <w:rsid w:val="006C6713"/>
    <w:rsid w:val="006C6C04"/>
    <w:rsid w:val="006F747D"/>
    <w:rsid w:val="0071454C"/>
    <w:rsid w:val="00747B45"/>
    <w:rsid w:val="0079459F"/>
    <w:rsid w:val="00833106"/>
    <w:rsid w:val="00844440"/>
    <w:rsid w:val="00861F7E"/>
    <w:rsid w:val="00872BF4"/>
    <w:rsid w:val="00916643"/>
    <w:rsid w:val="009653C7"/>
    <w:rsid w:val="00983308"/>
    <w:rsid w:val="009D56EC"/>
    <w:rsid w:val="009E5CC6"/>
    <w:rsid w:val="00AA526E"/>
    <w:rsid w:val="00B22C3B"/>
    <w:rsid w:val="00B2567C"/>
    <w:rsid w:val="00B311AE"/>
    <w:rsid w:val="00B35502"/>
    <w:rsid w:val="00BB0BED"/>
    <w:rsid w:val="00C151D2"/>
    <w:rsid w:val="00C212D1"/>
    <w:rsid w:val="00C374C4"/>
    <w:rsid w:val="00C76044"/>
    <w:rsid w:val="00C77EFB"/>
    <w:rsid w:val="00CA651C"/>
    <w:rsid w:val="00CB1FC0"/>
    <w:rsid w:val="00CB2344"/>
    <w:rsid w:val="00D24B93"/>
    <w:rsid w:val="00D62B4A"/>
    <w:rsid w:val="00E21312"/>
    <w:rsid w:val="00EB4F49"/>
    <w:rsid w:val="00ED7C35"/>
    <w:rsid w:val="00EE2C65"/>
    <w:rsid w:val="00F67063"/>
    <w:rsid w:val="00F835C2"/>
    <w:rsid w:val="00F875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F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F49"/>
    <w:rPr>
      <w:rFonts w:ascii="Tahoma" w:hAnsi="Tahoma" w:cs="Tahoma"/>
      <w:sz w:val="16"/>
      <w:szCs w:val="16"/>
    </w:rPr>
  </w:style>
  <w:style w:type="character" w:customStyle="1" w:styleId="BalloonTextChar">
    <w:name w:val="Balloon Text Char"/>
    <w:basedOn w:val="DefaultParagraphFont"/>
    <w:link w:val="BalloonText"/>
    <w:uiPriority w:val="99"/>
    <w:semiHidden/>
    <w:rsid w:val="00EB4F49"/>
    <w:rPr>
      <w:rFonts w:ascii="Tahoma" w:hAnsi="Tahoma" w:cs="Tahoma"/>
      <w:sz w:val="16"/>
      <w:szCs w:val="16"/>
      <w:lang w:val="en-US" w:eastAsia="en-US"/>
    </w:rPr>
  </w:style>
  <w:style w:type="paragraph" w:styleId="ListParagraph">
    <w:name w:val="List Paragraph"/>
    <w:basedOn w:val="Normal"/>
    <w:uiPriority w:val="34"/>
    <w:qFormat/>
    <w:rsid w:val="009653C7"/>
    <w:pPr>
      <w:ind w:left="720"/>
      <w:contextualSpacing/>
    </w:pPr>
  </w:style>
  <w:style w:type="paragraph" w:styleId="Header">
    <w:name w:val="header"/>
    <w:basedOn w:val="Normal"/>
    <w:link w:val="HeaderChar"/>
    <w:uiPriority w:val="99"/>
    <w:semiHidden/>
    <w:unhideWhenUsed/>
    <w:rsid w:val="004B1BD0"/>
    <w:pPr>
      <w:tabs>
        <w:tab w:val="center" w:pos="4513"/>
        <w:tab w:val="right" w:pos="9026"/>
      </w:tabs>
    </w:pPr>
  </w:style>
  <w:style w:type="character" w:customStyle="1" w:styleId="HeaderChar">
    <w:name w:val="Header Char"/>
    <w:basedOn w:val="DefaultParagraphFont"/>
    <w:link w:val="Header"/>
    <w:uiPriority w:val="99"/>
    <w:semiHidden/>
    <w:rsid w:val="004B1BD0"/>
    <w:rPr>
      <w:sz w:val="24"/>
      <w:szCs w:val="24"/>
      <w:lang w:val="en-US" w:eastAsia="en-US"/>
    </w:rPr>
  </w:style>
  <w:style w:type="paragraph" w:styleId="Footer">
    <w:name w:val="footer"/>
    <w:basedOn w:val="Normal"/>
    <w:link w:val="FooterChar"/>
    <w:uiPriority w:val="99"/>
    <w:unhideWhenUsed/>
    <w:rsid w:val="004B1BD0"/>
    <w:pPr>
      <w:tabs>
        <w:tab w:val="center" w:pos="4513"/>
        <w:tab w:val="right" w:pos="9026"/>
      </w:tabs>
    </w:pPr>
  </w:style>
  <w:style w:type="character" w:customStyle="1" w:styleId="FooterChar">
    <w:name w:val="Footer Char"/>
    <w:basedOn w:val="DefaultParagraphFont"/>
    <w:link w:val="Footer"/>
    <w:uiPriority w:val="99"/>
    <w:rsid w:val="004B1BD0"/>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F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F49"/>
    <w:rPr>
      <w:rFonts w:ascii="Tahoma" w:hAnsi="Tahoma" w:cs="Tahoma"/>
      <w:sz w:val="16"/>
      <w:szCs w:val="16"/>
    </w:rPr>
  </w:style>
  <w:style w:type="character" w:customStyle="1" w:styleId="BalloonTextChar">
    <w:name w:val="Balloon Text Char"/>
    <w:basedOn w:val="DefaultParagraphFont"/>
    <w:link w:val="BalloonText"/>
    <w:uiPriority w:val="99"/>
    <w:semiHidden/>
    <w:rsid w:val="00EB4F49"/>
    <w:rPr>
      <w:rFonts w:ascii="Tahoma" w:hAnsi="Tahoma" w:cs="Tahoma"/>
      <w:sz w:val="16"/>
      <w:szCs w:val="16"/>
      <w:lang w:val="en-US" w:eastAsia="en-US"/>
    </w:rPr>
  </w:style>
  <w:style w:type="paragraph" w:styleId="ListParagraph">
    <w:name w:val="List Paragraph"/>
    <w:basedOn w:val="Normal"/>
    <w:uiPriority w:val="34"/>
    <w:qFormat/>
    <w:rsid w:val="009653C7"/>
    <w:pPr>
      <w:ind w:left="720"/>
      <w:contextualSpacing/>
    </w:pPr>
  </w:style>
  <w:style w:type="paragraph" w:styleId="Header">
    <w:name w:val="header"/>
    <w:basedOn w:val="Normal"/>
    <w:link w:val="HeaderChar"/>
    <w:uiPriority w:val="99"/>
    <w:semiHidden/>
    <w:unhideWhenUsed/>
    <w:rsid w:val="004B1BD0"/>
    <w:pPr>
      <w:tabs>
        <w:tab w:val="center" w:pos="4513"/>
        <w:tab w:val="right" w:pos="9026"/>
      </w:tabs>
    </w:pPr>
  </w:style>
  <w:style w:type="character" w:customStyle="1" w:styleId="HeaderChar">
    <w:name w:val="Header Char"/>
    <w:basedOn w:val="DefaultParagraphFont"/>
    <w:link w:val="Header"/>
    <w:uiPriority w:val="99"/>
    <w:semiHidden/>
    <w:rsid w:val="004B1BD0"/>
    <w:rPr>
      <w:sz w:val="24"/>
      <w:szCs w:val="24"/>
      <w:lang w:val="en-US" w:eastAsia="en-US"/>
    </w:rPr>
  </w:style>
  <w:style w:type="paragraph" w:styleId="Footer">
    <w:name w:val="footer"/>
    <w:basedOn w:val="Normal"/>
    <w:link w:val="FooterChar"/>
    <w:uiPriority w:val="99"/>
    <w:unhideWhenUsed/>
    <w:rsid w:val="004B1BD0"/>
    <w:pPr>
      <w:tabs>
        <w:tab w:val="center" w:pos="4513"/>
        <w:tab w:val="right" w:pos="9026"/>
      </w:tabs>
    </w:pPr>
  </w:style>
  <w:style w:type="character" w:customStyle="1" w:styleId="FooterChar">
    <w:name w:val="Footer Char"/>
    <w:basedOn w:val="DefaultParagraphFont"/>
    <w:link w:val="Footer"/>
    <w:uiPriority w:val="99"/>
    <w:rsid w:val="004B1BD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oleObject6.bin"/><Relationship Id="rId22" Type="http://schemas.openxmlformats.org/officeDocument/2006/relationships/image" Target="media/image9.wmf"/><Relationship Id="rId23" Type="http://schemas.openxmlformats.org/officeDocument/2006/relationships/oleObject" Target="embeddings/oleObject7.bin"/><Relationship Id="rId24" Type="http://schemas.openxmlformats.org/officeDocument/2006/relationships/image" Target="media/image10.wmf"/><Relationship Id="rId25" Type="http://schemas.openxmlformats.org/officeDocument/2006/relationships/oleObject" Target="embeddings/oleObject8.bin"/><Relationship Id="rId26" Type="http://schemas.openxmlformats.org/officeDocument/2006/relationships/image" Target="media/image11.wmf"/><Relationship Id="rId27" Type="http://schemas.openxmlformats.org/officeDocument/2006/relationships/oleObject" Target="embeddings/oleObject9.bin"/><Relationship Id="rId28" Type="http://schemas.openxmlformats.org/officeDocument/2006/relationships/image" Target="media/image12.png"/><Relationship Id="rId2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4.png"/><Relationship Id="rId31" Type="http://schemas.openxmlformats.org/officeDocument/2006/relationships/image" Target="media/image15.emf"/><Relationship Id="rId32" Type="http://schemas.openxmlformats.org/officeDocument/2006/relationships/image" Target="media/image16.emf"/><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image" Target="media/image17.emf"/><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1436</Words>
  <Characters>8191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Triazolopyrazines (TP Series)</vt:lpstr>
    </vt:vector>
  </TitlesOfParts>
  <Company>TCGLS</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Triazolopyrazines (TP Series)</dc:title>
  <dc:creator>saumitra</dc:creator>
  <cp:lastModifiedBy>Alice E Williamson</cp:lastModifiedBy>
  <cp:revision>2</cp:revision>
  <cp:lastPrinted>2013-06-26T08:52:00Z</cp:lastPrinted>
  <dcterms:created xsi:type="dcterms:W3CDTF">2013-09-10T10:05:00Z</dcterms:created>
  <dcterms:modified xsi:type="dcterms:W3CDTF">2013-09-10T10:05:00Z</dcterms:modified>
</cp:coreProperties>
</file>