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8B" w:rsidRPr="00381844" w:rsidRDefault="00E7788B" w:rsidP="00A1691A">
      <w:pPr>
        <w:spacing w:after="0" w:line="240" w:lineRule="auto"/>
        <w:ind w:left="-851"/>
        <w:jc w:val="center"/>
        <w:rPr>
          <w:rFonts w:ascii="Cambria" w:hAnsi="Cambria"/>
          <w:sz w:val="28"/>
          <w:szCs w:val="28"/>
          <w:lang w:eastAsia="ru-RU"/>
        </w:rPr>
      </w:pPr>
      <w:bookmarkStart w:id="0" w:name="_GoBack"/>
      <w:bookmarkEnd w:id="0"/>
      <w:r w:rsidRPr="00381844">
        <w:rPr>
          <w:rFonts w:ascii="Cambria" w:hAnsi="Cambria"/>
          <w:sz w:val="28"/>
          <w:szCs w:val="28"/>
          <w:lang w:eastAsia="ru-RU"/>
        </w:rPr>
        <w:t>29. Дифракция рентгеновских лучей на кристалле. Формула</w:t>
      </w:r>
    </w:p>
    <w:p w:rsidR="00E7788B" w:rsidRPr="00381844" w:rsidRDefault="00E7788B" w:rsidP="00A1691A">
      <w:pPr>
        <w:spacing w:after="240" w:line="240" w:lineRule="auto"/>
        <w:ind w:left="-851"/>
        <w:jc w:val="center"/>
        <w:rPr>
          <w:rFonts w:ascii="Cambria" w:hAnsi="Cambria"/>
          <w:lang w:eastAsia="ru-RU"/>
        </w:rPr>
      </w:pPr>
      <w:r w:rsidRPr="00381844">
        <w:rPr>
          <w:rFonts w:ascii="Cambria" w:hAnsi="Cambria"/>
          <w:sz w:val="28"/>
          <w:szCs w:val="28"/>
          <w:lang w:eastAsia="ru-RU"/>
        </w:rPr>
        <w:t>Вульфа-Брэгга. Рентгеновская спектроскопия и рентгеноструктурный анализ</w:t>
      </w:r>
    </w:p>
    <w:p w:rsidR="007F2B08" w:rsidRDefault="007F2B08" w:rsidP="00A1691A">
      <w:pPr>
        <w:spacing w:after="120"/>
        <w:ind w:left="-851"/>
        <w:rPr>
          <w:rFonts w:ascii="Cambria" w:hAnsi="Cambria"/>
        </w:rPr>
      </w:pPr>
      <w:r w:rsidRPr="007F2B08">
        <w:rPr>
          <w:rFonts w:ascii="Cambria" w:hAnsi="Cambria"/>
        </w:rPr>
        <w:t>Рентгеновские лучи представляют собой электромагнитные волны с длиной волны λ ≈ 10</w:t>
      </w:r>
      <w:r w:rsidRPr="005E26D5">
        <w:rPr>
          <w:rFonts w:ascii="Cambria" w:hAnsi="Cambria"/>
          <w:vertAlign w:val="superscript"/>
        </w:rPr>
        <w:t>−8</w:t>
      </w:r>
      <w:r w:rsidRPr="007F2B08">
        <w:rPr>
          <w:rFonts w:ascii="Cambria" w:hAnsi="Cambria"/>
        </w:rPr>
        <w:t xml:space="preserve"> – 10</w:t>
      </w:r>
      <w:r w:rsidRPr="005E26D5">
        <w:rPr>
          <w:rFonts w:ascii="Cambria" w:hAnsi="Cambria"/>
          <w:vertAlign w:val="superscript"/>
        </w:rPr>
        <w:t>−10</w:t>
      </w:r>
      <w:r w:rsidRPr="007F2B08">
        <w:rPr>
          <w:rFonts w:ascii="Cambria" w:hAnsi="Cambria"/>
        </w:rPr>
        <w:t xml:space="preserve"> м.</w:t>
      </w:r>
    </w:p>
    <w:p w:rsidR="005E26D5" w:rsidRDefault="005E26D5" w:rsidP="00A1691A">
      <w:pPr>
        <w:spacing w:after="120"/>
        <w:ind w:left="-851"/>
        <w:rPr>
          <w:rFonts w:ascii="Cambria" w:hAnsi="Cambria"/>
        </w:rPr>
      </w:pPr>
      <w:r w:rsidRPr="005E26D5">
        <w:rPr>
          <w:rFonts w:ascii="Cambria" w:hAnsi="Cambria"/>
        </w:rPr>
        <w:t>Если кристаллическое тело рассматривать как совокупность параллельных атомных плоскостей, находящихся на расстоянии d ≈10</w:t>
      </w:r>
      <w:r w:rsidRPr="005E26D5">
        <w:rPr>
          <w:rFonts w:ascii="Cambria" w:hAnsi="Cambria"/>
          <w:vertAlign w:val="superscript"/>
        </w:rPr>
        <w:t>−10</w:t>
      </w:r>
      <w:r w:rsidRPr="005E26D5">
        <w:rPr>
          <w:rFonts w:ascii="Cambria" w:hAnsi="Cambria"/>
        </w:rPr>
        <w:t xml:space="preserve"> м друг от друга, то для рентгеновских лучей его можно рассматривать естественной трехмерной дифракционной решеткой. Процесс дифракции рентгеновского излучения представляется как отражение излучения от системы этих плоскостей кристаллической решетки. Дифракционные максимумы возникают в направлениях, в которых вторичные (рассеянные атомами) волны распространяютс</w:t>
      </w:r>
      <w:r>
        <w:rPr>
          <w:rFonts w:ascii="Cambria" w:hAnsi="Cambria"/>
        </w:rPr>
        <w:t>я с одинаковыми фазами</w:t>
      </w:r>
      <w:r w:rsidRPr="005E26D5">
        <w:rPr>
          <w:rFonts w:ascii="Cambria" w:hAnsi="Cambria"/>
        </w:rPr>
        <w:t>.</w:t>
      </w:r>
    </w:p>
    <w:p w:rsidR="005E26D5" w:rsidRPr="00381844" w:rsidRDefault="000F01DC" w:rsidP="00A1691A">
      <w:pPr>
        <w:spacing w:after="120"/>
        <w:ind w:left="-851"/>
        <w:rPr>
          <w:rFonts w:ascii="Cambria" w:hAnsi="Cambria"/>
        </w:rPr>
      </w:pPr>
      <w:r>
        <w:rPr>
          <w:rFonts w:ascii="Cambria" w:hAnsi="Cambria"/>
          <w:noProof/>
          <w:lang w:eastAsia="ru-RU"/>
        </w:rPr>
        <w:drawing>
          <wp:inline distT="0" distB="0" distL="0" distR="0">
            <wp:extent cx="5934075" cy="4210050"/>
            <wp:effectExtent l="0" t="0" r="9525" b="0"/>
            <wp:docPr id="1" name="Рисунок 1"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ымянный"/>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210050"/>
                    </a:xfrm>
                    <a:prstGeom prst="rect">
                      <a:avLst/>
                    </a:prstGeom>
                    <a:noFill/>
                    <a:ln>
                      <a:noFill/>
                    </a:ln>
                  </pic:spPr>
                </pic:pic>
              </a:graphicData>
            </a:graphic>
          </wp:inline>
        </w:drawing>
      </w:r>
    </w:p>
    <w:p w:rsidR="00E7788B" w:rsidRPr="00381844" w:rsidRDefault="00E7788B" w:rsidP="00A1691A">
      <w:pPr>
        <w:spacing w:after="120"/>
        <w:ind w:left="-851"/>
        <w:rPr>
          <w:rFonts w:ascii="Cambria" w:hAnsi="Cambria"/>
        </w:rPr>
      </w:pPr>
      <w:hyperlink r:id="rId6" w:history="1">
        <w:r w:rsidRPr="00381844">
          <w:rPr>
            <w:rStyle w:val="a3"/>
            <w:rFonts w:ascii="Cambria" w:hAnsi="Cambria"/>
            <w:i/>
            <w:color w:val="auto"/>
            <w:u w:val="none"/>
          </w:rPr>
          <w:t>Дифракция рентгеновских лучей</w:t>
        </w:r>
      </w:hyperlink>
      <w:r w:rsidRPr="00381844">
        <w:rPr>
          <w:rFonts w:ascii="Cambria" w:hAnsi="Cambria"/>
        </w:rPr>
        <w:t xml:space="preserve"> -</w:t>
      </w:r>
      <w:r w:rsidRPr="00381844">
        <w:rPr>
          <w:rStyle w:val="apple-converted-space"/>
          <w:rFonts w:ascii="Cambria" w:hAnsi="Cambria"/>
        </w:rPr>
        <w:t> </w:t>
      </w:r>
      <w:r w:rsidRPr="00381844">
        <w:rPr>
          <w:rFonts w:ascii="Cambria" w:hAnsi="Cambria"/>
        </w:rPr>
        <w:t>рассеяние рентгеновских лучей кристаллами (или молекулами жидкостей и газов), при котором из начального пучка лучей возникают вторичные отклонённые пучки той же длины волны, появившиеся в результате взаимодействия первичных рентгеновских лучей с электронами вещества.</w:t>
      </w:r>
    </w:p>
    <w:p w:rsidR="00E41C96" w:rsidRDefault="00E41C96" w:rsidP="00A1691A">
      <w:pPr>
        <w:spacing w:after="120"/>
        <w:ind w:left="-851"/>
        <w:rPr>
          <w:rFonts w:ascii="Cambria" w:hAnsi="Cambria"/>
        </w:rPr>
      </w:pPr>
      <w:r w:rsidRPr="00E41C96">
        <w:rPr>
          <w:rFonts w:ascii="Cambria" w:hAnsi="Cambria"/>
        </w:rPr>
        <w:t>Дифракционные максимумы удовлетворяют условиям Лауэ:</w:t>
      </w:r>
    </w:p>
    <w:p w:rsidR="00E41C96" w:rsidRDefault="000F01DC" w:rsidP="00A1691A">
      <w:pPr>
        <w:spacing w:after="120"/>
        <w:ind w:left="-851"/>
        <w:rPr>
          <w:rFonts w:ascii="Cambria" w:hAnsi="Cambria"/>
        </w:rPr>
      </w:pPr>
      <w:r>
        <w:rPr>
          <w:rFonts w:ascii="Cambria" w:hAnsi="Cambria"/>
          <w:noProof/>
          <w:lang w:eastAsia="ru-RU"/>
        </w:rPr>
        <w:drawing>
          <wp:inline distT="0" distB="0" distL="0" distR="0">
            <wp:extent cx="1733550" cy="847725"/>
            <wp:effectExtent l="0" t="0" r="0" b="9525"/>
            <wp:docPr id="2" name="Рисунок 2"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Безымянны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847725"/>
                    </a:xfrm>
                    <a:prstGeom prst="rect">
                      <a:avLst/>
                    </a:prstGeom>
                    <a:noFill/>
                    <a:ln>
                      <a:noFill/>
                    </a:ln>
                  </pic:spPr>
                </pic:pic>
              </a:graphicData>
            </a:graphic>
          </wp:inline>
        </w:drawing>
      </w:r>
    </w:p>
    <w:p w:rsidR="00E41C96" w:rsidRPr="00381844" w:rsidRDefault="00E41C96" w:rsidP="00A1691A">
      <w:pPr>
        <w:spacing w:after="120"/>
        <w:ind w:left="-851"/>
        <w:rPr>
          <w:rFonts w:ascii="Cambria" w:hAnsi="Cambria"/>
        </w:rPr>
      </w:pPr>
      <w:r w:rsidRPr="00E41C96">
        <w:rPr>
          <w:rFonts w:ascii="Cambria" w:hAnsi="Cambria"/>
        </w:rPr>
        <w:t xml:space="preserve">где </w:t>
      </w:r>
      <w:r w:rsidRPr="00E41C96">
        <w:rPr>
          <w:rFonts w:ascii="Cambria" w:hAnsi="Cambria"/>
          <w:b/>
          <w:i/>
        </w:rPr>
        <w:t>а</w:t>
      </w:r>
      <w:r w:rsidRPr="00E41C96">
        <w:rPr>
          <w:rFonts w:ascii="Cambria" w:hAnsi="Cambria"/>
        </w:rPr>
        <w:t xml:space="preserve">, </w:t>
      </w:r>
      <w:r w:rsidRPr="00E41C96">
        <w:rPr>
          <w:rFonts w:ascii="Cambria" w:hAnsi="Cambria"/>
          <w:b/>
          <w:i/>
        </w:rPr>
        <w:t>b</w:t>
      </w:r>
      <w:r w:rsidRPr="00E41C96">
        <w:rPr>
          <w:rFonts w:ascii="Cambria" w:hAnsi="Cambria"/>
        </w:rPr>
        <w:t xml:space="preserve">, </w:t>
      </w:r>
      <w:r w:rsidRPr="00E41C96">
        <w:rPr>
          <w:rFonts w:ascii="Cambria" w:hAnsi="Cambria"/>
          <w:b/>
          <w:i/>
        </w:rPr>
        <w:t>c</w:t>
      </w:r>
      <w:r w:rsidRPr="00E41C96">
        <w:rPr>
          <w:rFonts w:ascii="Cambria" w:hAnsi="Cambria"/>
        </w:rPr>
        <w:t xml:space="preserve"> – периоды кристаллической решетки по трем осям; </w:t>
      </w:r>
      <w:r w:rsidRPr="00E41C96">
        <w:rPr>
          <w:rFonts w:ascii="Cambria" w:hAnsi="Cambria"/>
          <w:b/>
          <w:i/>
        </w:rPr>
        <w:t>α</w:t>
      </w:r>
      <w:r w:rsidRPr="00E41C96">
        <w:rPr>
          <w:rFonts w:ascii="Cambria" w:hAnsi="Cambria"/>
          <w:b/>
          <w:i/>
          <w:vertAlign w:val="subscript"/>
        </w:rPr>
        <w:t>0</w:t>
      </w:r>
      <w:r w:rsidRPr="00E41C96">
        <w:rPr>
          <w:rFonts w:ascii="Cambria" w:hAnsi="Cambria"/>
        </w:rPr>
        <w:t xml:space="preserve">, </w:t>
      </w:r>
      <w:r w:rsidRPr="00E41C96">
        <w:rPr>
          <w:rFonts w:ascii="Cambria" w:hAnsi="Cambria"/>
          <w:b/>
          <w:i/>
        </w:rPr>
        <w:t>β</w:t>
      </w:r>
      <w:r w:rsidRPr="00E41C96">
        <w:rPr>
          <w:rFonts w:ascii="Cambria" w:hAnsi="Cambria"/>
          <w:b/>
          <w:i/>
          <w:vertAlign w:val="subscript"/>
        </w:rPr>
        <w:t>0</w:t>
      </w:r>
      <w:r w:rsidRPr="00E41C96">
        <w:rPr>
          <w:rFonts w:ascii="Cambria" w:hAnsi="Cambria"/>
        </w:rPr>
        <w:t xml:space="preserve">, </w:t>
      </w:r>
      <w:r w:rsidRPr="00E41C96">
        <w:rPr>
          <w:rFonts w:ascii="Cambria" w:hAnsi="Cambria"/>
          <w:b/>
          <w:i/>
        </w:rPr>
        <w:t>γ</w:t>
      </w:r>
      <w:r w:rsidRPr="00E41C96">
        <w:rPr>
          <w:rFonts w:ascii="Cambria" w:hAnsi="Cambria"/>
          <w:b/>
          <w:i/>
          <w:vertAlign w:val="subscript"/>
        </w:rPr>
        <w:t>0</w:t>
      </w:r>
      <w:r w:rsidRPr="00E41C96">
        <w:rPr>
          <w:rFonts w:ascii="Cambria" w:hAnsi="Cambria"/>
        </w:rPr>
        <w:t xml:space="preserve"> – углы, образованные падающими лучами;  </w:t>
      </w:r>
      <w:r w:rsidRPr="00E41C96">
        <w:rPr>
          <w:rFonts w:ascii="Cambria" w:hAnsi="Cambria"/>
          <w:b/>
          <w:i/>
        </w:rPr>
        <w:t>α</w:t>
      </w:r>
      <w:r w:rsidRPr="00E41C96">
        <w:rPr>
          <w:rFonts w:ascii="Cambria" w:hAnsi="Cambria"/>
        </w:rPr>
        <w:t xml:space="preserve">, </w:t>
      </w:r>
      <w:r w:rsidRPr="00E41C96">
        <w:rPr>
          <w:rFonts w:ascii="Cambria" w:hAnsi="Cambria"/>
          <w:b/>
          <w:i/>
        </w:rPr>
        <w:t>β</w:t>
      </w:r>
      <w:r w:rsidRPr="00E41C96">
        <w:rPr>
          <w:rFonts w:ascii="Cambria" w:hAnsi="Cambria"/>
        </w:rPr>
        <w:t xml:space="preserve">, </w:t>
      </w:r>
      <w:r w:rsidRPr="00E41C96">
        <w:rPr>
          <w:rFonts w:ascii="Cambria" w:hAnsi="Cambria"/>
          <w:b/>
          <w:i/>
        </w:rPr>
        <w:t>γ</w:t>
      </w:r>
      <w:r w:rsidRPr="00E41C96">
        <w:rPr>
          <w:rFonts w:ascii="Cambria" w:hAnsi="Cambria"/>
        </w:rPr>
        <w:t xml:space="preserve">  – углы, между рассеянными лучами и осями кристалла; </w:t>
      </w:r>
      <w:r w:rsidRPr="00E41C96">
        <w:rPr>
          <w:rFonts w:ascii="Cambria" w:hAnsi="Cambria"/>
          <w:b/>
          <w:i/>
        </w:rPr>
        <w:t>h</w:t>
      </w:r>
      <w:r w:rsidRPr="00E41C96">
        <w:rPr>
          <w:rFonts w:ascii="Cambria" w:hAnsi="Cambria"/>
        </w:rPr>
        <w:t xml:space="preserve">, </w:t>
      </w:r>
      <w:r w:rsidRPr="00E41C96">
        <w:rPr>
          <w:rFonts w:ascii="Cambria" w:hAnsi="Cambria"/>
          <w:b/>
          <w:i/>
        </w:rPr>
        <w:t>k</w:t>
      </w:r>
      <w:r w:rsidRPr="00E41C96">
        <w:rPr>
          <w:rFonts w:ascii="Cambria" w:hAnsi="Cambria"/>
        </w:rPr>
        <w:t xml:space="preserve">, </w:t>
      </w:r>
      <w:r w:rsidRPr="00E41C96">
        <w:rPr>
          <w:rFonts w:ascii="Cambria" w:hAnsi="Cambria"/>
          <w:b/>
          <w:i/>
        </w:rPr>
        <w:t>ℓ</w:t>
      </w:r>
      <w:r w:rsidRPr="00E41C96">
        <w:rPr>
          <w:rFonts w:ascii="Cambria" w:hAnsi="Cambria"/>
        </w:rPr>
        <w:t xml:space="preserve"> – </w:t>
      </w:r>
      <w:r w:rsidRPr="00E41C96">
        <w:rPr>
          <w:rFonts w:ascii="Cambria" w:hAnsi="Cambria"/>
          <w:i/>
        </w:rPr>
        <w:t>индексы Миллера</w:t>
      </w:r>
      <w:r w:rsidRPr="00E41C96">
        <w:rPr>
          <w:rFonts w:ascii="Cambria" w:hAnsi="Cambria"/>
        </w:rPr>
        <w:t>.</w:t>
      </w:r>
    </w:p>
    <w:p w:rsidR="00E41C96" w:rsidRPr="00381844" w:rsidRDefault="00E41C96" w:rsidP="00E7788B">
      <w:pPr>
        <w:shd w:val="clear" w:color="auto" w:fill="FFFFFF"/>
        <w:spacing w:before="120" w:after="120" w:line="269" w:lineRule="atLeast"/>
        <w:ind w:left="-851"/>
        <w:rPr>
          <w:rFonts w:ascii="Cambria" w:hAnsi="Cambria"/>
          <w:bCs/>
          <w:lang w:eastAsia="ru-RU"/>
        </w:rPr>
      </w:pPr>
    </w:p>
    <w:p w:rsidR="00E41C96" w:rsidRPr="00381844" w:rsidRDefault="00E41C96" w:rsidP="00E7788B">
      <w:pPr>
        <w:shd w:val="clear" w:color="auto" w:fill="FFFFFF"/>
        <w:spacing w:before="120" w:after="120" w:line="269" w:lineRule="atLeast"/>
        <w:ind w:left="-851"/>
        <w:rPr>
          <w:rFonts w:ascii="Cambria" w:hAnsi="Cambria"/>
          <w:b/>
          <w:bCs/>
          <w:lang w:eastAsia="ru-RU"/>
        </w:rPr>
      </w:pPr>
      <w:r w:rsidRPr="00381844">
        <w:rPr>
          <w:rFonts w:ascii="Cambria" w:hAnsi="Cambria"/>
          <w:b/>
          <w:bCs/>
          <w:lang w:eastAsia="ru-RU"/>
        </w:rPr>
        <w:lastRenderedPageBreak/>
        <w:t>Условие Вульфа-Брегга</w:t>
      </w:r>
    </w:p>
    <w:p w:rsidR="00E7788B" w:rsidRPr="00381844" w:rsidRDefault="00E7788B" w:rsidP="00E7788B">
      <w:pPr>
        <w:shd w:val="clear" w:color="auto" w:fill="FFFFFF"/>
        <w:spacing w:before="120" w:after="120" w:line="269" w:lineRule="atLeast"/>
        <w:ind w:left="-851"/>
        <w:rPr>
          <w:rFonts w:ascii="Cambria" w:hAnsi="Cambria"/>
          <w:lang w:eastAsia="ru-RU"/>
        </w:rPr>
      </w:pPr>
      <w:r w:rsidRPr="00381844">
        <w:rPr>
          <w:rFonts w:ascii="Cambria" w:hAnsi="Cambria"/>
          <w:bCs/>
          <w:lang w:eastAsia="ru-RU"/>
        </w:rPr>
        <w:t>Условие Вульфа — Брэгга</w:t>
      </w:r>
      <w:r w:rsidRPr="00381844">
        <w:rPr>
          <w:rFonts w:ascii="Cambria" w:hAnsi="Cambria"/>
          <w:lang w:eastAsia="ru-RU"/>
        </w:rPr>
        <w:t xml:space="preserve"> определяет направление максимумов дифракции упруго рассеянного на кристалле рентгеновского излучения. </w:t>
      </w:r>
      <w:r w:rsidR="00E41C96" w:rsidRPr="00E41C96">
        <w:rPr>
          <w:rFonts w:ascii="Cambria" w:hAnsi="Cambria"/>
          <w:lang w:eastAsia="ru-RU"/>
        </w:rPr>
        <w:t>Вторичные когерентные волны, отразившись от различных атомных слоев интерферируют между собой. Дифракционный максимум удовлетворяет условию</w:t>
      </w:r>
    </w:p>
    <w:p w:rsidR="00E7788B" w:rsidRPr="00381844" w:rsidRDefault="000F01DC" w:rsidP="00E7788B">
      <w:pPr>
        <w:shd w:val="clear" w:color="auto" w:fill="FFFFFF"/>
        <w:spacing w:after="24" w:line="360" w:lineRule="atLeast"/>
        <w:ind w:left="-851"/>
        <w:rPr>
          <w:rFonts w:ascii="Cambria" w:hAnsi="Cambria"/>
          <w:lang w:eastAsia="ru-RU"/>
        </w:rPr>
      </w:pPr>
      <w:r>
        <w:rPr>
          <w:rFonts w:ascii="Cambria" w:hAnsi="Cambria"/>
          <w:noProof/>
          <w:lang w:eastAsia="ru-RU"/>
        </w:rPr>
        <w:drawing>
          <wp:inline distT="0" distB="0" distL="0" distR="0">
            <wp:extent cx="5934075" cy="838200"/>
            <wp:effectExtent l="0" t="0" r="9525" b="0"/>
            <wp:docPr id="3" name="Рисунок 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Безымянный"/>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838200"/>
                    </a:xfrm>
                    <a:prstGeom prst="rect">
                      <a:avLst/>
                    </a:prstGeom>
                    <a:noFill/>
                    <a:ln>
                      <a:noFill/>
                    </a:ln>
                  </pic:spPr>
                </pic:pic>
              </a:graphicData>
            </a:graphic>
          </wp:inline>
        </w:drawing>
      </w:r>
    </w:p>
    <w:p w:rsidR="00E7788B" w:rsidRPr="00381844" w:rsidRDefault="00E7788B" w:rsidP="00E7788B">
      <w:pPr>
        <w:shd w:val="clear" w:color="auto" w:fill="FFFFFF"/>
        <w:spacing w:before="120" w:after="120" w:line="269" w:lineRule="atLeast"/>
        <w:ind w:left="-851"/>
        <w:rPr>
          <w:rFonts w:ascii="Cambria" w:hAnsi="Cambria"/>
          <w:lang w:eastAsia="ru-RU"/>
        </w:rPr>
      </w:pPr>
      <w:r w:rsidRPr="00381844">
        <w:rPr>
          <w:rFonts w:ascii="Cambria" w:hAnsi="Cambria"/>
          <w:lang w:eastAsia="ru-RU"/>
        </w:rPr>
        <w:t>где </w:t>
      </w:r>
      <w:r w:rsidRPr="00381844">
        <w:rPr>
          <w:rFonts w:ascii="Cambria" w:hAnsi="Cambria"/>
          <w:b/>
          <w:i/>
          <w:iCs/>
          <w:lang w:eastAsia="ru-RU"/>
        </w:rPr>
        <w:t>d</w:t>
      </w:r>
      <w:r w:rsidRPr="00381844">
        <w:rPr>
          <w:rFonts w:ascii="Cambria" w:hAnsi="Cambria"/>
          <w:lang w:eastAsia="ru-RU"/>
        </w:rPr>
        <w:t> — межплоскостное расстояние, </w:t>
      </w:r>
      <w:r w:rsidRPr="00381844">
        <w:rPr>
          <w:rFonts w:ascii="Cambria" w:hAnsi="Cambria"/>
          <w:b/>
          <w:i/>
          <w:iCs/>
          <w:lang w:eastAsia="ru-RU"/>
        </w:rPr>
        <w:t>θ</w:t>
      </w:r>
      <w:r w:rsidRPr="00381844">
        <w:rPr>
          <w:rFonts w:ascii="Cambria" w:hAnsi="Cambria"/>
          <w:lang w:eastAsia="ru-RU"/>
        </w:rPr>
        <w:t> — угол скольжения (</w:t>
      </w:r>
      <w:r w:rsidRPr="00381844">
        <w:rPr>
          <w:rFonts w:ascii="Cambria" w:hAnsi="Cambria"/>
          <w:i/>
          <w:lang w:eastAsia="ru-RU"/>
        </w:rPr>
        <w:t>брэгговский угол</w:t>
      </w:r>
      <w:r w:rsidRPr="00381844">
        <w:rPr>
          <w:rFonts w:ascii="Cambria" w:hAnsi="Cambria"/>
          <w:lang w:eastAsia="ru-RU"/>
        </w:rPr>
        <w:t>), </w:t>
      </w:r>
      <w:r w:rsidR="00E41C96" w:rsidRPr="00381844">
        <w:rPr>
          <w:rFonts w:ascii="Cambria" w:hAnsi="Cambria"/>
          <w:b/>
          <w:i/>
          <w:iCs/>
          <w:lang w:val="en-US" w:eastAsia="ru-RU"/>
        </w:rPr>
        <w:t>m</w:t>
      </w:r>
      <w:r w:rsidRPr="00381844">
        <w:rPr>
          <w:rFonts w:ascii="Cambria" w:hAnsi="Cambria"/>
          <w:lang w:eastAsia="ru-RU"/>
        </w:rPr>
        <w:t> — порядок дифракционного максимума, </w:t>
      </w:r>
      <w:r w:rsidRPr="00381844">
        <w:rPr>
          <w:rFonts w:ascii="Cambria" w:hAnsi="Cambria"/>
          <w:b/>
          <w:i/>
          <w:iCs/>
          <w:lang w:eastAsia="ru-RU"/>
        </w:rPr>
        <w:t>λ</w:t>
      </w:r>
      <w:r w:rsidRPr="00381844">
        <w:rPr>
          <w:rFonts w:ascii="Cambria" w:hAnsi="Cambria"/>
          <w:lang w:eastAsia="ru-RU"/>
        </w:rPr>
        <w:t> — длина волны.</w:t>
      </w:r>
    </w:p>
    <w:p w:rsidR="00E7788B" w:rsidRPr="00381844" w:rsidRDefault="00E41C96">
      <w:pPr>
        <w:ind w:left="-851"/>
        <w:rPr>
          <w:rFonts w:ascii="Cambria" w:hAnsi="Cambria"/>
        </w:rPr>
      </w:pPr>
      <w:r w:rsidRPr="00E41C96">
        <w:rPr>
          <w:rFonts w:ascii="Cambria" w:hAnsi="Cambria"/>
        </w:rPr>
        <w:t>Дифракция рентгеновских лучей наблюдается в кристаллах, поликристаллах, аморфных телах, жидкостях и газах. Зависимость величины и пространственного распределения интенсивности рассеянного излучения от структуры и других физических характеристик образца легла в основу рентгено-структурного анализа и рентгенографии материалов.</w:t>
      </w:r>
    </w:p>
    <w:p w:rsidR="007D711C" w:rsidRPr="00381844" w:rsidRDefault="000F01DC">
      <w:pPr>
        <w:ind w:left="-851"/>
        <w:rPr>
          <w:rFonts w:ascii="Cambria" w:hAnsi="Cambria"/>
        </w:rPr>
      </w:pPr>
      <w:r>
        <w:rPr>
          <w:rFonts w:ascii="Cambria" w:hAnsi="Cambria"/>
          <w:noProof/>
          <w:lang w:eastAsia="ru-RU"/>
        </w:rPr>
        <w:drawing>
          <wp:inline distT="0" distB="0" distL="0" distR="0">
            <wp:extent cx="5934075" cy="2505075"/>
            <wp:effectExtent l="0" t="0" r="9525" b="9525"/>
            <wp:docPr id="4" name="Рисунок 4"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Безымянны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05075"/>
                    </a:xfrm>
                    <a:prstGeom prst="rect">
                      <a:avLst/>
                    </a:prstGeom>
                    <a:noFill/>
                    <a:ln>
                      <a:noFill/>
                    </a:ln>
                  </pic:spPr>
                </pic:pic>
              </a:graphicData>
            </a:graphic>
          </wp:inline>
        </w:drawing>
      </w:r>
    </w:p>
    <w:sectPr w:rsidR="007D711C" w:rsidRPr="003818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88B"/>
    <w:rsid w:val="000F01DC"/>
    <w:rsid w:val="00381844"/>
    <w:rsid w:val="005E26D5"/>
    <w:rsid w:val="007D711C"/>
    <w:rsid w:val="007F2B08"/>
    <w:rsid w:val="00A1691A"/>
    <w:rsid w:val="00E41C96"/>
    <w:rsid w:val="00E778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7788B"/>
    <w:pPr>
      <w:spacing w:after="160" w:line="259" w:lineRule="auto"/>
    </w:pPr>
    <w:rPr>
      <w:rFonts w:ascii="Calibri" w:hAnsi="Calibri"/>
      <w:sz w:val="22"/>
      <w:szCs w:val="22"/>
      <w:lang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E7788B"/>
    <w:rPr>
      <w:color w:val="0000FF"/>
      <w:u w:val="single"/>
    </w:rPr>
  </w:style>
  <w:style w:type="character" w:customStyle="1" w:styleId="apple-converted-space">
    <w:name w:val="apple-converted-space"/>
    <w:basedOn w:val="a0"/>
    <w:rsid w:val="00E7788B"/>
  </w:style>
  <w:style w:type="paragraph" w:customStyle="1" w:styleId="special">
    <w:name w:val="special"/>
    <w:basedOn w:val="a"/>
    <w:rsid w:val="00E7788B"/>
    <w:pPr>
      <w:spacing w:before="100" w:beforeAutospacing="1" w:after="100" w:afterAutospacing="1" w:line="240" w:lineRule="auto"/>
    </w:pPr>
    <w:rPr>
      <w:rFonts w:ascii="Times New Roman" w:hAnsi="Times New Roman"/>
      <w:sz w:val="24"/>
      <w:szCs w:val="24"/>
      <w:lang w:eastAsia="ru-RU"/>
    </w:rPr>
  </w:style>
  <w:style w:type="paragraph" w:styleId="a4">
    <w:name w:val="Normal (Web)"/>
    <w:basedOn w:val="a"/>
    <w:rsid w:val="00E7788B"/>
    <w:pPr>
      <w:spacing w:before="100" w:beforeAutospacing="1" w:after="100" w:afterAutospacing="1" w:line="240" w:lineRule="auto"/>
    </w:pPr>
    <w:rPr>
      <w:rFonts w:ascii="Times New Roman" w:hAnsi="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7788B"/>
    <w:pPr>
      <w:spacing w:after="160" w:line="259" w:lineRule="auto"/>
    </w:pPr>
    <w:rPr>
      <w:rFonts w:ascii="Calibri" w:hAnsi="Calibri"/>
      <w:sz w:val="22"/>
      <w:szCs w:val="22"/>
      <w:lang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E7788B"/>
    <w:rPr>
      <w:color w:val="0000FF"/>
      <w:u w:val="single"/>
    </w:rPr>
  </w:style>
  <w:style w:type="character" w:customStyle="1" w:styleId="apple-converted-space">
    <w:name w:val="apple-converted-space"/>
    <w:basedOn w:val="a0"/>
    <w:rsid w:val="00E7788B"/>
  </w:style>
  <w:style w:type="paragraph" w:customStyle="1" w:styleId="special">
    <w:name w:val="special"/>
    <w:basedOn w:val="a"/>
    <w:rsid w:val="00E7788B"/>
    <w:pPr>
      <w:spacing w:before="100" w:beforeAutospacing="1" w:after="100" w:afterAutospacing="1" w:line="240" w:lineRule="auto"/>
    </w:pPr>
    <w:rPr>
      <w:rFonts w:ascii="Times New Roman" w:hAnsi="Times New Roman"/>
      <w:sz w:val="24"/>
      <w:szCs w:val="24"/>
      <w:lang w:eastAsia="ru-RU"/>
    </w:rPr>
  </w:style>
  <w:style w:type="paragraph" w:styleId="a4">
    <w:name w:val="Normal (Web)"/>
    <w:basedOn w:val="a"/>
    <w:rsid w:val="00E7788B"/>
    <w:pPr>
      <w:spacing w:before="100" w:beforeAutospacing="1" w:after="100" w:afterAutospacing="1" w:line="240" w:lineRule="auto"/>
    </w:pPr>
    <w:rPr>
      <w:rFonts w:ascii="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883157">
      <w:bodyDiv w:val="1"/>
      <w:marLeft w:val="0"/>
      <w:marRight w:val="0"/>
      <w:marTop w:val="0"/>
      <w:marBottom w:val="0"/>
      <w:divBdr>
        <w:top w:val="none" w:sz="0" w:space="0" w:color="auto"/>
        <w:left w:val="none" w:sz="0" w:space="0" w:color="auto"/>
        <w:bottom w:val="none" w:sz="0" w:space="0" w:color="auto"/>
        <w:right w:val="none" w:sz="0" w:space="0" w:color="auto"/>
      </w:divBdr>
    </w:div>
    <w:div w:id="121747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emport.ru/xraydiffraction.s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1789</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29</vt:lpstr>
    </vt:vector>
  </TitlesOfParts>
  <Company>SPecialiST RePack</Company>
  <LinksUpToDate>false</LinksUpToDate>
  <CharactersWithSpaces>2098</CharactersWithSpaces>
  <SharedDoc>false</SharedDoc>
  <HLinks>
    <vt:vector size="6" baseType="variant">
      <vt:variant>
        <vt:i4>1179718</vt:i4>
      </vt:variant>
      <vt:variant>
        <vt:i4>0</vt:i4>
      </vt:variant>
      <vt:variant>
        <vt:i4>0</vt:i4>
      </vt:variant>
      <vt:variant>
        <vt:i4>5</vt:i4>
      </vt:variant>
      <vt:variant>
        <vt:lpwstr>http://www.chemport.ru/xraydiffraction.shtml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dc:title>
  <dc:creator>Adolf</dc:creator>
  <cp:lastModifiedBy>Сергей Кухаренко</cp:lastModifiedBy>
  <cp:revision>2</cp:revision>
  <dcterms:created xsi:type="dcterms:W3CDTF">2015-06-14T04:30:00Z</dcterms:created>
  <dcterms:modified xsi:type="dcterms:W3CDTF">2015-06-14T04:30:00Z</dcterms:modified>
</cp:coreProperties>
</file>