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 «Информатики</w:t>
            </w:r>
            <w:r>
              <w:rPr>
                <w:rFonts w:ascii="Cambria" w:eastAsia="Calibri" w:hAnsi="Cambria" w:cs="Cambria"/>
                <w:sz w:val="20"/>
                <w:szCs w:val="20"/>
              </w:rPr>
              <w:t>»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E1612D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="006126A8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E1612D" w:rsidP="006C2B57">
            <w:pPr>
              <w:pStyle w:val="16"/>
              <w:jc w:val="center"/>
            </w:pPr>
            <w:r>
              <w:rPr>
                <w:sz w:val="26"/>
                <w:szCs w:val="26"/>
              </w:rPr>
              <w:t xml:space="preserve">Расчет </w:t>
            </w:r>
            <w:r w:rsidR="006C2B57">
              <w:rPr>
                <w:sz w:val="26"/>
                <w:szCs w:val="26"/>
              </w:rPr>
              <w:t>эксплуатационных</w:t>
            </w:r>
            <w:r>
              <w:rPr>
                <w:sz w:val="26"/>
                <w:szCs w:val="26"/>
              </w:rPr>
              <w:t xml:space="preserve"> (</w:t>
            </w:r>
            <w:r w:rsidR="006C2B57">
              <w:rPr>
                <w:sz w:val="26"/>
                <w:szCs w:val="26"/>
              </w:rPr>
              <w:t>текущих</w:t>
            </w:r>
            <w:r>
              <w:rPr>
                <w:sz w:val="26"/>
                <w:szCs w:val="26"/>
              </w:rPr>
              <w:t xml:space="preserve">) затрат </w:t>
            </w:r>
            <w:r w:rsidR="006C2B57">
              <w:rPr>
                <w:sz w:val="26"/>
                <w:szCs w:val="26"/>
              </w:rPr>
              <w:t>по программному продукту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8445D" w:rsidRDefault="00046DDA" w:rsidP="00046DDA">
            <w:pPr>
              <w:pStyle w:val="16"/>
              <w:jc w:val="center"/>
            </w:pPr>
            <w:r>
              <w:rPr>
                <w:color w:val="A6A6A6"/>
                <w:sz w:val="20"/>
                <w:szCs w:val="20"/>
              </w:rPr>
              <w:t>Тема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jc w:val="center"/>
            </w:pPr>
          </w:p>
        </w:tc>
      </w:tr>
      <w:tr w:rsidR="0088445D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snapToGrid w:val="0"/>
              <w:jc w:val="center"/>
              <w:rPr>
                <w:sz w:val="28"/>
                <w:szCs w:val="28"/>
              </w:rPr>
            </w:pPr>
          </w:p>
          <w:p w:rsidR="0088445D" w:rsidRDefault="0088445D">
            <w:pPr>
              <w:pStyle w:val="16"/>
              <w:jc w:val="center"/>
              <w:rPr>
                <w:sz w:val="28"/>
                <w:szCs w:val="28"/>
              </w:rPr>
            </w:pP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2805"/>
        <w:gridCol w:w="1456"/>
        <w:gridCol w:w="564"/>
        <w:gridCol w:w="3140"/>
        <w:gridCol w:w="464"/>
        <w:gridCol w:w="1253"/>
      </w:tblGrid>
      <w:tr w:rsidR="0088445D">
        <w:tc>
          <w:tcPr>
            <w:tcW w:w="2805" w:type="dxa"/>
            <w:shd w:val="clear" w:color="auto" w:fill="FFFFFF"/>
          </w:tcPr>
          <w:p w:rsidR="00A646C3" w:rsidRDefault="00A646C3">
            <w:pPr>
              <w:spacing w:before="228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before="132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56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ind w:right="13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A646C3" w:rsidP="006126A8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6126A8"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4" w:type="dxa"/>
            <w:shd w:val="clear" w:color="auto" w:fill="FFFFFF"/>
          </w:tcPr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5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2805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88445D">
        <w:tc>
          <w:tcPr>
            <w:tcW w:w="1563" w:type="dxa"/>
            <w:shd w:val="clear" w:color="auto" w:fill="FFFFFF"/>
          </w:tcPr>
          <w:p w:rsidR="0088445D" w:rsidRDefault="0058443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</w:tcPr>
          <w:p w:rsidR="0088445D" w:rsidRDefault="0088445D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</w:tcPr>
          <w:p w:rsidR="0088445D" w:rsidRDefault="00BA22C4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156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646C3" w:rsidRDefault="00A646C3" w:rsidP="00A646C3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46DDA" w:rsidP="00046DDA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B1295" w:rsidP="00046DDA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E43FE8">
        <w:rPr>
          <w:rFonts w:ascii="Times New Roman" w:hAnsi="Times New Roman" w:cs="Times New Roman"/>
          <w:sz w:val="28"/>
          <w:szCs w:val="28"/>
        </w:rPr>
        <w:t>201</w:t>
      </w:r>
      <w:r w:rsidR="00046DD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46DDA" w:rsidRDefault="00046DDA" w:rsidP="00E43FE8">
      <w:pPr>
        <w:widowControl w:val="0"/>
        <w:spacing w:before="120" w:after="0" w:line="100" w:lineRule="atLeast"/>
        <w:rPr>
          <w:rFonts w:ascii="Times New Roman" w:hAnsi="Times New Roman" w:cs="Times New Roman"/>
          <w:b/>
          <w:sz w:val="28"/>
          <w:szCs w:val="28"/>
        </w:rPr>
        <w:sectPr w:rsidR="00046DDA" w:rsidSect="00046DDA">
          <w:footerReference w:type="default" r:id="rId9"/>
          <w:footerReference w:type="first" r:id="rId10"/>
          <w:type w:val="continuous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:rsidR="006126A8" w:rsidRPr="00863520" w:rsidRDefault="00BA22C4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2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126A8" w:rsidRPr="0086352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1612D" w:rsidRPr="00E1612D" w:rsidRDefault="00E1612D" w:rsidP="00E1612D">
      <w:pPr>
        <w:widowControl w:val="0"/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sz w:val="28"/>
          <w:szCs w:val="28"/>
        </w:rPr>
        <w:t xml:space="preserve">Научиться производить расчет </w:t>
      </w:r>
      <w:r w:rsidR="006C2B57">
        <w:rPr>
          <w:rFonts w:ascii="Times New Roman" w:hAnsi="Times New Roman" w:cs="Times New Roman"/>
          <w:sz w:val="28"/>
          <w:szCs w:val="28"/>
        </w:rPr>
        <w:t>эксплуатационных затрат по программному продукту</w:t>
      </w:r>
      <w:r w:rsidRPr="00E1612D">
        <w:rPr>
          <w:rFonts w:ascii="Times New Roman" w:hAnsi="Times New Roman" w:cs="Times New Roman"/>
          <w:sz w:val="28"/>
          <w:szCs w:val="28"/>
        </w:rPr>
        <w:t>.</w:t>
      </w:r>
    </w:p>
    <w:p w:rsidR="0088445D" w:rsidRDefault="00E1612D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C2B57" w:rsidRPr="006C2B57" w:rsidRDefault="006C2B57" w:rsidP="006C2B5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B57">
        <w:rPr>
          <w:rFonts w:ascii="Times New Roman" w:hAnsi="Times New Roman" w:cs="Times New Roman"/>
          <w:sz w:val="28"/>
          <w:szCs w:val="28"/>
        </w:rPr>
        <w:t>Эксплуатационные (текущие) расходы определяются на год по следующей формуле</w:t>
      </w:r>
    </w:p>
    <w:p w:rsidR="006C2B57" w:rsidRPr="006C2B57" w:rsidRDefault="006C2B57" w:rsidP="006C2B57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C2B57">
        <w:rPr>
          <w:rFonts w:ascii="Times New Roman" w:hAnsi="Times New Roman" w:cs="Times New Roman"/>
          <w:sz w:val="28"/>
          <w:szCs w:val="28"/>
        </w:rPr>
        <w:t xml:space="preserve"> </w:t>
      </w:r>
      <w:r w:rsidRPr="00380C39">
        <w:rPr>
          <w:rFonts w:ascii="Times New Roman" w:hAnsi="Times New Roman" w:cs="Times New Roman"/>
          <w:position w:val="-14"/>
          <w:sz w:val="24"/>
          <w:szCs w:val="24"/>
        </w:rPr>
        <w:object w:dxaOrig="2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21.75pt" o:ole="">
            <v:imagedata r:id="rId11" o:title=""/>
          </v:shape>
          <o:OLEObject Type="Embed" ProgID="Equation.3" ShapeID="_x0000_i1025" DrawAspect="Content" ObjectID="_1506096115" r:id="rId12"/>
        </w:object>
      </w:r>
    </w:p>
    <w:p w:rsidR="006C2B57" w:rsidRPr="006C2B57" w:rsidRDefault="006C2B57" w:rsidP="006C2B5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B57">
        <w:rPr>
          <w:rFonts w:ascii="Times New Roman" w:hAnsi="Times New Roman" w:cs="Times New Roman"/>
          <w:sz w:val="28"/>
          <w:szCs w:val="28"/>
        </w:rPr>
        <w:t xml:space="preserve">где </w:t>
      </w:r>
      <w:r w:rsidRPr="006C2B5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C2B57">
        <w:rPr>
          <w:rFonts w:ascii="Times New Roman" w:hAnsi="Times New Roman" w:cs="Times New Roman"/>
          <w:sz w:val="28"/>
          <w:szCs w:val="28"/>
        </w:rPr>
        <w:t>Р</w:t>
      </w:r>
      <w:r w:rsidRPr="002441C6">
        <w:rPr>
          <w:rFonts w:ascii="Times New Roman" w:hAnsi="Times New Roman" w:cs="Times New Roman"/>
          <w:sz w:val="28"/>
          <w:szCs w:val="28"/>
          <w:vertAlign w:val="subscript"/>
        </w:rPr>
        <w:t>зпл</w:t>
      </w:r>
      <w:proofErr w:type="spellEnd"/>
      <w:r w:rsidRPr="006C2B57">
        <w:rPr>
          <w:rFonts w:ascii="Times New Roman" w:hAnsi="Times New Roman" w:cs="Times New Roman"/>
          <w:sz w:val="28"/>
          <w:szCs w:val="28"/>
        </w:rPr>
        <w:t xml:space="preserve"> - затраты на заработную плату персонала, осуществляющего обслуживание </w:t>
      </w:r>
      <w:proofErr w:type="gramStart"/>
      <w:r w:rsidRPr="006C2B5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C2B57">
        <w:rPr>
          <w:rFonts w:ascii="Times New Roman" w:hAnsi="Times New Roman" w:cs="Times New Roman"/>
          <w:sz w:val="28"/>
          <w:szCs w:val="28"/>
        </w:rPr>
        <w:t>, с учетом страховых взносов;</w:t>
      </w:r>
    </w:p>
    <w:p w:rsidR="006C2B57" w:rsidRPr="006C2B57" w:rsidRDefault="006C2B57" w:rsidP="006C2B5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B57">
        <w:rPr>
          <w:rFonts w:ascii="Times New Roman" w:hAnsi="Times New Roman" w:cs="Times New Roman"/>
          <w:sz w:val="28"/>
          <w:szCs w:val="28"/>
        </w:rPr>
        <w:t>Р</w:t>
      </w:r>
      <w:r w:rsidRPr="002441C6">
        <w:rPr>
          <w:rFonts w:ascii="Times New Roman" w:hAnsi="Times New Roman" w:cs="Times New Roman"/>
          <w:sz w:val="28"/>
          <w:szCs w:val="28"/>
          <w:vertAlign w:val="subscript"/>
        </w:rPr>
        <w:t>общ</w:t>
      </w:r>
      <w:proofErr w:type="spellEnd"/>
      <w:r w:rsidRPr="006C2B57">
        <w:rPr>
          <w:rFonts w:ascii="Times New Roman" w:hAnsi="Times New Roman" w:cs="Times New Roman"/>
          <w:sz w:val="28"/>
          <w:szCs w:val="28"/>
        </w:rPr>
        <w:t xml:space="preserve"> - общепроизводственные расходы, которые включают: затраты на оплату электроэнергии (зависят от количества оборудования, от потребляемой мощности и тарифов на электроэнергию); затраты на материалы; затраты, связанные с ремонтом оборудования; затраты, связанные с приобретением запасных частей для ремонта; затраты на оплату аренды каналов связи; </w:t>
      </w:r>
    </w:p>
    <w:p w:rsidR="006C2B57" w:rsidRPr="006C2B57" w:rsidRDefault="006C2B57" w:rsidP="006C2B5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B57">
        <w:rPr>
          <w:rFonts w:ascii="Times New Roman" w:hAnsi="Times New Roman" w:cs="Times New Roman"/>
          <w:sz w:val="28"/>
          <w:szCs w:val="28"/>
        </w:rPr>
        <w:t>Р</w:t>
      </w:r>
      <w:r w:rsidRPr="002441C6">
        <w:rPr>
          <w:rFonts w:ascii="Times New Roman" w:hAnsi="Times New Roman" w:cs="Times New Roman"/>
          <w:sz w:val="28"/>
          <w:szCs w:val="28"/>
          <w:vertAlign w:val="subscript"/>
        </w:rPr>
        <w:t>ам</w:t>
      </w:r>
      <w:r w:rsidRPr="006C2B57">
        <w:rPr>
          <w:rFonts w:ascii="Times New Roman" w:hAnsi="Times New Roman" w:cs="Times New Roman"/>
          <w:sz w:val="28"/>
          <w:szCs w:val="28"/>
        </w:rPr>
        <w:t xml:space="preserve"> - амортизация основных фондов и нематериальных активов;</w:t>
      </w:r>
    </w:p>
    <w:p w:rsidR="006C2B57" w:rsidRDefault="006C2B57" w:rsidP="006C2B5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B57">
        <w:rPr>
          <w:rFonts w:ascii="Times New Roman" w:hAnsi="Times New Roman" w:cs="Times New Roman"/>
          <w:sz w:val="28"/>
          <w:szCs w:val="28"/>
        </w:rPr>
        <w:t>Р</w:t>
      </w:r>
      <w:r w:rsidRPr="002441C6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C2B57">
        <w:rPr>
          <w:rFonts w:ascii="Times New Roman" w:hAnsi="Times New Roman" w:cs="Times New Roman"/>
          <w:sz w:val="28"/>
          <w:szCs w:val="28"/>
        </w:rPr>
        <w:t xml:space="preserve"> – прочие расходы.</w:t>
      </w:r>
    </w:p>
    <w:p w:rsidR="00DE52A3" w:rsidRDefault="000F5CD9" w:rsidP="006C2B5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Приобретенное ПО на основании договора купли-продажи не признается нематериальным активом и не подлежит амортизации, т.к. организация-покупатель не имеет на него исключительного права.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 самой организацией ПО признается нематериальным активом и подлежит амортизации</w:t>
      </w:r>
      <w:r w:rsidR="000C1D28">
        <w:rPr>
          <w:rFonts w:ascii="Times New Roman" w:hAnsi="Times New Roman" w:cs="Times New Roman"/>
          <w:sz w:val="28"/>
          <w:szCs w:val="28"/>
        </w:rPr>
        <w:t>.</w:t>
      </w:r>
    </w:p>
    <w:p w:rsidR="000C1D28" w:rsidRPr="000C1D28" w:rsidRDefault="000C1D28" w:rsidP="006C2B5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 использование программного продукта для учебных целей в течение 21 часа в неделю, следовательно, норма рабочего времени сотрудника, осуществляющего об</w:t>
      </w:r>
      <w:r w:rsidR="002441C6">
        <w:rPr>
          <w:rFonts w:ascii="Times New Roman" w:hAnsi="Times New Roman" w:cs="Times New Roman"/>
          <w:sz w:val="28"/>
          <w:szCs w:val="28"/>
        </w:rPr>
        <w:t xml:space="preserve">служивание </w:t>
      </w:r>
      <w:proofErr w:type="gramStart"/>
      <w:r w:rsidR="002441C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2441C6">
        <w:rPr>
          <w:rFonts w:ascii="Times New Roman" w:hAnsi="Times New Roman" w:cs="Times New Roman"/>
          <w:sz w:val="28"/>
          <w:szCs w:val="28"/>
        </w:rPr>
        <w:t>, составит 64 часа</w:t>
      </w:r>
      <w:r>
        <w:rPr>
          <w:rFonts w:ascii="Times New Roman" w:hAnsi="Times New Roman" w:cs="Times New Roman"/>
          <w:sz w:val="28"/>
          <w:szCs w:val="28"/>
        </w:rPr>
        <w:t xml:space="preserve"> в месяц. Для обслуживания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StudyProgress</w:t>
      </w:r>
      <w:proofErr w:type="spellEnd"/>
      <w:r w:rsidRPr="000C1D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C1D28">
        <w:rPr>
          <w:rFonts w:ascii="Times New Roman" w:hAnsi="Times New Roman" w:cs="Times New Roman"/>
          <w:sz w:val="28"/>
          <w:szCs w:val="28"/>
        </w:rPr>
        <w:t>.1.0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один сотрудник, занимающий должность оператора ЭВМ. Если при полной занятости норма рабочего времени в месяц составляет 160 часов, то при 64 часах тарифная ставка будет 0,4 в таблице 1 сведены расчеты заработной пл</w:t>
      </w:r>
      <w:r w:rsidR="002E6EFA">
        <w:rPr>
          <w:rFonts w:ascii="Times New Roman" w:hAnsi="Times New Roman" w:cs="Times New Roman"/>
          <w:sz w:val="28"/>
          <w:szCs w:val="28"/>
        </w:rPr>
        <w:t>аты оператора ЭВМ и за месяц.</w:t>
      </w:r>
    </w:p>
    <w:p w:rsidR="00011C4B" w:rsidRDefault="00011C4B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</w:t>
      </w:r>
      <w:r w:rsidR="002E6EFA">
        <w:rPr>
          <w:rFonts w:ascii="Times New Roman" w:hAnsi="Times New Roman" w:cs="Times New Roman"/>
          <w:sz w:val="28"/>
          <w:szCs w:val="28"/>
        </w:rPr>
        <w:t>Фонд заработной платы оператора ЭВМ и программиста при тарифной ставке 0,4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915"/>
        <w:gridCol w:w="4916"/>
      </w:tblGrid>
      <w:tr w:rsidR="005004E1" w:rsidTr="005004E1">
        <w:trPr>
          <w:trHeight w:val="170"/>
          <w:jc w:val="center"/>
        </w:trPr>
        <w:tc>
          <w:tcPr>
            <w:tcW w:w="4915" w:type="dxa"/>
            <w:vAlign w:val="center"/>
          </w:tcPr>
          <w:p w:rsidR="005004E1" w:rsidRPr="00A3115A" w:rsidRDefault="005004E1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916" w:type="dxa"/>
            <w:vAlign w:val="bottom"/>
          </w:tcPr>
          <w:p w:rsidR="005004E1" w:rsidRPr="00A3115A" w:rsidRDefault="005004E1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Итого, </w:t>
            </w:r>
            <w:proofErr w:type="spellStart"/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proofErr w:type="spellEnd"/>
          </w:p>
        </w:tc>
      </w:tr>
      <w:tr w:rsidR="005004E1" w:rsidTr="00452E31">
        <w:trPr>
          <w:jc w:val="center"/>
        </w:trPr>
        <w:tc>
          <w:tcPr>
            <w:tcW w:w="4915" w:type="dxa"/>
            <w:vAlign w:val="center"/>
          </w:tcPr>
          <w:p w:rsidR="005004E1" w:rsidRDefault="005004E1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4916" w:type="dxa"/>
          </w:tcPr>
          <w:p w:rsidR="005004E1" w:rsidRDefault="002441C6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5004E1" w:rsidTr="00452E31">
        <w:trPr>
          <w:jc w:val="center"/>
        </w:trPr>
        <w:tc>
          <w:tcPr>
            <w:tcW w:w="4915" w:type="dxa"/>
            <w:vAlign w:val="center"/>
          </w:tcPr>
          <w:p w:rsidR="005004E1" w:rsidRDefault="002441C6" w:rsidP="00244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Надбавка</w:t>
            </w:r>
            <w:r w:rsidR="005004E1">
              <w:rPr>
                <w:rFonts w:ascii="Times New Roman" w:hAnsi="Times New Roman" w:cs="Times New Roman"/>
                <w:sz w:val="28"/>
                <w:szCs w:val="28"/>
              </w:rPr>
              <w:t xml:space="preserve"> стимулирующего характера </w:t>
            </w:r>
          </w:p>
        </w:tc>
        <w:tc>
          <w:tcPr>
            <w:tcW w:w="4916" w:type="dxa"/>
          </w:tcPr>
          <w:p w:rsidR="005004E1" w:rsidRDefault="002441C6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1957F2" w:rsidTr="00452E31">
        <w:trPr>
          <w:jc w:val="center"/>
        </w:trPr>
        <w:tc>
          <w:tcPr>
            <w:tcW w:w="4915" w:type="dxa"/>
            <w:vAlign w:val="center"/>
          </w:tcPr>
          <w:p w:rsidR="001957F2" w:rsidRDefault="001957F2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Районный коэффициент</w:t>
            </w:r>
            <w:r w:rsidR="002441C6">
              <w:rPr>
                <w:rFonts w:ascii="Times New Roman" w:hAnsi="Times New Roman" w:cs="Times New Roman"/>
                <w:sz w:val="28"/>
                <w:szCs w:val="28"/>
              </w:rPr>
              <w:t xml:space="preserve"> и северная надбавка</w:t>
            </w:r>
            <w:r w:rsidR="007956B2" w:rsidRPr="007956B2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  <w:tc>
          <w:tcPr>
            <w:tcW w:w="4916" w:type="dxa"/>
          </w:tcPr>
          <w:p w:rsidR="001957F2" w:rsidRDefault="007956B2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</w:tr>
      <w:tr w:rsidR="005004E1" w:rsidTr="00452E31">
        <w:trPr>
          <w:jc w:val="center"/>
        </w:trPr>
        <w:tc>
          <w:tcPr>
            <w:tcW w:w="4915" w:type="dxa"/>
            <w:vAlign w:val="center"/>
          </w:tcPr>
          <w:p w:rsidR="005004E1" w:rsidRDefault="00452E31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плата со всеми надбавками за месяц</w:t>
            </w:r>
          </w:p>
        </w:tc>
        <w:tc>
          <w:tcPr>
            <w:tcW w:w="4916" w:type="dxa"/>
          </w:tcPr>
          <w:p w:rsidR="005004E1" w:rsidRDefault="007956B2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1190</w:t>
            </w:r>
          </w:p>
        </w:tc>
      </w:tr>
      <w:tr w:rsidR="007956B2" w:rsidTr="00452E31">
        <w:trPr>
          <w:jc w:val="center"/>
        </w:trPr>
        <w:tc>
          <w:tcPr>
            <w:tcW w:w="4915" w:type="dxa"/>
            <w:vAlign w:val="center"/>
          </w:tcPr>
          <w:p w:rsidR="007956B2" w:rsidRDefault="007956B2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Страховые взносы</w:t>
            </w:r>
          </w:p>
        </w:tc>
        <w:tc>
          <w:tcPr>
            <w:tcW w:w="4916" w:type="dxa"/>
          </w:tcPr>
          <w:p w:rsidR="007956B2" w:rsidRDefault="007956B2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</w:tr>
      <w:tr w:rsidR="005004E1" w:rsidTr="00452E31">
        <w:trPr>
          <w:jc w:val="center"/>
        </w:trPr>
        <w:tc>
          <w:tcPr>
            <w:tcW w:w="4915" w:type="dxa"/>
            <w:vAlign w:val="center"/>
          </w:tcPr>
          <w:p w:rsidR="005004E1" w:rsidRDefault="007956B2" w:rsidP="001957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Фонд заработной платы с учетом страховых взносов в месяц</w:t>
            </w:r>
          </w:p>
        </w:tc>
        <w:tc>
          <w:tcPr>
            <w:tcW w:w="4916" w:type="dxa"/>
          </w:tcPr>
          <w:p w:rsidR="005004E1" w:rsidRDefault="007956B2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1547</w:t>
            </w:r>
          </w:p>
        </w:tc>
      </w:tr>
      <w:tr w:rsidR="007956B2" w:rsidTr="00452E31">
        <w:trPr>
          <w:jc w:val="center"/>
        </w:trPr>
        <w:tc>
          <w:tcPr>
            <w:tcW w:w="4915" w:type="dxa"/>
            <w:vAlign w:val="center"/>
          </w:tcPr>
          <w:p w:rsidR="007956B2" w:rsidRDefault="007956B2" w:rsidP="001957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Фонд заработной платы с учетом страховых взносов в год</w:t>
            </w:r>
          </w:p>
        </w:tc>
        <w:tc>
          <w:tcPr>
            <w:tcW w:w="4916" w:type="dxa"/>
          </w:tcPr>
          <w:p w:rsidR="007956B2" w:rsidRDefault="007956B2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18564</w:t>
            </w:r>
          </w:p>
        </w:tc>
      </w:tr>
    </w:tbl>
    <w:p w:rsidR="007A1CFC" w:rsidRPr="007A1CFC" w:rsidRDefault="007A1CFC" w:rsidP="007A1CFC">
      <w:pPr>
        <w:shd w:val="clear" w:color="auto" w:fill="FFFFFF"/>
        <w:spacing w:before="20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7A1CFC">
        <w:rPr>
          <w:rFonts w:ascii="Times New Roman" w:hAnsi="Times New Roman" w:cs="Times New Roman"/>
          <w:sz w:val="28"/>
          <w:szCs w:val="28"/>
        </w:rPr>
        <w:t xml:space="preserve">Затраты на оплату электроэнергии рассчитываются как сумма стоимостей электроэнергии, потребляемой </w:t>
      </w:r>
      <w:r>
        <w:rPr>
          <w:rFonts w:ascii="Times New Roman" w:hAnsi="Times New Roman" w:cs="Times New Roman"/>
          <w:sz w:val="28"/>
          <w:szCs w:val="28"/>
        </w:rPr>
        <w:t>компьют</w:t>
      </w:r>
      <w:r w:rsidR="004E10B0">
        <w:rPr>
          <w:rFonts w:ascii="Times New Roman" w:hAnsi="Times New Roman" w:cs="Times New Roman"/>
          <w:sz w:val="28"/>
          <w:szCs w:val="28"/>
        </w:rPr>
        <w:t>ером в целом, а также принтером и системой освещения</w:t>
      </w:r>
      <w:r w:rsidRPr="007A1CFC">
        <w:rPr>
          <w:rFonts w:ascii="Times New Roman" w:hAnsi="Times New Roman" w:cs="Times New Roman"/>
          <w:sz w:val="28"/>
          <w:szCs w:val="28"/>
        </w:rPr>
        <w:t>. Потребляемая электроэнергия  представлена в таблице 3.</w:t>
      </w:r>
    </w:p>
    <w:p w:rsidR="007A1CFC" w:rsidRPr="007A1CFC" w:rsidRDefault="007A1CFC" w:rsidP="007A1CFC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7A1CF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B0510">
        <w:rPr>
          <w:rFonts w:ascii="Times New Roman" w:hAnsi="Times New Roman" w:cs="Times New Roman"/>
          <w:sz w:val="28"/>
          <w:szCs w:val="28"/>
        </w:rPr>
        <w:t>2</w:t>
      </w:r>
      <w:r w:rsidRPr="007A1CFC">
        <w:rPr>
          <w:rFonts w:ascii="Times New Roman" w:hAnsi="Times New Roman" w:cs="Times New Roman"/>
          <w:sz w:val="28"/>
          <w:szCs w:val="28"/>
        </w:rPr>
        <w:t xml:space="preserve"> - Потребляемая электроэнергия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8"/>
        <w:gridCol w:w="3177"/>
        <w:gridCol w:w="4252"/>
      </w:tblGrid>
      <w:tr w:rsidR="00A3115A" w:rsidRPr="00A3115A" w:rsidTr="00A3115A">
        <w:tc>
          <w:tcPr>
            <w:tcW w:w="2318" w:type="dxa"/>
            <w:vAlign w:val="center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177" w:type="dxa"/>
            <w:vAlign w:val="center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Потребляемая электроэнергия, кВт/час</w:t>
            </w:r>
          </w:p>
        </w:tc>
        <w:tc>
          <w:tcPr>
            <w:tcW w:w="4252" w:type="dxa"/>
            <w:vAlign w:val="center"/>
          </w:tcPr>
          <w:p w:rsidR="00A3115A" w:rsidRPr="00A3115A" w:rsidRDefault="004E10B0" w:rsidP="00A3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год (при 81 часе в месяц) – 972 часов, кВт</w:t>
            </w:r>
          </w:p>
        </w:tc>
      </w:tr>
      <w:tr w:rsidR="00A3115A" w:rsidRPr="00A3115A" w:rsidTr="00A3115A">
        <w:tc>
          <w:tcPr>
            <w:tcW w:w="2318" w:type="dxa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</w:tc>
        <w:tc>
          <w:tcPr>
            <w:tcW w:w="3177" w:type="dxa"/>
            <w:vAlign w:val="center"/>
          </w:tcPr>
          <w:p w:rsidR="00A3115A" w:rsidRPr="00A3115A" w:rsidRDefault="006803C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A3115A" w:rsidRPr="00A3115A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4252" w:type="dxa"/>
            <w:vAlign w:val="center"/>
          </w:tcPr>
          <w:p w:rsidR="00A3115A" w:rsidRPr="00A3115A" w:rsidRDefault="004E10B0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63,18</w:t>
            </w:r>
          </w:p>
        </w:tc>
      </w:tr>
      <w:tr w:rsidR="00A3115A" w:rsidRPr="00A3115A" w:rsidTr="00A3115A">
        <w:tc>
          <w:tcPr>
            <w:tcW w:w="2318" w:type="dxa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3177" w:type="dxa"/>
            <w:vAlign w:val="center"/>
          </w:tcPr>
          <w:p w:rsidR="00A3115A" w:rsidRPr="00A3115A" w:rsidRDefault="006803C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A3115A" w:rsidRPr="00A3115A">
              <w:rPr>
                <w:rFonts w:ascii="Times New Roman" w:hAnsi="Times New Roman" w:cs="Times New Roman"/>
                <w:sz w:val="28"/>
                <w:szCs w:val="28"/>
              </w:rPr>
              <w:t>58 (0,329 в работе)</w:t>
            </w:r>
          </w:p>
        </w:tc>
        <w:tc>
          <w:tcPr>
            <w:tcW w:w="4252" w:type="dxa"/>
            <w:vAlign w:val="center"/>
          </w:tcPr>
          <w:p w:rsidR="00A3115A" w:rsidRPr="00A3115A" w:rsidRDefault="006803C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E10B0">
              <w:rPr>
                <w:rFonts w:ascii="Times New Roman" w:hAnsi="Times New Roman" w:cs="Times New Roman"/>
                <w:sz w:val="28"/>
                <w:szCs w:val="28"/>
              </w:rPr>
              <w:t>6,376</w:t>
            </w:r>
          </w:p>
        </w:tc>
      </w:tr>
      <w:tr w:rsidR="004E10B0" w:rsidRPr="00A3115A" w:rsidTr="00A3115A">
        <w:tc>
          <w:tcPr>
            <w:tcW w:w="2318" w:type="dxa"/>
          </w:tcPr>
          <w:p w:rsidR="004E10B0" w:rsidRPr="00A3115A" w:rsidRDefault="004E10B0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Освещение (6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люм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ламп</w:t>
            </w:r>
            <w:proofErr w:type="gramEnd"/>
          </w:p>
        </w:tc>
        <w:tc>
          <w:tcPr>
            <w:tcW w:w="3177" w:type="dxa"/>
            <w:vAlign w:val="center"/>
          </w:tcPr>
          <w:p w:rsidR="004E10B0" w:rsidRDefault="004E10B0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0,264</w:t>
            </w:r>
          </w:p>
        </w:tc>
        <w:tc>
          <w:tcPr>
            <w:tcW w:w="4252" w:type="dxa"/>
            <w:vAlign w:val="center"/>
          </w:tcPr>
          <w:p w:rsidR="004E10B0" w:rsidRDefault="004E10B0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256,608</w:t>
            </w:r>
          </w:p>
        </w:tc>
      </w:tr>
      <w:tr w:rsidR="00A3115A" w:rsidRPr="00A3115A" w:rsidTr="00A3115A">
        <w:tc>
          <w:tcPr>
            <w:tcW w:w="2318" w:type="dxa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3177" w:type="dxa"/>
            <w:vAlign w:val="center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6803CA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4E10B0">
              <w:rPr>
                <w:rFonts w:ascii="Times New Roman" w:hAnsi="Times New Roman" w:cs="Times New Roman"/>
                <w:b/>
                <w:sz w:val="28"/>
                <w:szCs w:val="28"/>
              </w:rPr>
              <w:t>387</w:t>
            </w:r>
          </w:p>
        </w:tc>
        <w:tc>
          <w:tcPr>
            <w:tcW w:w="4252" w:type="dxa"/>
            <w:vAlign w:val="center"/>
          </w:tcPr>
          <w:p w:rsidR="004E10B0" w:rsidRPr="00A3115A" w:rsidRDefault="004E10B0" w:rsidP="004E10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376,164</w:t>
            </w:r>
          </w:p>
        </w:tc>
      </w:tr>
    </w:tbl>
    <w:p w:rsidR="00E1612D" w:rsidRDefault="00823342" w:rsidP="00823342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42"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3342">
        <w:rPr>
          <w:rFonts w:ascii="Times New Roman" w:hAnsi="Times New Roman" w:cs="Times New Roman"/>
          <w:sz w:val="28"/>
          <w:szCs w:val="28"/>
        </w:rPr>
        <w:t xml:space="preserve"> затраты</w:t>
      </w:r>
      <w:r>
        <w:rPr>
          <w:rFonts w:ascii="Times New Roman" w:hAnsi="Times New Roman" w:cs="Times New Roman"/>
          <w:sz w:val="28"/>
          <w:szCs w:val="28"/>
        </w:rPr>
        <w:t xml:space="preserve"> на электроэнергию </w:t>
      </w:r>
      <w:r w:rsidR="004E10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E10B0">
        <w:rPr>
          <w:rFonts w:ascii="Times New Roman" w:hAnsi="Times New Roman" w:cs="Times New Roman"/>
          <w:sz w:val="28"/>
          <w:szCs w:val="28"/>
        </w:rPr>
        <w:t>Р</w:t>
      </w:r>
      <w:r w:rsidR="004E10B0" w:rsidRPr="004E10B0">
        <w:rPr>
          <w:rFonts w:ascii="Times New Roman" w:hAnsi="Times New Roman" w:cs="Times New Roman"/>
          <w:sz w:val="28"/>
          <w:szCs w:val="28"/>
          <w:vertAlign w:val="subscript"/>
        </w:rPr>
        <w:t>эн</w:t>
      </w:r>
      <w:proofErr w:type="spellEnd"/>
      <w:r w:rsidR="004E10B0">
        <w:rPr>
          <w:rFonts w:ascii="Times New Roman" w:hAnsi="Times New Roman" w:cs="Times New Roman"/>
          <w:sz w:val="28"/>
          <w:szCs w:val="28"/>
        </w:rPr>
        <w:t xml:space="preserve">) в год </w:t>
      </w:r>
      <w:r>
        <w:rPr>
          <w:rFonts w:ascii="Times New Roman" w:hAnsi="Times New Roman" w:cs="Times New Roman"/>
          <w:sz w:val="28"/>
          <w:szCs w:val="28"/>
        </w:rPr>
        <w:t>составят</w:t>
      </w:r>
    </w:p>
    <w:p w:rsidR="00823342" w:rsidRPr="009C028F" w:rsidRDefault="00EE1751" w:rsidP="00EE1751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9C028F">
        <w:rPr>
          <w:rFonts w:ascii="Times New Roman" w:hAnsi="Times New Roman" w:cs="Times New Roman"/>
          <w:sz w:val="28"/>
          <w:szCs w:val="28"/>
        </w:rPr>
        <w:t>Рэн</w:t>
      </w:r>
      <w:proofErr w:type="spellEnd"/>
      <w:r w:rsidRPr="009C028F">
        <w:rPr>
          <w:rFonts w:ascii="Times New Roman" w:hAnsi="Times New Roman" w:cs="Times New Roman"/>
          <w:sz w:val="28"/>
          <w:szCs w:val="28"/>
        </w:rPr>
        <w:t xml:space="preserve"> = 376,164кВт </w:t>
      </w:r>
      <w:r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1,90 </w:t>
      </w:r>
      <w:proofErr w:type="spellStart"/>
      <w:r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руб</w:t>
      </w:r>
      <w:proofErr w:type="spellEnd"/>
      <w:r w:rsidRPr="009C028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= 714,7116</w:t>
      </w:r>
    </w:p>
    <w:bookmarkEnd w:id="0"/>
    <w:p w:rsidR="00AC0A4E" w:rsidRDefault="00AC0A4E" w:rsidP="00823342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материалы для работы не требуются</w:t>
      </w:r>
      <w:r w:rsidR="00823342">
        <w:rPr>
          <w:rFonts w:ascii="Times New Roman" w:hAnsi="Times New Roman" w:cs="Times New Roman"/>
          <w:sz w:val="28"/>
          <w:szCs w:val="28"/>
        </w:rPr>
        <w:t>.</w:t>
      </w:r>
    </w:p>
    <w:p w:rsidR="00823342" w:rsidRDefault="00823342" w:rsidP="00823342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A4E">
        <w:rPr>
          <w:rFonts w:ascii="Times New Roman" w:hAnsi="Times New Roman" w:cs="Times New Roman"/>
          <w:sz w:val="28"/>
          <w:szCs w:val="28"/>
        </w:rPr>
        <w:t xml:space="preserve">Далее для используемого персонального компьютера рассчитаем амортизацию. Электронно-вычислительная техника, включая персональные компьютеры и печатающие устройства к ним, относится ко второй амортизационной группе со сроком полезного использования от двух до трех лет </w:t>
      </w:r>
      <w:r w:rsidR="00AC0A4E" w:rsidRPr="00AC0A4E">
        <w:rPr>
          <w:rFonts w:ascii="Times New Roman" w:hAnsi="Times New Roman" w:cs="Times New Roman"/>
          <w:sz w:val="28"/>
          <w:szCs w:val="28"/>
        </w:rPr>
        <w:t>[2]</w:t>
      </w:r>
      <w:r w:rsidR="00AC0A4E">
        <w:rPr>
          <w:rFonts w:ascii="Times New Roman" w:hAnsi="Times New Roman" w:cs="Times New Roman"/>
          <w:sz w:val="28"/>
          <w:szCs w:val="28"/>
        </w:rPr>
        <w:t>. В соответствии с линейным способом расчета амортизации сумма начисленной амортизации за один месяц определяется как произведение первоначальной стоимости объекта основных средств и соответствующей нормы амортизации.</w:t>
      </w:r>
    </w:p>
    <w:p w:rsidR="00AC0A4E" w:rsidRPr="00AC0A4E" w:rsidRDefault="00AC0A4E" w:rsidP="00AC0A4E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0A4E">
        <w:rPr>
          <w:rFonts w:ascii="Times New Roman" w:hAnsi="Times New Roman" w:cs="Times New Roman"/>
          <w:position w:val="-6"/>
          <w:sz w:val="28"/>
          <w:szCs w:val="28"/>
        </w:rPr>
        <w:object w:dxaOrig="1320" w:dyaOrig="279">
          <v:shape id="_x0000_i1026" type="#_x0000_t75" style="width:76.2pt;height:16.75pt" o:ole="">
            <v:imagedata r:id="rId13" o:title=""/>
          </v:shape>
          <o:OLEObject Type="Embed" ProgID="Equation.3" ShapeID="_x0000_i1026" DrawAspect="Content" ObjectID="_1506096116" r:id="rId14"/>
        </w:object>
      </w:r>
      <w:r w:rsidRPr="00AC0A4E">
        <w:rPr>
          <w:rFonts w:ascii="Times New Roman" w:hAnsi="Times New Roman" w:cs="Times New Roman"/>
          <w:sz w:val="28"/>
          <w:szCs w:val="28"/>
        </w:rPr>
        <w:t>,</w:t>
      </w:r>
    </w:p>
    <w:p w:rsidR="00AC0A4E" w:rsidRPr="00AC0A4E" w:rsidRDefault="00AC0A4E" w:rsidP="00AC0A4E">
      <w:pPr>
        <w:shd w:val="clear" w:color="auto" w:fill="FFFFFF"/>
        <w:spacing w:before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A4E">
        <w:rPr>
          <w:rFonts w:ascii="Times New Roman" w:hAnsi="Times New Roman" w:cs="Times New Roman"/>
          <w:sz w:val="28"/>
          <w:szCs w:val="28"/>
        </w:rPr>
        <w:t xml:space="preserve">где АО – амортизационные отчисления, </w:t>
      </w:r>
      <w:proofErr w:type="spellStart"/>
      <w:r w:rsidRPr="00AC0A4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C0A4E">
        <w:rPr>
          <w:rFonts w:ascii="Times New Roman" w:hAnsi="Times New Roman" w:cs="Times New Roman"/>
          <w:sz w:val="28"/>
          <w:szCs w:val="28"/>
        </w:rPr>
        <w:t>;</w:t>
      </w:r>
    </w:p>
    <w:p w:rsidR="00AC0A4E" w:rsidRDefault="00AC0A4E" w:rsidP="00AC0A4E">
      <w:pPr>
        <w:shd w:val="clear" w:color="auto" w:fill="FFFFFF"/>
        <w:spacing w:before="20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proofErr w:type="gramStart"/>
      <w:r w:rsidRPr="00AC0A4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AC0A4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AC0A4E">
        <w:rPr>
          <w:rFonts w:ascii="Times New Roman" w:hAnsi="Times New Roman" w:cs="Times New Roman"/>
          <w:sz w:val="28"/>
          <w:szCs w:val="28"/>
        </w:rPr>
        <w:t>норма</w:t>
      </w:r>
      <w:proofErr w:type="gramEnd"/>
      <w:r w:rsidRPr="00AC0A4E">
        <w:rPr>
          <w:rFonts w:ascii="Times New Roman" w:hAnsi="Times New Roman" w:cs="Times New Roman"/>
          <w:sz w:val="28"/>
          <w:szCs w:val="28"/>
        </w:rPr>
        <w:t xml:space="preserve"> амортизации, %.</w:t>
      </w:r>
    </w:p>
    <w:p w:rsidR="00AC0A4E" w:rsidRDefault="00AC0A4E" w:rsidP="00AC0A4E">
      <w:pPr>
        <w:shd w:val="clear" w:color="auto" w:fill="FFFFFF"/>
        <w:spacing w:before="20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амортизации рассчитывается по следующей формуле</w:t>
      </w:r>
    </w:p>
    <w:p w:rsidR="00AC0A4E" w:rsidRDefault="00AC0A4E" w:rsidP="009C028F">
      <w:pPr>
        <w:shd w:val="clear" w:color="auto" w:fill="FFFFFF"/>
        <w:spacing w:before="200" w:line="360" w:lineRule="auto"/>
        <w:ind w:left="707" w:firstLine="2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К=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100%</m:t>
        </m:r>
      </m:oMath>
      <w:r>
        <w:rPr>
          <w:rFonts w:ascii="Times New Roman" w:hAnsi="Times New Roman" w:cs="Times New Roman"/>
          <w:i/>
          <w:sz w:val="28"/>
          <w:szCs w:val="28"/>
        </w:rPr>
        <w:t>,</w:t>
      </w:r>
    </w:p>
    <w:p w:rsidR="00AC0A4E" w:rsidRDefault="00AC0A4E" w:rsidP="00AC0A4E">
      <w:pPr>
        <w:shd w:val="clear" w:color="auto" w:fill="FFFFFF"/>
        <w:spacing w:before="20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 w:rsidRPr="00AC0A4E">
        <w:rPr>
          <w:rFonts w:ascii="Times New Roman" w:hAnsi="Times New Roman" w:cs="Times New Roman"/>
          <w:sz w:val="28"/>
          <w:szCs w:val="28"/>
        </w:rPr>
        <w:t xml:space="preserve">где </w:t>
      </w:r>
      <w:r w:rsidRPr="00AC0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0A4E">
        <w:rPr>
          <w:rFonts w:ascii="Times New Roman" w:hAnsi="Times New Roman" w:cs="Times New Roman"/>
          <w:sz w:val="28"/>
          <w:szCs w:val="28"/>
        </w:rPr>
        <w:t xml:space="preserve"> – срок полезного использования оборудования, мес.</w:t>
      </w:r>
    </w:p>
    <w:p w:rsidR="00AC395E" w:rsidRDefault="00AC395E" w:rsidP="00AC0A4E">
      <w:pPr>
        <w:shd w:val="clear" w:color="auto" w:fill="FFFFFF"/>
        <w:spacing w:before="20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стоимость вычислительной техники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AC395E">
        <w:rPr>
          <w:rFonts w:ascii="Times New Roman" w:hAnsi="Times New Roman" w:cs="Times New Roman"/>
          <w:sz w:val="28"/>
          <w:szCs w:val="28"/>
          <w:vertAlign w:val="subscript"/>
        </w:rPr>
        <w:t>амвт</w:t>
      </w:r>
      <w:proofErr w:type="spellEnd"/>
      <w:r>
        <w:rPr>
          <w:rFonts w:ascii="Times New Roman" w:hAnsi="Times New Roman" w:cs="Times New Roman"/>
          <w:sz w:val="28"/>
          <w:szCs w:val="28"/>
        </w:rPr>
        <w:t>) составляет 14590 рублей, срок полезного использования три года. Амортизация на 12 месяцев составит</w:t>
      </w:r>
    </w:p>
    <w:p w:rsidR="00AC395E" w:rsidRPr="00AC395E" w:rsidRDefault="00AC395E" w:rsidP="00AC395E">
      <w:pPr>
        <w:shd w:val="clear" w:color="auto" w:fill="FFFFFF"/>
        <w:spacing w:before="200" w:line="360" w:lineRule="auto"/>
        <w:ind w:left="707" w:firstLine="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395E">
        <w:rPr>
          <w:rFonts w:ascii="Times New Roman" w:hAnsi="Times New Roman" w:cs="Times New Roman"/>
          <w:sz w:val="28"/>
          <w:szCs w:val="28"/>
        </w:rPr>
        <w:t>Р</w:t>
      </w:r>
      <w:r w:rsidRPr="00AC395E">
        <w:rPr>
          <w:rFonts w:ascii="Times New Roman" w:hAnsi="Times New Roman" w:cs="Times New Roman"/>
          <w:sz w:val="28"/>
          <w:szCs w:val="28"/>
          <w:vertAlign w:val="subscript"/>
        </w:rPr>
        <w:t>амвт</w:t>
      </w:r>
      <w:proofErr w:type="spellEnd"/>
      <w:r w:rsidRPr="00AC395E">
        <w:rPr>
          <w:rFonts w:ascii="Times New Roman" w:hAnsi="Times New Roman" w:cs="Times New Roman"/>
          <w:sz w:val="28"/>
          <w:szCs w:val="28"/>
        </w:rPr>
        <w:t xml:space="preserve"> = 14590 руб. </w:t>
      </w:r>
      <w:r w:rsidRPr="00AC395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 w:rsidRPr="00AC395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((1 / 36 мес.) </w:t>
      </w:r>
      <w:r w:rsidRPr="00AC395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 w:rsidRPr="00AC395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100%) </w:t>
      </w:r>
      <w:r w:rsidRPr="00AC395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 w:rsidRPr="00AC395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12 мес. = 4863,33 руб.</w:t>
      </w:r>
    </w:p>
    <w:p w:rsidR="00823342" w:rsidRPr="0006635B" w:rsidRDefault="00AC395E" w:rsidP="00823342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Амортизация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3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395E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не производится, так как ее стоимость входит в стоимость купленной вычислительной техники.</w:t>
      </w:r>
      <w:r w:rsidRPr="00AC39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Также не производится амортизация средств программного обеспечения при обоих вариантах, поскольку учреждение не обладает исключительными правами на данное ПО, а расходы на приобретение </w:t>
      </w:r>
      <w:r>
        <w:rPr>
          <w:rFonts w:ascii="Times New Roman" w:hAnsi="Times New Roman" w:cs="Times New Roman"/>
          <w:sz w:val="28"/>
          <w:szCs w:val="28"/>
        </w:rPr>
        <w:lastRenderedPageBreak/>
        <w:t>равномерно отражаются в прочих затратах согласно сроку полезного использования.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Срок полезного использования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3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C3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C395E">
        <w:rPr>
          <w:rFonts w:ascii="Times New Roman" w:hAnsi="Times New Roman" w:cs="Times New Roman"/>
          <w:sz w:val="28"/>
          <w:szCs w:val="28"/>
        </w:rPr>
        <w:t xml:space="preserve"> 2015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823342">
        <w:rPr>
          <w:rFonts w:ascii="Times New Roman" w:hAnsi="Times New Roman" w:cs="Times New Roman"/>
          <w:sz w:val="28"/>
          <w:szCs w:val="28"/>
        </w:rPr>
        <w:t>.</w:t>
      </w:r>
      <w:r w:rsidR="0006635B" w:rsidRPr="0006635B">
        <w:rPr>
          <w:rFonts w:ascii="Times New Roman" w:hAnsi="Times New Roman" w:cs="Times New Roman"/>
          <w:sz w:val="28"/>
          <w:szCs w:val="28"/>
        </w:rPr>
        <w:t xml:space="preserve"> </w:t>
      </w:r>
      <w:r w:rsidR="0006635B">
        <w:rPr>
          <w:rFonts w:ascii="Times New Roman" w:hAnsi="Times New Roman" w:cs="Times New Roman"/>
          <w:sz w:val="28"/>
          <w:szCs w:val="28"/>
        </w:rPr>
        <w:t xml:space="preserve">Однако </w:t>
      </w:r>
      <w:proofErr w:type="gramStart"/>
      <w:r w:rsidR="0006635B">
        <w:rPr>
          <w:rFonts w:ascii="Times New Roman" w:hAnsi="Times New Roman" w:cs="Times New Roman"/>
          <w:sz w:val="28"/>
          <w:szCs w:val="28"/>
        </w:rPr>
        <w:t>данное</w:t>
      </w:r>
      <w:proofErr w:type="gramEnd"/>
      <w:r w:rsidR="0006635B">
        <w:rPr>
          <w:rFonts w:ascii="Times New Roman" w:hAnsi="Times New Roman" w:cs="Times New Roman"/>
          <w:sz w:val="28"/>
          <w:szCs w:val="28"/>
        </w:rPr>
        <w:t xml:space="preserve"> ПО является бесплатным, поэтому прочие расходы составят 0 руб.</w:t>
      </w:r>
    </w:p>
    <w:p w:rsidR="0006635B" w:rsidRPr="0006635B" w:rsidRDefault="0006635B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35B">
        <w:rPr>
          <w:rFonts w:ascii="Times New Roman" w:hAnsi="Times New Roman" w:cs="Times New Roman"/>
          <w:sz w:val="28"/>
          <w:szCs w:val="28"/>
        </w:rPr>
        <w:t xml:space="preserve">Разработанное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StudyProgress</w:t>
      </w:r>
      <w:proofErr w:type="spellEnd"/>
      <w:r w:rsidRPr="0006635B">
        <w:rPr>
          <w:rFonts w:ascii="Times New Roman" w:hAnsi="Times New Roman" w:cs="Times New Roman"/>
          <w:sz w:val="28"/>
          <w:szCs w:val="28"/>
        </w:rPr>
        <w:t xml:space="preserve"> v.1.0 является нематериальным активом, т.к. </w:t>
      </w:r>
      <w:r>
        <w:rPr>
          <w:rFonts w:ascii="Times New Roman" w:hAnsi="Times New Roman" w:cs="Times New Roman"/>
          <w:sz w:val="28"/>
          <w:szCs w:val="28"/>
        </w:rPr>
        <w:t>ФГОУ «СФУ»</w:t>
      </w:r>
      <w:r w:rsidRPr="0006635B">
        <w:rPr>
          <w:rFonts w:ascii="Times New Roman" w:hAnsi="Times New Roman" w:cs="Times New Roman"/>
          <w:sz w:val="28"/>
          <w:szCs w:val="28"/>
        </w:rPr>
        <w:t xml:space="preserve"> обладает на него исключительными правами и, следовательно, подлежит амортизации. Для расчета амортизации, согласно с п.3 ст.257 НК РФ часть вторая стоимость нематериальных активов, созданных самой организацией, определяется как сумма расходов на их создание, изготовление. Затраты на проектирования данного программного средства рассчитываются по формуле</w:t>
      </w:r>
    </w:p>
    <w:p w:rsidR="0006635B" w:rsidRPr="0006635B" w:rsidRDefault="0006635B" w:rsidP="0006635B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635B">
        <w:rPr>
          <w:rFonts w:ascii="Times New Roman" w:hAnsi="Times New Roman" w:cs="Times New Roman"/>
          <w:position w:val="-28"/>
          <w:sz w:val="28"/>
          <w:szCs w:val="28"/>
        </w:rPr>
        <w:object w:dxaOrig="2360" w:dyaOrig="680">
          <v:shape id="_x0000_i1027" type="#_x0000_t75" style="width:118.05pt;height:33.5pt" o:ole="">
            <v:imagedata r:id="rId15" o:title=""/>
          </v:shape>
          <o:OLEObject Type="Embed" ProgID="Equation.3" ShapeID="_x0000_i1027" DrawAspect="Content" ObjectID="_1506096117" r:id="rId16"/>
        </w:object>
      </w:r>
    </w:p>
    <w:p w:rsidR="0006635B" w:rsidRPr="0006635B" w:rsidRDefault="0006635B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35B">
        <w:rPr>
          <w:rFonts w:ascii="Times New Roman" w:hAnsi="Times New Roman" w:cs="Times New Roman"/>
          <w:sz w:val="28"/>
          <w:szCs w:val="28"/>
        </w:rPr>
        <w:t xml:space="preserve"> где  </w:t>
      </w:r>
      <w:r w:rsidRPr="00066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6635B">
        <w:rPr>
          <w:rFonts w:ascii="Times New Roman" w:hAnsi="Times New Roman" w:cs="Times New Roman"/>
          <w:sz w:val="28"/>
          <w:szCs w:val="28"/>
        </w:rPr>
        <w:t>З</w:t>
      </w:r>
      <w:proofErr w:type="gramStart"/>
      <w:r w:rsidRPr="0006635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06635B">
        <w:rPr>
          <w:rFonts w:ascii="Times New Roman" w:hAnsi="Times New Roman" w:cs="Times New Roman"/>
          <w:sz w:val="28"/>
          <w:szCs w:val="28"/>
        </w:rPr>
        <w:t xml:space="preserve"> – заработная плата работников i-той категории, руб. в месяц;</w:t>
      </w:r>
    </w:p>
    <w:p w:rsidR="0006635B" w:rsidRPr="0006635B" w:rsidRDefault="0006635B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35B">
        <w:rPr>
          <w:rFonts w:ascii="Times New Roman" w:hAnsi="Times New Roman" w:cs="Times New Roman"/>
          <w:sz w:val="28"/>
          <w:szCs w:val="28"/>
        </w:rPr>
        <w:t>Т – время работы, месяцев;</w:t>
      </w:r>
    </w:p>
    <w:p w:rsidR="0006635B" w:rsidRPr="0006635B" w:rsidRDefault="0006635B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35B">
        <w:rPr>
          <w:rFonts w:ascii="Times New Roman" w:hAnsi="Times New Roman" w:cs="Times New Roman"/>
          <w:sz w:val="28"/>
          <w:szCs w:val="28"/>
        </w:rPr>
        <w:t>η – коэффициент отчислений на заработную плату;</w:t>
      </w:r>
    </w:p>
    <w:p w:rsidR="0006635B" w:rsidRPr="0006635B" w:rsidRDefault="0006635B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35B">
        <w:rPr>
          <w:rFonts w:ascii="Times New Roman" w:hAnsi="Times New Roman" w:cs="Times New Roman"/>
          <w:sz w:val="28"/>
          <w:szCs w:val="28"/>
        </w:rPr>
        <w:t>N – количество категорий сотрудников, привлеченных к разработке, человек;</w:t>
      </w:r>
    </w:p>
    <w:p w:rsidR="0006635B" w:rsidRDefault="0006635B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635B">
        <w:rPr>
          <w:rFonts w:ascii="Times New Roman" w:hAnsi="Times New Roman" w:cs="Times New Roman"/>
          <w:sz w:val="28"/>
          <w:szCs w:val="28"/>
        </w:rPr>
        <w:t>Д</w:t>
      </w:r>
      <w:r w:rsidRPr="0006635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06635B">
        <w:rPr>
          <w:rFonts w:ascii="Times New Roman" w:hAnsi="Times New Roman" w:cs="Times New Roman"/>
          <w:sz w:val="28"/>
          <w:szCs w:val="28"/>
        </w:rPr>
        <w:t xml:space="preserve"> – прочие расходы (расходы на использование сети Интернет, материальные расходы).</w:t>
      </w:r>
    </w:p>
    <w:p w:rsidR="0006635B" w:rsidRDefault="0006635B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зар</w:t>
      </w:r>
      <w:r w:rsidR="00FF65B1">
        <w:rPr>
          <w:rFonts w:ascii="Times New Roman" w:hAnsi="Times New Roman" w:cs="Times New Roman"/>
          <w:sz w:val="28"/>
          <w:szCs w:val="28"/>
        </w:rPr>
        <w:t>аботную плату разработчика за 6</w:t>
      </w:r>
      <w:r>
        <w:rPr>
          <w:rFonts w:ascii="Times New Roman" w:hAnsi="Times New Roman" w:cs="Times New Roman"/>
          <w:sz w:val="28"/>
          <w:szCs w:val="28"/>
        </w:rPr>
        <w:t xml:space="preserve"> месяцев и страховые взносы в совокупности составляют </w:t>
      </w:r>
      <w:r w:rsidR="00FF65B1">
        <w:rPr>
          <w:rFonts w:ascii="Times New Roman" w:hAnsi="Times New Roman" w:cs="Times New Roman"/>
          <w:sz w:val="28"/>
          <w:szCs w:val="28"/>
        </w:rPr>
        <w:t xml:space="preserve">70980 </w:t>
      </w:r>
      <w:r>
        <w:rPr>
          <w:rFonts w:ascii="Times New Roman" w:hAnsi="Times New Roman" w:cs="Times New Roman"/>
          <w:sz w:val="28"/>
          <w:szCs w:val="28"/>
        </w:rPr>
        <w:t xml:space="preserve">руб. К прочим расходам на проектирование программного средства относятся расходы на доступ в Интернет, материальные расходы и составляют </w:t>
      </w:r>
      <w:r w:rsidR="00FF65B1">
        <w:rPr>
          <w:rFonts w:ascii="Times New Roman" w:hAnsi="Times New Roman" w:cs="Times New Roman"/>
          <w:sz w:val="28"/>
          <w:szCs w:val="28"/>
        </w:rPr>
        <w:t>12252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:rsidR="00FF65B1" w:rsidRDefault="00FF65B1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создание программного средства составят</w:t>
      </w:r>
    </w:p>
    <w:p w:rsidR="00FF65B1" w:rsidRDefault="00FF65B1" w:rsidP="00FF65B1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FF65B1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70980 руб. + 12252 руб. = 83232 руб.</w:t>
      </w:r>
    </w:p>
    <w:p w:rsidR="005471D2" w:rsidRDefault="000B0510" w:rsidP="005471D2">
      <w:pPr>
        <w:shd w:val="clear" w:color="auto" w:fill="FFFFFF"/>
        <w:spacing w:before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со сроком полезного использования 4 года относится к третьей амортизационной группе.</w:t>
      </w:r>
    </w:p>
    <w:p w:rsidR="000B0510" w:rsidRDefault="000B0510" w:rsidP="000B0510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0B0510">
        <w:rPr>
          <w:rFonts w:ascii="Times New Roman" w:hAnsi="Times New Roman" w:cs="Times New Roman"/>
          <w:sz w:val="28"/>
          <w:szCs w:val="28"/>
          <w:vertAlign w:val="subscript"/>
        </w:rPr>
        <w:t>ампо</w:t>
      </w:r>
      <w:proofErr w:type="spellEnd"/>
      <w:r w:rsidRPr="000B051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83232 руб. </w:t>
      </w:r>
      <w:r w:rsidRPr="00AC395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((1/48 мес.) </w:t>
      </w:r>
      <w:r w:rsidRPr="00AC395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100%) </w:t>
      </w:r>
      <w:r w:rsidRPr="00AC395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×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12 мес. = 20808 руб.</w:t>
      </w:r>
    </w:p>
    <w:p w:rsidR="000B0510" w:rsidRPr="000B0510" w:rsidRDefault="000B0510" w:rsidP="000B0510">
      <w:pPr>
        <w:shd w:val="clear" w:color="auto" w:fill="FFFFFF"/>
        <w:spacing w:before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Сведем состав эксплуатационных расходов и вычисления по сравниваемым вариантам в таблицу</w:t>
      </w:r>
    </w:p>
    <w:p w:rsidR="00C20504" w:rsidRDefault="000B0510" w:rsidP="0006635B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Эксплуатационные расходы</w:t>
      </w:r>
    </w:p>
    <w:tbl>
      <w:tblPr>
        <w:tblW w:w="4462" w:type="pct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113"/>
        <w:gridCol w:w="4619"/>
      </w:tblGrid>
      <w:tr w:rsidR="00C20504" w:rsidRPr="00256C98" w:rsidTr="00C20504">
        <w:trPr>
          <w:trHeight w:val="454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0B0510" w:rsidP="009026F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показателя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FF65B1" w:rsidRDefault="00C20504" w:rsidP="00C20504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StudyProgress</w:t>
            </w:r>
            <w:proofErr w:type="spellEnd"/>
            <w:r w:rsidRPr="00C205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C20504">
              <w:rPr>
                <w:rFonts w:ascii="Times New Roman" w:hAnsi="Times New Roman" w:cs="Times New Roman"/>
                <w:b/>
                <w:sz w:val="24"/>
                <w:szCs w:val="24"/>
              </w:rPr>
              <w:t>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C20504" w:rsidRPr="00256C98" w:rsidRDefault="00C20504" w:rsidP="00C20504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Сумма, руб.</w:t>
            </w:r>
          </w:p>
        </w:tc>
      </w:tr>
      <w:tr w:rsidR="00C20504" w:rsidRPr="00256C98" w:rsidTr="00C20504">
        <w:trPr>
          <w:trHeight w:val="454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0B0510" w:rsidP="009026FB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0C39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Р</w:t>
            </w:r>
            <w:r w:rsidRPr="00380C39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зпл</w:t>
            </w:r>
            <w:proofErr w:type="spellEnd"/>
            <w:r w:rsidRPr="00380C39">
              <w:rPr>
                <w:rFonts w:ascii="Times New Roman" w:hAnsi="Times New Roman" w:cs="Times New Roman"/>
                <w:sz w:val="24"/>
                <w:szCs w:val="24"/>
              </w:rPr>
              <w:t xml:space="preserve"> – затраты на заработную плату персонала, осуществляющего обслуживание </w:t>
            </w:r>
            <w:proofErr w:type="gramStart"/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, с учетом страховых взносов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0B0510" w:rsidP="009026FB">
            <w:pPr>
              <w:shd w:val="clear" w:color="auto" w:fill="FFFFFF"/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18564</w:t>
            </w:r>
          </w:p>
        </w:tc>
      </w:tr>
      <w:tr w:rsidR="00C20504" w:rsidRPr="00256C98" w:rsidTr="00C20504">
        <w:trPr>
          <w:trHeight w:val="248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0B0510" w:rsidP="0090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0C39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Pr="00380C3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общ</w:t>
            </w:r>
            <w:proofErr w:type="spellEnd"/>
            <w:r w:rsidRPr="00380C3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Pr="00380C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общепроизводственные расходы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0B0510" w:rsidP="009026FB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0504" w:rsidRPr="00256C98" w:rsidTr="00C20504">
        <w:trPr>
          <w:trHeight w:val="454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0B0510" w:rsidRDefault="000B0510" w:rsidP="00C20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затраты на оплату электроэнергии, которые зависят от потребительской мощности и стоимости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0B05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1E06F3" w:rsidP="00C2050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714,7116</w:t>
            </w:r>
          </w:p>
        </w:tc>
      </w:tr>
      <w:tr w:rsidR="00C20504" w:rsidRPr="00256C98" w:rsidTr="00C20504">
        <w:trPr>
          <w:trHeight w:val="344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0B0510" w:rsidP="0090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затраты на расходные материалы, необходимые для функционирования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0B0510" w:rsidP="009026FB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0504" w:rsidRPr="00256C98" w:rsidTr="00C20504">
        <w:trPr>
          <w:trHeight w:val="339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0B0510" w:rsidP="00C20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затраты, связанные с ремонтом оборудования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0B0510" w:rsidRDefault="000B0510" w:rsidP="009026FB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20504" w:rsidRPr="00256C98" w:rsidTr="00C20504">
        <w:trPr>
          <w:trHeight w:val="295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0B0510" w:rsidP="0090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C39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Pr="00380C3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ам </w:t>
            </w:r>
            <w:r w:rsidRPr="00380C39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 xml:space="preserve"> амортизация основных фондов и нематериальных активов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1E06F3" w:rsidP="009026FB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25671,33</w:t>
            </w:r>
          </w:p>
        </w:tc>
      </w:tr>
      <w:tr w:rsidR="00C20504" w:rsidRPr="00256C98" w:rsidTr="00C20504">
        <w:trPr>
          <w:trHeight w:val="295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1E06F3" w:rsidP="0090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0C39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Pr="00380C3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пр</w:t>
            </w:r>
            <w:proofErr w:type="spellEnd"/>
            <w:r w:rsidRPr="00380C39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Pr="00380C39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 xml:space="preserve"> прочие расходы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1E06F3" w:rsidP="009026FB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0504" w:rsidRPr="00256C98" w:rsidTr="00C20504">
        <w:trPr>
          <w:trHeight w:val="281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1E06F3" w:rsidP="009026FB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80C39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proofErr w:type="gramEnd"/>
            <w:r w:rsidRPr="00380C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 w:rsidRPr="00380C39">
              <w:rPr>
                <w:rFonts w:ascii="Times New Roman" w:hAnsi="Times New Roman" w:cs="Times New Roman"/>
                <w:sz w:val="24"/>
                <w:szCs w:val="24"/>
              </w:rPr>
              <w:t>эксплуатационные расходы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1E06F3" w:rsidP="0056699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45950,05</w:t>
            </w:r>
          </w:p>
        </w:tc>
      </w:tr>
    </w:tbl>
    <w:p w:rsidR="00845997" w:rsidRDefault="00845997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2C152B" w:rsidRPr="00FC731D" w:rsidRDefault="002C152B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731D">
        <w:rPr>
          <w:rFonts w:ascii="Times New Roman" w:hAnsi="Times New Roman" w:cs="Times New Roman"/>
          <w:b/>
          <w:i/>
          <w:sz w:val="24"/>
          <w:szCs w:val="24"/>
        </w:rPr>
        <w:lastRenderedPageBreak/>
        <w:t>Список использованных источников</w:t>
      </w:r>
    </w:p>
    <w:p w:rsidR="002C152B" w:rsidRPr="00FC731D" w:rsidRDefault="001E06F3" w:rsidP="001E06F3">
      <w:pPr>
        <w:numPr>
          <w:ilvl w:val="0"/>
          <w:numId w:val="7"/>
        </w:numPr>
        <w:tabs>
          <w:tab w:val="left" w:pos="993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Бухгалтерское агентство Агафоновой – Северная надбавка в Красноярске</w:t>
      </w:r>
      <w:proofErr w:type="gramStart"/>
      <w:r w:rsidR="009C028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9C028F" w:rsidRPr="009C028F">
        <w:rPr>
          <w:rFonts w:ascii="Times New Roman" w:hAnsi="Times New Roman" w:cs="Times New Roman"/>
          <w:sz w:val="24"/>
          <w:szCs w:val="24"/>
        </w:rPr>
        <w:t>[</w:t>
      </w:r>
      <w:r w:rsidR="009C028F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9C028F" w:rsidRPr="009C028F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 xml:space="preserve">Информация, обзоры, комментарии, консультации, школа бухгалтера. – Режим доступа: </w:t>
      </w:r>
      <w:r w:rsidRPr="001E06F3">
        <w:rPr>
          <w:rFonts w:ascii="Times New Roman" w:hAnsi="Times New Roman" w:cs="Times New Roman"/>
          <w:sz w:val="24"/>
          <w:szCs w:val="24"/>
        </w:rPr>
        <w:t>http://amnagency.ru/vopros-otvet/o_severnoj_nadbavke_v_krasnoyarske/</w:t>
      </w:r>
    </w:p>
    <w:p w:rsidR="002C152B" w:rsidRPr="002C152B" w:rsidRDefault="001E06F3" w:rsidP="009C028F">
      <w:pPr>
        <w:numPr>
          <w:ilvl w:val="0"/>
          <w:numId w:val="7"/>
        </w:numPr>
        <w:tabs>
          <w:tab w:val="left" w:pos="993"/>
        </w:tabs>
        <w:suppressAutoHyphens w:val="0"/>
        <w:spacing w:after="0" w:line="360" w:lineRule="auto"/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321E4B">
        <w:rPr>
          <w:rFonts w:ascii="Times New Roman" w:hAnsi="Times New Roman" w:cs="Times New Roman"/>
          <w:sz w:val="24"/>
          <w:szCs w:val="24"/>
        </w:rPr>
        <w:t xml:space="preserve">Российская Федерация. Постановление Правительства Российской Федерации от 1 января 2002 г. № 1 «О Классификации основных средств, включаемых в амортизационные группы» (в ред. Постановлений Правительства РФ от 09.07.2003 N 415, от 08.08.2003 N 476, от 18.11.2006 N 697, </w:t>
      </w:r>
      <w:proofErr w:type="gramStart"/>
      <w:r w:rsidRPr="00321E4B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21E4B">
        <w:rPr>
          <w:rFonts w:ascii="Times New Roman" w:hAnsi="Times New Roman" w:cs="Times New Roman"/>
          <w:sz w:val="24"/>
          <w:szCs w:val="24"/>
        </w:rPr>
        <w:t xml:space="preserve"> 12.09.2008 N 676, от 24.02.2009 N 165)</w:t>
      </w:r>
      <w:r w:rsidR="009C028F" w:rsidRPr="002C15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C152B" w:rsidRPr="002C152B" w:rsidSect="009324F8">
      <w:headerReference w:type="first" r:id="rId17"/>
      <w:footerReference w:type="first" r:id="rId18"/>
      <w:type w:val="continuous"/>
      <w:pgSz w:w="11906" w:h="16838"/>
      <w:pgMar w:top="540" w:right="1121" w:bottom="540" w:left="1170" w:header="0" w:footer="0" w:gutter="0"/>
      <w:pgNumType w:start="1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D08" w:rsidRDefault="008B0D08">
      <w:pPr>
        <w:spacing w:after="0" w:line="240" w:lineRule="auto"/>
      </w:pPr>
      <w:r>
        <w:separator/>
      </w:r>
    </w:p>
  </w:endnote>
  <w:endnote w:type="continuationSeparator" w:id="0">
    <w:p w:rsidR="008B0D08" w:rsidRDefault="008B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9C028F">
      <w:rPr>
        <w:noProof/>
      </w:rPr>
      <w:t>2</w:t>
    </w:r>
    <w:r>
      <w:fldChar w:fldCharType="end"/>
    </w:r>
  </w:p>
  <w:p w:rsidR="00046DDA" w:rsidRDefault="00046DD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DDA" w:rsidRDefault="009324F8">
    <w:pPr>
      <w:pStyle w:val="ab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 w:rsidP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9C028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D08" w:rsidRDefault="008B0D08">
      <w:pPr>
        <w:spacing w:after="0" w:line="240" w:lineRule="auto"/>
      </w:pPr>
      <w:r>
        <w:separator/>
      </w:r>
    </w:p>
  </w:footnote>
  <w:footnote w:type="continuationSeparator" w:id="0">
    <w:p w:rsidR="008B0D08" w:rsidRDefault="008B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36ED"/>
    <w:multiLevelType w:val="hybridMultilevel"/>
    <w:tmpl w:val="6CAA1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326D9"/>
    <w:multiLevelType w:val="hybridMultilevel"/>
    <w:tmpl w:val="D8E45E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8536C3"/>
    <w:multiLevelType w:val="hybridMultilevel"/>
    <w:tmpl w:val="510246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C874BD"/>
    <w:multiLevelType w:val="multilevel"/>
    <w:tmpl w:val="A06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2218B6"/>
    <w:multiLevelType w:val="singleLevel"/>
    <w:tmpl w:val="A7700D3A"/>
    <w:lvl w:ilvl="0">
      <w:start w:val="3"/>
      <w:numFmt w:val="bullet"/>
      <w:lvlText w:val="-"/>
      <w:lvlJc w:val="left"/>
      <w:pPr>
        <w:tabs>
          <w:tab w:val="num" w:pos="1080"/>
        </w:tabs>
        <w:ind w:left="0" w:firstLine="720"/>
      </w:pPr>
    </w:lvl>
  </w:abstractNum>
  <w:abstractNum w:abstractNumId="5">
    <w:nsid w:val="62E7063D"/>
    <w:multiLevelType w:val="hybridMultilevel"/>
    <w:tmpl w:val="1FA2E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95"/>
    <w:rsid w:val="00011C4B"/>
    <w:rsid w:val="00046DDA"/>
    <w:rsid w:val="0006635B"/>
    <w:rsid w:val="000B0510"/>
    <w:rsid w:val="000B1295"/>
    <w:rsid w:val="000C1D28"/>
    <w:rsid w:val="000C6C0B"/>
    <w:rsid w:val="000F5CD9"/>
    <w:rsid w:val="001957F2"/>
    <w:rsid w:val="00197BEB"/>
    <w:rsid w:val="001E06F3"/>
    <w:rsid w:val="001E5B2D"/>
    <w:rsid w:val="002012C4"/>
    <w:rsid w:val="002441C6"/>
    <w:rsid w:val="002C152B"/>
    <w:rsid w:val="002E6EFA"/>
    <w:rsid w:val="003B657A"/>
    <w:rsid w:val="003B6883"/>
    <w:rsid w:val="003F2991"/>
    <w:rsid w:val="00452E31"/>
    <w:rsid w:val="004858AA"/>
    <w:rsid w:val="004A27F1"/>
    <w:rsid w:val="004E10B0"/>
    <w:rsid w:val="005004E1"/>
    <w:rsid w:val="00512EC9"/>
    <w:rsid w:val="005471D2"/>
    <w:rsid w:val="00566998"/>
    <w:rsid w:val="00584433"/>
    <w:rsid w:val="005D2926"/>
    <w:rsid w:val="00602051"/>
    <w:rsid w:val="0060263D"/>
    <w:rsid w:val="00602C36"/>
    <w:rsid w:val="006126A8"/>
    <w:rsid w:val="006803CA"/>
    <w:rsid w:val="006C2B57"/>
    <w:rsid w:val="007956B2"/>
    <w:rsid w:val="007A1CFC"/>
    <w:rsid w:val="007F0A4F"/>
    <w:rsid w:val="007F43E9"/>
    <w:rsid w:val="00805861"/>
    <w:rsid w:val="00823342"/>
    <w:rsid w:val="00833A20"/>
    <w:rsid w:val="00845997"/>
    <w:rsid w:val="00863520"/>
    <w:rsid w:val="00867CB8"/>
    <w:rsid w:val="0088445D"/>
    <w:rsid w:val="008A7A71"/>
    <w:rsid w:val="008B0D08"/>
    <w:rsid w:val="008C5CA2"/>
    <w:rsid w:val="009228B4"/>
    <w:rsid w:val="009324F8"/>
    <w:rsid w:val="009C028F"/>
    <w:rsid w:val="009F10F4"/>
    <w:rsid w:val="00A03B81"/>
    <w:rsid w:val="00A1057B"/>
    <w:rsid w:val="00A3115A"/>
    <w:rsid w:val="00A646C3"/>
    <w:rsid w:val="00AC0A4E"/>
    <w:rsid w:val="00AC395E"/>
    <w:rsid w:val="00AD4AB3"/>
    <w:rsid w:val="00B71F52"/>
    <w:rsid w:val="00B73D8A"/>
    <w:rsid w:val="00B75B5D"/>
    <w:rsid w:val="00BA22C4"/>
    <w:rsid w:val="00C0222F"/>
    <w:rsid w:val="00C0406C"/>
    <w:rsid w:val="00C20504"/>
    <w:rsid w:val="00C97B77"/>
    <w:rsid w:val="00CC3A45"/>
    <w:rsid w:val="00D009A5"/>
    <w:rsid w:val="00D730A9"/>
    <w:rsid w:val="00D85069"/>
    <w:rsid w:val="00DE52A3"/>
    <w:rsid w:val="00E10BFF"/>
    <w:rsid w:val="00E1612D"/>
    <w:rsid w:val="00E36030"/>
    <w:rsid w:val="00E43FE8"/>
    <w:rsid w:val="00EE1751"/>
    <w:rsid w:val="00EE52F5"/>
    <w:rsid w:val="00F15F00"/>
    <w:rsid w:val="00F374F8"/>
    <w:rsid w:val="00FB2992"/>
    <w:rsid w:val="00FC54C8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E5C4-29B4-4E68-A0AC-7E21923C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27</cp:revision>
  <cp:lastPrinted>2014-12-27T20:43:00Z</cp:lastPrinted>
  <dcterms:created xsi:type="dcterms:W3CDTF">2015-09-07T14:46:00Z</dcterms:created>
  <dcterms:modified xsi:type="dcterms:W3CDTF">2015-10-11T12:14:00Z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