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C2" w:rsidRDefault="00E03DC2" w:rsidP="00E03DC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«Экономика программной инженерии».</w:t>
      </w:r>
    </w:p>
    <w:p w:rsidR="00E03DC2" w:rsidRDefault="00E03DC2" w:rsidP="00E03DC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sz w:val="24"/>
          <w:szCs w:val="24"/>
        </w:rPr>
        <w:t>Практическое занятие №2</w:t>
      </w:r>
    </w:p>
    <w:p w:rsidR="0017116B" w:rsidRDefault="00E03DC2" w:rsidP="00E03DC2">
      <w:pPr>
        <w:jc w:val="center"/>
        <w:rPr>
          <w:rFonts w:ascii="Times New Roman" w:hAnsi="Times New Roman"/>
          <w:b/>
          <w:sz w:val="28"/>
          <w:szCs w:val="28"/>
        </w:rPr>
      </w:pPr>
      <w:r w:rsidRPr="00E03DC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Расчет капитальных (единовременных) затрат на разработку и </w:t>
      </w:r>
      <w:r w:rsidRPr="00E03DC2">
        <w:rPr>
          <w:rFonts w:ascii="Times New Roman" w:eastAsia="Calibri" w:hAnsi="Times New Roman" w:cs="Times New Roman"/>
          <w:b/>
          <w:sz w:val="28"/>
          <w:szCs w:val="28"/>
        </w:rPr>
        <w:t>внедрение программного продукта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Величина капитальных (единовременных) затрат на создание системы обработки данных (СОД) может определяться сл</w:t>
      </w:r>
      <w:r w:rsidRPr="00E03DC2">
        <w:rPr>
          <w:rFonts w:ascii="Times New Roman" w:hAnsi="Times New Roman" w:cs="Times New Roman"/>
          <w:sz w:val="24"/>
          <w:szCs w:val="24"/>
        </w:rPr>
        <w:t>е</w:t>
      </w:r>
      <w:r w:rsidRPr="00E03DC2">
        <w:rPr>
          <w:rFonts w:ascii="Times New Roman" w:hAnsi="Times New Roman" w:cs="Times New Roman"/>
          <w:sz w:val="24"/>
          <w:szCs w:val="24"/>
        </w:rPr>
        <w:t>дующим образом: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4"/>
          <w:sz w:val="24"/>
          <w:szCs w:val="24"/>
        </w:rPr>
        <w:object w:dxaOrig="3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23.25pt" o:ole="">
            <v:imagedata r:id="rId5" o:title=""/>
          </v:shape>
          <o:OLEObject Type="Embed" ProgID="Equation.3" ShapeID="_x0000_i1025" DrawAspect="Content" ObjectID="_1503978910" r:id="rId6"/>
        </w:object>
      </w:r>
      <w:r w:rsidRPr="00E03DC2">
        <w:rPr>
          <w:rFonts w:ascii="Times New Roman" w:hAnsi="Times New Roman" w:cs="Times New Roman"/>
          <w:sz w:val="24"/>
          <w:szCs w:val="24"/>
        </w:rPr>
        <w:t>,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tabs>
          <w:tab w:val="left" w:pos="1080"/>
        </w:tabs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 xml:space="preserve">где:  </w:t>
      </w:r>
      <w:r w:rsidRPr="00E03DC2">
        <w:rPr>
          <w:rFonts w:ascii="Times New Roman" w:hAnsi="Times New Roman" w:cs="Times New Roman"/>
          <w:position w:val="-14"/>
          <w:sz w:val="24"/>
          <w:szCs w:val="24"/>
        </w:rPr>
        <w:object w:dxaOrig="400" w:dyaOrig="360">
          <v:shape id="_x0000_i1026" type="#_x0000_t75" style="width:20.25pt;height:18pt" o:ole="">
            <v:imagedata r:id="rId7" o:title=""/>
          </v:shape>
          <o:OLEObject Type="Embed" ProgID="Equation.3" ShapeID="_x0000_i1026" DrawAspect="Content" ObjectID="_1503978911" r:id="rId8"/>
        </w:object>
      </w:r>
      <w:r w:rsidRPr="00E03DC2">
        <w:rPr>
          <w:rFonts w:ascii="Times New Roman" w:hAnsi="Times New Roman" w:cs="Times New Roman"/>
          <w:sz w:val="24"/>
          <w:szCs w:val="24"/>
        </w:rPr>
        <w:t xml:space="preserve">- затраты на проектирование системы, руб.; </w:t>
      </w:r>
    </w:p>
    <w:p w:rsidR="00E03DC2" w:rsidRPr="00E03DC2" w:rsidRDefault="00E03DC2" w:rsidP="00E03DC2">
      <w:pPr>
        <w:tabs>
          <w:tab w:val="left" w:pos="108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400" w:dyaOrig="320">
          <v:shape id="_x0000_i1027" type="#_x0000_t75" style="width:20.25pt;height:15.75pt" o:ole="">
            <v:imagedata r:id="rId9" o:title=""/>
          </v:shape>
          <o:OLEObject Type="Embed" ProgID="Equation.3" ShapeID="_x0000_i1027" DrawAspect="Content" ObjectID="_1503978912" r:id="rId10"/>
        </w:object>
      </w:r>
      <w:r w:rsidRPr="00E03DC2">
        <w:rPr>
          <w:rFonts w:ascii="Times New Roman" w:hAnsi="Times New Roman" w:cs="Times New Roman"/>
          <w:sz w:val="24"/>
          <w:szCs w:val="24"/>
        </w:rPr>
        <w:t>- затраты на основное оборудование, руб.;</w:t>
      </w:r>
    </w:p>
    <w:p w:rsidR="00E03DC2" w:rsidRPr="00E03DC2" w:rsidRDefault="00E03DC2" w:rsidP="00E03DC2">
      <w:pPr>
        <w:tabs>
          <w:tab w:val="left" w:pos="108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28" type="#_x0000_t75" style="width:18.75pt;height:15.75pt" o:ole="">
            <v:imagedata r:id="rId11" o:title=""/>
          </v:shape>
          <o:OLEObject Type="Embed" ProgID="Equation.3" ShapeID="_x0000_i1028" DrawAspect="Content" ObjectID="_1503978913" r:id="rId12"/>
        </w:object>
      </w:r>
      <w:r w:rsidRPr="00E03DC2">
        <w:rPr>
          <w:rFonts w:ascii="Times New Roman" w:hAnsi="Times New Roman" w:cs="Times New Roman"/>
          <w:sz w:val="24"/>
          <w:szCs w:val="24"/>
        </w:rPr>
        <w:t xml:space="preserve"> - затраты на вспомогательное оборудование, руб.;</w:t>
      </w:r>
    </w:p>
    <w:p w:rsidR="00E03DC2" w:rsidRPr="00E03DC2" w:rsidRDefault="00E03DC2" w:rsidP="00E03DC2">
      <w:pPr>
        <w:tabs>
          <w:tab w:val="left" w:pos="108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420" w:dyaOrig="320">
          <v:shape id="_x0000_i1029" type="#_x0000_t75" style="width:21pt;height:15.75pt" o:ole="">
            <v:imagedata r:id="rId13" o:title=""/>
          </v:shape>
          <o:OLEObject Type="Embed" ProgID="Equation.3" ShapeID="_x0000_i1029" DrawAspect="Content" ObjectID="_1503978914" r:id="rId14"/>
        </w:object>
      </w:r>
      <w:r w:rsidRPr="00E03DC2">
        <w:rPr>
          <w:rFonts w:ascii="Times New Roman" w:hAnsi="Times New Roman" w:cs="Times New Roman"/>
          <w:sz w:val="24"/>
          <w:szCs w:val="24"/>
        </w:rPr>
        <w:t>- затраты на строительство и реконструкцию помещений, руб.;</w:t>
      </w:r>
    </w:p>
    <w:p w:rsidR="00E03DC2" w:rsidRPr="00E03DC2" w:rsidRDefault="00E03DC2" w:rsidP="00E03DC2">
      <w:pPr>
        <w:tabs>
          <w:tab w:val="left" w:pos="108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30" type="#_x0000_t75" style="width:26.25pt;height:15.75pt" o:ole="">
            <v:imagedata r:id="rId15" o:title=""/>
          </v:shape>
          <o:OLEObject Type="Embed" ProgID="Equation.3" ShapeID="_x0000_i1030" DrawAspect="Content" ObjectID="_1503978915" r:id="rId16"/>
        </w:object>
      </w:r>
      <w:r w:rsidRPr="00E03DC2">
        <w:rPr>
          <w:rFonts w:ascii="Times New Roman" w:hAnsi="Times New Roman" w:cs="Times New Roman"/>
          <w:sz w:val="24"/>
          <w:szCs w:val="24"/>
        </w:rPr>
        <w:t>- затраты, связанные с монтажом, наладкой и транспортировкой оборудов</w:t>
      </w:r>
      <w:r w:rsidRPr="00E03DC2">
        <w:rPr>
          <w:rFonts w:ascii="Times New Roman" w:hAnsi="Times New Roman" w:cs="Times New Roman"/>
          <w:sz w:val="24"/>
          <w:szCs w:val="24"/>
        </w:rPr>
        <w:t>а</w:t>
      </w:r>
      <w:r w:rsidRPr="00E03DC2">
        <w:rPr>
          <w:rFonts w:ascii="Times New Roman" w:hAnsi="Times New Roman" w:cs="Times New Roman"/>
          <w:sz w:val="24"/>
          <w:szCs w:val="24"/>
        </w:rPr>
        <w:t>ния, руб.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Особенностью разработки и создания информационных технологий является наибол</w:t>
      </w:r>
      <w:r w:rsidRPr="00E03DC2">
        <w:rPr>
          <w:rFonts w:ascii="Times New Roman" w:hAnsi="Times New Roman" w:cs="Times New Roman"/>
          <w:sz w:val="24"/>
          <w:szCs w:val="24"/>
        </w:rPr>
        <w:t>ь</w:t>
      </w:r>
      <w:r w:rsidRPr="00E03DC2">
        <w:rPr>
          <w:rFonts w:ascii="Times New Roman" w:hAnsi="Times New Roman" w:cs="Times New Roman"/>
          <w:sz w:val="24"/>
          <w:szCs w:val="24"/>
        </w:rPr>
        <w:t>шая трудоемкость их на этапе проектирования, а она (трудоемкость) зависит от сло</w:t>
      </w:r>
      <w:r w:rsidRPr="00E03DC2">
        <w:rPr>
          <w:rFonts w:ascii="Times New Roman" w:hAnsi="Times New Roman" w:cs="Times New Roman"/>
          <w:sz w:val="24"/>
          <w:szCs w:val="24"/>
        </w:rPr>
        <w:t>ж</w:t>
      </w:r>
      <w:r w:rsidRPr="00E03DC2">
        <w:rPr>
          <w:rFonts w:ascii="Times New Roman" w:hAnsi="Times New Roman" w:cs="Times New Roman"/>
          <w:sz w:val="24"/>
          <w:szCs w:val="24"/>
        </w:rPr>
        <w:t>ности разрабатываемых систем. Затраты, связанные с проектированием системы, можно ориентировочно определить через заработную плату сотрудников, привлеченных к проектным ра</w:t>
      </w:r>
      <w:r w:rsidRPr="00E03DC2">
        <w:rPr>
          <w:rFonts w:ascii="Times New Roman" w:hAnsi="Times New Roman" w:cs="Times New Roman"/>
          <w:sz w:val="24"/>
          <w:szCs w:val="24"/>
        </w:rPr>
        <w:t>з</w:t>
      </w:r>
      <w:r w:rsidRPr="00E03DC2">
        <w:rPr>
          <w:rFonts w:ascii="Times New Roman" w:hAnsi="Times New Roman" w:cs="Times New Roman"/>
          <w:sz w:val="24"/>
          <w:szCs w:val="24"/>
        </w:rPr>
        <w:t>работкам.</w:t>
      </w:r>
    </w:p>
    <w:p w:rsidR="00E03DC2" w:rsidRPr="00E03DC2" w:rsidRDefault="00E03DC2" w:rsidP="00E03DC2">
      <w:pPr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E03DC2">
        <w:rPr>
          <w:rFonts w:ascii="Times New Roman" w:hAnsi="Times New Roman" w:cs="Times New Roman"/>
          <w:position w:val="-28"/>
          <w:sz w:val="24"/>
          <w:szCs w:val="24"/>
        </w:rPr>
        <w:object w:dxaOrig="2380" w:dyaOrig="680">
          <v:shape id="_x0000_i1031" type="#_x0000_t75" style="width:116.25pt;height:33pt" o:ole="">
            <v:imagedata r:id="rId17" o:title=""/>
          </v:shape>
          <o:OLEObject Type="Embed" ProgID="Equation.3" ShapeID="_x0000_i1031" DrawAspect="Content" ObjectID="_1503978916" r:id="rId18"/>
        </w:object>
      </w:r>
      <w:r w:rsidRPr="00E03DC2">
        <w:rPr>
          <w:rFonts w:ascii="Times New Roman" w:hAnsi="Times New Roman" w:cs="Times New Roman"/>
          <w:sz w:val="24"/>
          <w:szCs w:val="24"/>
        </w:rPr>
        <w:tab/>
      </w:r>
      <w:r w:rsidRPr="00E03DC2">
        <w:rPr>
          <w:rFonts w:ascii="Times New Roman" w:hAnsi="Times New Roman" w:cs="Times New Roman"/>
          <w:sz w:val="24"/>
          <w:szCs w:val="24"/>
        </w:rPr>
        <w:tab/>
      </w:r>
      <w:r w:rsidRPr="00E03DC2">
        <w:rPr>
          <w:rFonts w:ascii="Times New Roman" w:hAnsi="Times New Roman" w:cs="Times New Roman"/>
          <w:sz w:val="24"/>
          <w:szCs w:val="24"/>
        </w:rPr>
        <w:tab/>
      </w:r>
      <w:r w:rsidRPr="00E03DC2">
        <w:rPr>
          <w:rFonts w:ascii="Times New Roman" w:hAnsi="Times New Roman" w:cs="Times New Roman"/>
          <w:sz w:val="24"/>
          <w:szCs w:val="24"/>
        </w:rPr>
        <w:tab/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 xml:space="preserve">где:   </w:t>
      </w:r>
      <w:r w:rsidRPr="00E03DC2">
        <w:rPr>
          <w:rFonts w:ascii="Times New Roman" w:hAnsi="Times New Roman" w:cs="Times New Roman"/>
          <w:b/>
          <w:sz w:val="24"/>
          <w:szCs w:val="24"/>
        </w:rPr>
        <w:t>З</w:t>
      </w:r>
      <w:proofErr w:type="spellStart"/>
      <w:proofErr w:type="gramStart"/>
      <w:r w:rsidRPr="00E03DC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E03DC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03DC2">
        <w:rPr>
          <w:rFonts w:ascii="Times New Roman" w:hAnsi="Times New Roman" w:cs="Times New Roman"/>
          <w:sz w:val="24"/>
          <w:szCs w:val="24"/>
        </w:rPr>
        <w:t xml:space="preserve">– заработная плата работников </w:t>
      </w:r>
      <w:proofErr w:type="spellStart"/>
      <w:r w:rsidRPr="00E03D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3DC2">
        <w:rPr>
          <w:rFonts w:ascii="Times New Roman" w:hAnsi="Times New Roman" w:cs="Times New Roman"/>
          <w:sz w:val="24"/>
          <w:szCs w:val="24"/>
        </w:rPr>
        <w:t xml:space="preserve"> – той категории, руб. в месяц; </w:t>
      </w:r>
    </w:p>
    <w:p w:rsidR="00E03DC2" w:rsidRPr="00E03DC2" w:rsidRDefault="00E03DC2" w:rsidP="00E03DC2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b/>
          <w:sz w:val="24"/>
          <w:szCs w:val="24"/>
        </w:rPr>
        <w:t>Т</w:t>
      </w:r>
      <w:r w:rsidRPr="00E03DC2">
        <w:rPr>
          <w:rFonts w:ascii="Times New Roman" w:hAnsi="Times New Roman" w:cs="Times New Roman"/>
          <w:sz w:val="24"/>
          <w:szCs w:val="24"/>
        </w:rPr>
        <w:t xml:space="preserve"> – время работы, месяцев; </w:t>
      </w:r>
    </w:p>
    <w:p w:rsidR="00E03DC2" w:rsidRPr="00E03DC2" w:rsidRDefault="00E03DC2" w:rsidP="00E03DC2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32" type="#_x0000_t75" style="width:9.75pt;height:12.75pt" o:ole="">
            <v:imagedata r:id="rId19" o:title=""/>
          </v:shape>
          <o:OLEObject Type="Embed" ProgID="Equation.3" ShapeID="_x0000_i1032" DrawAspect="Content" ObjectID="_1503978917" r:id="rId20"/>
        </w:object>
      </w:r>
      <w:r w:rsidRPr="00E03DC2">
        <w:rPr>
          <w:rFonts w:ascii="Times New Roman" w:hAnsi="Times New Roman" w:cs="Times New Roman"/>
          <w:sz w:val="24"/>
          <w:szCs w:val="24"/>
        </w:rPr>
        <w:t xml:space="preserve"> - коэффициент отчислений на заработную плату; </w:t>
      </w:r>
    </w:p>
    <w:p w:rsidR="00E03DC2" w:rsidRPr="00E03DC2" w:rsidRDefault="00E03DC2" w:rsidP="00E03DC2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E03DC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E03DC2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Pr="00E03DC2">
        <w:rPr>
          <w:rFonts w:ascii="Times New Roman" w:hAnsi="Times New Roman" w:cs="Times New Roman"/>
          <w:sz w:val="24"/>
          <w:szCs w:val="24"/>
        </w:rPr>
        <w:t xml:space="preserve"> категорий сотрудников, привлеченных к разработке, человек.;</w:t>
      </w:r>
    </w:p>
    <w:p w:rsidR="00E03DC2" w:rsidRPr="00E03DC2" w:rsidRDefault="00E03DC2" w:rsidP="00E03DC2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DC2">
        <w:rPr>
          <w:rFonts w:ascii="Times New Roman" w:hAnsi="Times New Roman" w:cs="Times New Roman"/>
          <w:b/>
          <w:sz w:val="24"/>
          <w:szCs w:val="24"/>
        </w:rPr>
        <w:t>Д</w:t>
      </w:r>
      <w:r w:rsidRPr="00E03DC2">
        <w:rPr>
          <w:rFonts w:ascii="Times New Roman" w:hAnsi="Times New Roman" w:cs="Times New Roman"/>
          <w:b/>
          <w:sz w:val="24"/>
          <w:szCs w:val="24"/>
          <w:vertAlign w:val="subscript"/>
        </w:rPr>
        <w:t>пр</w:t>
      </w:r>
      <w:proofErr w:type="spellEnd"/>
      <w:r w:rsidRPr="00E03DC2">
        <w:rPr>
          <w:rFonts w:ascii="Times New Roman" w:hAnsi="Times New Roman" w:cs="Times New Roman"/>
          <w:sz w:val="24"/>
          <w:szCs w:val="24"/>
        </w:rPr>
        <w:t xml:space="preserve"> – прочие расходы (затраты на командировки, телефонные и почтовые усл</w:t>
      </w:r>
      <w:r w:rsidRPr="00E03DC2">
        <w:rPr>
          <w:rFonts w:ascii="Times New Roman" w:hAnsi="Times New Roman" w:cs="Times New Roman"/>
          <w:sz w:val="24"/>
          <w:szCs w:val="24"/>
        </w:rPr>
        <w:t>у</w:t>
      </w:r>
      <w:r w:rsidRPr="00E03DC2">
        <w:rPr>
          <w:rFonts w:ascii="Times New Roman" w:hAnsi="Times New Roman" w:cs="Times New Roman"/>
          <w:sz w:val="24"/>
          <w:szCs w:val="24"/>
        </w:rPr>
        <w:t>ги и другие расходы).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Затраты на проектирование, как правило, не превышают 0.7 стоимости основного вычислительного оборудования в случаях, когда система проектируется только для собстве</w:t>
      </w:r>
      <w:r w:rsidRPr="00E03DC2">
        <w:rPr>
          <w:rFonts w:ascii="Times New Roman" w:hAnsi="Times New Roman" w:cs="Times New Roman"/>
          <w:sz w:val="24"/>
          <w:szCs w:val="24"/>
        </w:rPr>
        <w:t>н</w:t>
      </w:r>
      <w:r w:rsidRPr="00E03DC2">
        <w:rPr>
          <w:rFonts w:ascii="Times New Roman" w:hAnsi="Times New Roman" w:cs="Times New Roman"/>
          <w:sz w:val="24"/>
          <w:szCs w:val="24"/>
        </w:rPr>
        <w:t xml:space="preserve">ных нужд фирмы. Если фирма занята проектированием новых информационных </w:t>
      </w:r>
      <w:r w:rsidRPr="00E03DC2">
        <w:rPr>
          <w:rFonts w:ascii="Times New Roman" w:hAnsi="Times New Roman" w:cs="Times New Roman"/>
          <w:sz w:val="24"/>
          <w:szCs w:val="24"/>
        </w:rPr>
        <w:lastRenderedPageBreak/>
        <w:t>те</w:t>
      </w:r>
      <w:r w:rsidRPr="00E03DC2">
        <w:rPr>
          <w:rFonts w:ascii="Times New Roman" w:hAnsi="Times New Roman" w:cs="Times New Roman"/>
          <w:sz w:val="24"/>
          <w:szCs w:val="24"/>
        </w:rPr>
        <w:t>х</w:t>
      </w:r>
      <w:r w:rsidRPr="00E03DC2">
        <w:rPr>
          <w:rFonts w:ascii="Times New Roman" w:hAnsi="Times New Roman" w:cs="Times New Roman"/>
          <w:sz w:val="24"/>
          <w:szCs w:val="24"/>
        </w:rPr>
        <w:t>нологий, особенно если она их поставляет “под ключ”, то  затраты определяются только прямым сч</w:t>
      </w:r>
      <w:r w:rsidRPr="00E03DC2">
        <w:rPr>
          <w:rFonts w:ascii="Times New Roman" w:hAnsi="Times New Roman" w:cs="Times New Roman"/>
          <w:sz w:val="24"/>
          <w:szCs w:val="24"/>
        </w:rPr>
        <w:t>е</w:t>
      </w:r>
      <w:r w:rsidRPr="00E03DC2">
        <w:rPr>
          <w:rFonts w:ascii="Times New Roman" w:hAnsi="Times New Roman" w:cs="Times New Roman"/>
          <w:sz w:val="24"/>
          <w:szCs w:val="24"/>
        </w:rPr>
        <w:t>том.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К основному оборудованию относят все технические устройства, необходимые для ра</w:t>
      </w:r>
      <w:r w:rsidRPr="00E03DC2">
        <w:rPr>
          <w:rFonts w:ascii="Times New Roman" w:hAnsi="Times New Roman" w:cs="Times New Roman"/>
          <w:sz w:val="24"/>
          <w:szCs w:val="24"/>
        </w:rPr>
        <w:t>з</w:t>
      </w:r>
      <w:r w:rsidRPr="00E03DC2">
        <w:rPr>
          <w:rFonts w:ascii="Times New Roman" w:hAnsi="Times New Roman" w:cs="Times New Roman"/>
          <w:sz w:val="24"/>
          <w:szCs w:val="24"/>
        </w:rPr>
        <w:t>работки и реализации информационных технологий: компьютеры, принтеры, сканеры и т.п.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Затраты на основное оборудование: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object w:dxaOrig="1820" w:dyaOrig="360">
          <v:shape id="_x0000_i1033" type="#_x0000_t75" style="width:132.75pt;height:26.25pt" o:ole="">
            <v:imagedata r:id="rId21" o:title=""/>
          </v:shape>
          <o:OLEObject Type="Embed" ProgID="Equation.3" ShapeID="_x0000_i1033" DrawAspect="Content" ObjectID="_1503978918" r:id="rId22"/>
        </w:object>
      </w:r>
      <w:r w:rsidRPr="00E03DC2">
        <w:rPr>
          <w:rFonts w:ascii="Times New Roman" w:hAnsi="Times New Roman" w:cs="Times New Roman"/>
          <w:sz w:val="24"/>
          <w:szCs w:val="24"/>
        </w:rPr>
        <w:t>,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 xml:space="preserve">где: </w:t>
      </w:r>
      <w:proofErr w:type="spellStart"/>
      <w:proofErr w:type="gramStart"/>
      <w:r w:rsidRPr="00E03DC2">
        <w:rPr>
          <w:rFonts w:ascii="Times New Roman" w:hAnsi="Times New Roman" w:cs="Times New Roman"/>
          <w:b/>
          <w:sz w:val="24"/>
          <w:szCs w:val="24"/>
        </w:rPr>
        <w:t>k</w:t>
      </w:r>
      <w:proofErr w:type="gramEnd"/>
      <w:r w:rsidRPr="00E03DC2">
        <w:rPr>
          <w:rFonts w:ascii="Times New Roman" w:hAnsi="Times New Roman" w:cs="Times New Roman"/>
          <w:b/>
          <w:sz w:val="24"/>
          <w:szCs w:val="24"/>
          <w:vertAlign w:val="subscript"/>
        </w:rPr>
        <w:t>ус</w:t>
      </w:r>
      <w:proofErr w:type="spellEnd"/>
      <w:r w:rsidRPr="00E03DC2">
        <w:rPr>
          <w:rFonts w:ascii="Times New Roman" w:hAnsi="Times New Roman" w:cs="Times New Roman"/>
          <w:sz w:val="24"/>
          <w:szCs w:val="24"/>
        </w:rPr>
        <w:t xml:space="preserve"> – коэффициент установки (0.01</w:t>
      </w:r>
      <w:r w:rsidRPr="00E03DC2">
        <w:rPr>
          <w:rFonts w:ascii="Times New Roman" w:hAnsi="Times New Roman" w:cs="Times New Roman"/>
          <w:sz w:val="24"/>
          <w:szCs w:val="24"/>
        </w:rPr>
        <w:object w:dxaOrig="200" w:dyaOrig="200">
          <v:shape id="_x0000_i1034" type="#_x0000_t75" style="width:9.75pt;height:9.75pt" o:ole="">
            <v:imagedata r:id="rId23" o:title=""/>
          </v:shape>
          <o:OLEObject Type="Embed" ProgID="Equation.3" ShapeID="_x0000_i1034" DrawAspect="Content" ObjectID="_1503978919" r:id="rId24"/>
        </w:object>
      </w:r>
      <w:r w:rsidRPr="00E03DC2">
        <w:rPr>
          <w:rFonts w:ascii="Times New Roman" w:hAnsi="Times New Roman" w:cs="Times New Roman"/>
          <w:sz w:val="24"/>
          <w:szCs w:val="24"/>
        </w:rPr>
        <w:t>0.02), показывает увеличение балансовой стоимости, связанное с дополнительными расходами на установку оборудования (без уч</w:t>
      </w:r>
      <w:r w:rsidRPr="00E03DC2">
        <w:rPr>
          <w:rFonts w:ascii="Times New Roman" w:hAnsi="Times New Roman" w:cs="Times New Roman"/>
          <w:sz w:val="24"/>
          <w:szCs w:val="24"/>
        </w:rPr>
        <w:t>е</w:t>
      </w:r>
      <w:r w:rsidRPr="00E03DC2">
        <w:rPr>
          <w:rFonts w:ascii="Times New Roman" w:hAnsi="Times New Roman" w:cs="Times New Roman"/>
          <w:sz w:val="24"/>
          <w:szCs w:val="24"/>
        </w:rPr>
        <w:t>та затрат на наладку оборудования);</w:t>
      </w:r>
    </w:p>
    <w:p w:rsidR="00E03DC2" w:rsidRPr="00E03DC2" w:rsidRDefault="00E03DC2" w:rsidP="00E03DC2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DC2">
        <w:rPr>
          <w:rFonts w:ascii="Times New Roman" w:hAnsi="Times New Roman" w:cs="Times New Roman"/>
          <w:sz w:val="24"/>
          <w:szCs w:val="24"/>
        </w:rPr>
        <w:t>С</w:t>
      </w:r>
      <w:r w:rsidRPr="00E03DC2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E03DC2">
        <w:rPr>
          <w:rFonts w:ascii="Times New Roman" w:hAnsi="Times New Roman" w:cs="Times New Roman"/>
          <w:sz w:val="24"/>
          <w:szCs w:val="24"/>
        </w:rPr>
        <w:t xml:space="preserve"> – балансовая стоимость оборудования, руб.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Затраты на вспомогательное оборудование связаны с приобретением звукоизоляцио</w:t>
      </w:r>
      <w:r w:rsidRPr="00E03DC2">
        <w:rPr>
          <w:rFonts w:ascii="Times New Roman" w:hAnsi="Times New Roman" w:cs="Times New Roman"/>
          <w:sz w:val="24"/>
          <w:szCs w:val="24"/>
        </w:rPr>
        <w:t>н</w:t>
      </w:r>
      <w:r w:rsidRPr="00E03DC2">
        <w:rPr>
          <w:rFonts w:ascii="Times New Roman" w:hAnsi="Times New Roman" w:cs="Times New Roman"/>
          <w:sz w:val="24"/>
          <w:szCs w:val="24"/>
        </w:rPr>
        <w:t>ного оборудования; подвесных потолков со встроенным освещением, рекомендуемых для терминальных классов; кондиционеров и т.п. Эти затраты определяются либо прямым сч</w:t>
      </w:r>
      <w:r w:rsidRPr="00E03DC2">
        <w:rPr>
          <w:rFonts w:ascii="Times New Roman" w:hAnsi="Times New Roman" w:cs="Times New Roman"/>
          <w:sz w:val="24"/>
          <w:szCs w:val="24"/>
        </w:rPr>
        <w:t>е</w:t>
      </w:r>
      <w:r w:rsidRPr="00E03DC2">
        <w:rPr>
          <w:rFonts w:ascii="Times New Roman" w:hAnsi="Times New Roman" w:cs="Times New Roman"/>
          <w:sz w:val="24"/>
          <w:szCs w:val="24"/>
        </w:rPr>
        <w:t>том, либо пропорционально стоимости основного оборудования: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2020" w:dyaOrig="320">
          <v:shape id="_x0000_i1035" type="#_x0000_t75" style="width:140.25pt;height:22.5pt" o:ole="">
            <v:imagedata r:id="rId25" o:title=""/>
          </v:shape>
          <o:OLEObject Type="Embed" ProgID="Equation.3" ShapeID="_x0000_i1035" DrawAspect="Content" ObjectID="_1503978920" r:id="rId26"/>
        </w:object>
      </w:r>
      <w:r w:rsidRPr="00E03DC2">
        <w:rPr>
          <w:rFonts w:ascii="Times New Roman" w:hAnsi="Times New Roman" w:cs="Times New Roman"/>
          <w:sz w:val="24"/>
          <w:szCs w:val="24"/>
        </w:rPr>
        <w:t>.</w:t>
      </w:r>
    </w:p>
    <w:p w:rsidR="00E03DC2" w:rsidRPr="00E03DC2" w:rsidRDefault="00E03DC2" w:rsidP="00E03D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Затраты на монтаж, наладку и транспортировку оборудования зависят от  сложности оборудования, его количества, а также от способа и стоимости перевозки (самолет, автом</w:t>
      </w:r>
      <w:r w:rsidRPr="00E03DC2">
        <w:rPr>
          <w:rFonts w:ascii="Times New Roman" w:hAnsi="Times New Roman" w:cs="Times New Roman"/>
          <w:sz w:val="24"/>
          <w:szCs w:val="24"/>
        </w:rPr>
        <w:t>о</w:t>
      </w:r>
      <w:r w:rsidRPr="00E03DC2">
        <w:rPr>
          <w:rFonts w:ascii="Times New Roman" w:hAnsi="Times New Roman" w:cs="Times New Roman"/>
          <w:sz w:val="24"/>
          <w:szCs w:val="24"/>
        </w:rPr>
        <w:t>биль, теплоход и т.п.), которые определяются прямым счетом (смета затрат), а в случаях предварительных (прогнозных) расчетов принимаются на уровне 10-20% стоимости осно</w:t>
      </w:r>
      <w:r w:rsidRPr="00E03DC2">
        <w:rPr>
          <w:rFonts w:ascii="Times New Roman" w:hAnsi="Times New Roman" w:cs="Times New Roman"/>
          <w:sz w:val="24"/>
          <w:szCs w:val="24"/>
        </w:rPr>
        <w:t>в</w:t>
      </w:r>
      <w:r w:rsidRPr="00E03DC2">
        <w:rPr>
          <w:rFonts w:ascii="Times New Roman" w:hAnsi="Times New Roman" w:cs="Times New Roman"/>
          <w:sz w:val="24"/>
          <w:szCs w:val="24"/>
        </w:rPr>
        <w:t>ного оборудования: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2240" w:dyaOrig="320">
          <v:shape id="_x0000_i1036" type="#_x0000_t75" style="width:156pt;height:21.75pt" o:ole="">
            <v:imagedata r:id="rId27" o:title=""/>
          </v:shape>
          <o:OLEObject Type="Embed" ProgID="Equation.3" ShapeID="_x0000_i1036" DrawAspect="Content" ObjectID="_1503978921" r:id="rId28"/>
        </w:object>
      </w:r>
      <w:r w:rsidRPr="00E03DC2">
        <w:rPr>
          <w:rFonts w:ascii="Times New Roman" w:hAnsi="Times New Roman" w:cs="Times New Roman"/>
          <w:sz w:val="24"/>
          <w:szCs w:val="24"/>
        </w:rPr>
        <w:t>.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Затраты на строительство и реконструкцию помещения также определяются либо пр</w:t>
      </w:r>
      <w:r w:rsidRPr="00E03DC2">
        <w:rPr>
          <w:rFonts w:ascii="Times New Roman" w:hAnsi="Times New Roman" w:cs="Times New Roman"/>
          <w:sz w:val="24"/>
          <w:szCs w:val="24"/>
        </w:rPr>
        <w:t>я</w:t>
      </w:r>
      <w:r w:rsidRPr="00E03DC2">
        <w:rPr>
          <w:rFonts w:ascii="Times New Roman" w:hAnsi="Times New Roman" w:cs="Times New Roman"/>
          <w:sz w:val="24"/>
          <w:szCs w:val="24"/>
        </w:rPr>
        <w:t>мым счетом, либо также относительно стоимости основного оборудования: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10"/>
          <w:sz w:val="24"/>
          <w:szCs w:val="24"/>
        </w:rPr>
        <w:object w:dxaOrig="2200" w:dyaOrig="320">
          <v:shape id="_x0000_i1037" type="#_x0000_t75" style="width:151.5pt;height:21.75pt" o:ole="">
            <v:imagedata r:id="rId29" o:title=""/>
          </v:shape>
          <o:OLEObject Type="Embed" ProgID="Equation.3" ShapeID="_x0000_i1037" DrawAspect="Content" ObjectID="_1503978922" r:id="rId30"/>
        </w:object>
      </w:r>
      <w:r w:rsidRPr="00E03DC2">
        <w:rPr>
          <w:rFonts w:ascii="Times New Roman" w:hAnsi="Times New Roman" w:cs="Times New Roman"/>
          <w:sz w:val="24"/>
          <w:szCs w:val="24"/>
        </w:rPr>
        <w:t>.</w:t>
      </w:r>
    </w:p>
    <w:p w:rsidR="00E03DC2" w:rsidRPr="00E03DC2" w:rsidRDefault="00E03DC2" w:rsidP="00E03D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В целом, общая величина капитальных (единовременных) затрат должна составлять от 2.16 до 2.62 балансовой стоимости основного (дорогостоящего) оборудования.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>В тех случаях, когда возникает необходимость (например, определение показателей экономической эффективности решения отдельной задачи), возможно выделить ту часть к</w:t>
      </w:r>
      <w:r w:rsidRPr="00E03DC2">
        <w:rPr>
          <w:rFonts w:ascii="Times New Roman" w:hAnsi="Times New Roman" w:cs="Times New Roman"/>
          <w:sz w:val="24"/>
          <w:szCs w:val="24"/>
        </w:rPr>
        <w:t>а</w:t>
      </w:r>
      <w:r w:rsidRPr="00E03DC2">
        <w:rPr>
          <w:rFonts w:ascii="Times New Roman" w:hAnsi="Times New Roman" w:cs="Times New Roman"/>
          <w:sz w:val="24"/>
          <w:szCs w:val="24"/>
        </w:rPr>
        <w:t>питальных (единовременных) затрат, которая будет приходиться на отдельную задачу (круг задач, подсистему). Для этого можно воспользоваться формулой:</w:t>
      </w: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position w:val="-28"/>
          <w:sz w:val="24"/>
          <w:szCs w:val="24"/>
        </w:rPr>
        <w:object w:dxaOrig="1040" w:dyaOrig="639">
          <v:shape id="_x0000_i1038" type="#_x0000_t75" style="width:70.5pt;height:43.5pt" o:ole="">
            <v:imagedata r:id="rId31" o:title=""/>
          </v:shape>
          <o:OLEObject Type="Embed" ProgID="Equation.3" ShapeID="_x0000_i1038" DrawAspect="Content" ObjectID="_1503978923" r:id="rId32"/>
        </w:object>
      </w:r>
      <w:r w:rsidRPr="00E03DC2">
        <w:rPr>
          <w:rFonts w:ascii="Times New Roman" w:hAnsi="Times New Roman" w:cs="Times New Roman"/>
          <w:sz w:val="24"/>
          <w:szCs w:val="24"/>
        </w:rPr>
        <w:t>,</w:t>
      </w:r>
    </w:p>
    <w:p w:rsidR="00E03DC2" w:rsidRPr="00E03DC2" w:rsidRDefault="00E03DC2" w:rsidP="00E03D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3DC2" w:rsidRPr="00E03DC2" w:rsidRDefault="00E03DC2" w:rsidP="00E03DC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03DC2">
        <w:rPr>
          <w:rFonts w:ascii="Times New Roman" w:hAnsi="Times New Roman" w:cs="Times New Roman"/>
          <w:sz w:val="24"/>
          <w:szCs w:val="24"/>
        </w:rPr>
        <w:t xml:space="preserve">где:  </w:t>
      </w:r>
      <w:proofErr w:type="spellStart"/>
      <w:proofErr w:type="gramStart"/>
      <w:r w:rsidRPr="00E03DC2">
        <w:rPr>
          <w:rFonts w:ascii="Times New Roman" w:hAnsi="Times New Roman" w:cs="Times New Roman"/>
          <w:sz w:val="24"/>
          <w:szCs w:val="24"/>
        </w:rPr>
        <w:t>К</w:t>
      </w:r>
      <w:r w:rsidRPr="00E03DC2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 w:rsidRPr="00E03DC2">
        <w:rPr>
          <w:rFonts w:ascii="Times New Roman" w:hAnsi="Times New Roman" w:cs="Times New Roman"/>
          <w:sz w:val="24"/>
          <w:szCs w:val="24"/>
        </w:rPr>
        <w:t xml:space="preserve"> – капитальные (единовременные) затраты, приходящиеся на отдельную задачу (круг задач), руб.; </w:t>
      </w:r>
      <w:proofErr w:type="gramEnd"/>
    </w:p>
    <w:p w:rsidR="00E03DC2" w:rsidRPr="00E03DC2" w:rsidRDefault="00E03DC2" w:rsidP="00E03DC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3DC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E03DC2">
        <w:rPr>
          <w:rFonts w:ascii="Times New Roman" w:hAnsi="Times New Roman" w:cs="Times New Roman"/>
          <w:sz w:val="24"/>
          <w:szCs w:val="24"/>
        </w:rPr>
        <w:t xml:space="preserve"> – капитальные (единовременные) затраты на систему в целом, руб.;  </w:t>
      </w:r>
    </w:p>
    <w:p w:rsidR="00E03DC2" w:rsidRPr="00E03DC2" w:rsidRDefault="00E03DC2" w:rsidP="00E03DC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3DC2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E03DC2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proofErr w:type="gramEnd"/>
      <w:r w:rsidRPr="00E03DC2">
        <w:rPr>
          <w:rFonts w:ascii="Times New Roman" w:hAnsi="Times New Roman" w:cs="Times New Roman"/>
          <w:sz w:val="24"/>
          <w:szCs w:val="24"/>
        </w:rPr>
        <w:t xml:space="preserve"> – время решения конкретной задачи (круга задач), в год, час; </w:t>
      </w:r>
    </w:p>
    <w:p w:rsidR="00E03DC2" w:rsidRDefault="00E03DC2" w:rsidP="00E03DC2">
      <w:pPr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3D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03D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E03DC2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E03D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E03DC2">
        <w:rPr>
          <w:rFonts w:ascii="Times New Roman" w:hAnsi="Times New Roman" w:cs="Times New Roman"/>
          <w:sz w:val="24"/>
          <w:szCs w:val="24"/>
        </w:rPr>
        <w:t xml:space="preserve"> – время решения всех задач на данном оборудовании за год, час.</w:t>
      </w:r>
      <w:proofErr w:type="gramEnd"/>
    </w:p>
    <w:p w:rsidR="00E03DC2" w:rsidRDefault="00E03DC2" w:rsidP="00E03DC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C98" w:rsidRDefault="00256C98" w:rsidP="00E03D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>Состав капитальных затрат на создание и эксплуатацию систем, связа</w:t>
      </w:r>
      <w:r w:rsidRPr="00256C98">
        <w:rPr>
          <w:rFonts w:ascii="Times New Roman" w:hAnsi="Times New Roman" w:cs="Times New Roman"/>
          <w:sz w:val="24"/>
          <w:szCs w:val="24"/>
        </w:rPr>
        <w:t>н</w:t>
      </w:r>
      <w:r w:rsidRPr="00256C98">
        <w:rPr>
          <w:rFonts w:ascii="Times New Roman" w:hAnsi="Times New Roman" w:cs="Times New Roman"/>
          <w:sz w:val="24"/>
          <w:szCs w:val="24"/>
        </w:rPr>
        <w:t>ных с обработкой информации рассчитывается по формуле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spacing w:line="360" w:lineRule="auto"/>
        <w:ind w:right="2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position w:val="-10"/>
          <w:sz w:val="24"/>
          <w:szCs w:val="24"/>
        </w:rPr>
        <w:object w:dxaOrig="5420" w:dyaOrig="320">
          <v:shape id="_x0000_i1081" type="#_x0000_t75" style="width:321pt;height:19.5pt" o:ole="">
            <v:imagedata r:id="rId33" o:title=""/>
          </v:shape>
          <o:OLEObject Type="Embed" ProgID="Equation.3" ShapeID="_x0000_i1081" DrawAspect="Content" ObjectID="_1503978924" r:id="rId34"/>
        </w:object>
      </w:r>
    </w:p>
    <w:p w:rsidR="00256C98" w:rsidRPr="00256C98" w:rsidRDefault="00256C98" w:rsidP="00256C98">
      <w:pPr>
        <w:shd w:val="clear" w:color="auto" w:fill="FFFFFF"/>
        <w:spacing w:line="360" w:lineRule="auto"/>
        <w:ind w:right="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spacing w:line="360" w:lineRule="auto"/>
        <w:ind w:right="2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где  </w:t>
      </w:r>
      <w:r w:rsidRPr="00256C98">
        <w:rPr>
          <w:rFonts w:ascii="Times New Roman" w:hAnsi="Times New Roman" w:cs="Times New Roman"/>
          <w:i/>
          <w:sz w:val="24"/>
          <w:szCs w:val="24"/>
        </w:rPr>
        <w:t>ФОТ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фонд оплаты труда программиста; 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6C98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256C98">
        <w:rPr>
          <w:rFonts w:ascii="Times New Roman" w:hAnsi="Times New Roman" w:cs="Times New Roman"/>
          <w:sz w:val="24"/>
          <w:szCs w:val="24"/>
        </w:rPr>
        <w:t xml:space="preserve"> - величина страховых взносов в ПФР, ФСС, федеральный и территор</w:t>
      </w:r>
      <w:r w:rsidRPr="00256C98">
        <w:rPr>
          <w:rFonts w:ascii="Times New Roman" w:hAnsi="Times New Roman" w:cs="Times New Roman"/>
          <w:sz w:val="24"/>
          <w:szCs w:val="24"/>
        </w:rPr>
        <w:t>и</w:t>
      </w:r>
      <w:r w:rsidRPr="00256C98">
        <w:rPr>
          <w:rFonts w:ascii="Times New Roman" w:hAnsi="Times New Roman" w:cs="Times New Roman"/>
          <w:sz w:val="24"/>
          <w:szCs w:val="24"/>
        </w:rPr>
        <w:t xml:space="preserve">альные </w:t>
      </w:r>
      <w:proofErr w:type="spellStart"/>
      <w:r w:rsidRPr="00256C98">
        <w:rPr>
          <w:rFonts w:ascii="Times New Roman" w:hAnsi="Times New Roman" w:cs="Times New Roman"/>
          <w:sz w:val="24"/>
          <w:szCs w:val="24"/>
        </w:rPr>
        <w:t>ФОМСы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i/>
          <w:sz w:val="24"/>
          <w:szCs w:val="24"/>
        </w:rPr>
        <w:t>АП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стоимость аренды помещений;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i/>
          <w:sz w:val="24"/>
          <w:szCs w:val="24"/>
        </w:rPr>
        <w:lastRenderedPageBreak/>
        <w:t>АО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стоимость аренды оборудов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>ния;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i/>
          <w:sz w:val="24"/>
          <w:szCs w:val="24"/>
        </w:rPr>
        <w:t>МЗ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материальные затраты; 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i/>
          <w:sz w:val="24"/>
          <w:szCs w:val="24"/>
        </w:rPr>
        <w:t>ЗЭ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стоимость электроэнергии; 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i/>
          <w:sz w:val="24"/>
          <w:szCs w:val="24"/>
        </w:rPr>
        <w:t>ПО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стоимость программного обеспечения;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i/>
          <w:sz w:val="24"/>
          <w:szCs w:val="24"/>
        </w:rPr>
        <w:t>Ин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затраты на использование сети Интернет;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82" type="#_x0000_t75" style="width:20.25pt;height:14.25pt" o:ole="">
            <v:imagedata r:id="rId35" o:title=""/>
          </v:shape>
          <o:OLEObject Type="Embed" ProgID="Equation.3" ShapeID="_x0000_i1082" DrawAspect="Content" ObjectID="_1503978925" r:id="rId36"/>
        </w:object>
      </w:r>
      <w:r w:rsidRPr="00256C98">
        <w:rPr>
          <w:rFonts w:ascii="Times New Roman" w:hAnsi="Times New Roman" w:cs="Times New Roman"/>
          <w:sz w:val="24"/>
          <w:szCs w:val="24"/>
        </w:rPr>
        <w:t xml:space="preserve"> – стоимость основного оборудования.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>Фонд оплаты труда программиста можно рассчитать следующим обр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>зом</w:t>
      </w:r>
    </w:p>
    <w:p w:rsidR="00256C98" w:rsidRPr="00256C98" w:rsidRDefault="00256C98" w:rsidP="00256C98">
      <w:pPr>
        <w:shd w:val="clear" w:color="auto" w:fill="FFFFFF"/>
        <w:spacing w:line="360" w:lineRule="auto"/>
        <w:ind w:right="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spacing w:line="360" w:lineRule="auto"/>
        <w:ind w:right="2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b/>
          <w:position w:val="-12"/>
          <w:sz w:val="24"/>
          <w:szCs w:val="24"/>
        </w:rPr>
        <w:object w:dxaOrig="2040" w:dyaOrig="360">
          <v:shape id="_x0000_i1083" type="#_x0000_t75" style="width:124.5pt;height:22.5pt" o:ole="">
            <v:imagedata r:id="rId37" o:title=""/>
          </v:shape>
          <o:OLEObject Type="Embed" ProgID="Equation.3" ShapeID="_x0000_i1083" DrawAspect="Content" ObjectID="_1503978926" r:id="rId38"/>
        </w:object>
      </w:r>
    </w:p>
    <w:p w:rsidR="00256C98" w:rsidRPr="00256C98" w:rsidRDefault="00256C98" w:rsidP="00256C98">
      <w:pPr>
        <w:shd w:val="clear" w:color="auto" w:fill="FFFFFF"/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где </w:t>
      </w:r>
      <w:r w:rsidRPr="00256C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6C98">
        <w:rPr>
          <w:rFonts w:ascii="Times New Roman" w:hAnsi="Times New Roman" w:cs="Times New Roman"/>
          <w:i/>
          <w:sz w:val="24"/>
          <w:szCs w:val="24"/>
        </w:rPr>
        <w:t>ЗП</w:t>
      </w:r>
      <w:r w:rsidRPr="00256C98">
        <w:rPr>
          <w:rFonts w:ascii="Times New Roman" w:hAnsi="Times New Roman" w:cs="Times New Roman"/>
          <w:i/>
          <w:sz w:val="24"/>
          <w:szCs w:val="24"/>
          <w:vertAlign w:val="subscript"/>
        </w:rPr>
        <w:t>осн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 xml:space="preserve"> - основная заработная плата;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i/>
          <w:sz w:val="24"/>
          <w:szCs w:val="24"/>
        </w:rPr>
        <w:t>ПД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премии и доплаты к тарифному окл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>ду.</w:t>
      </w:r>
    </w:p>
    <w:p w:rsidR="00256C98" w:rsidRPr="00256C98" w:rsidRDefault="00256C98" w:rsidP="00256C98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Создание ПО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IdentNDO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56C98">
        <w:rPr>
          <w:rFonts w:ascii="Times New Roman" w:hAnsi="Times New Roman" w:cs="Times New Roman"/>
          <w:sz w:val="24"/>
          <w:szCs w:val="24"/>
        </w:rPr>
        <w:t>.1.0 заняло три месяца. Премия к заработной пл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>те берется как 20% от основной заработной платы, северная надбавка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Братска</w:t>
      </w:r>
      <w:r w:rsidRPr="00256C98">
        <w:rPr>
          <w:rFonts w:ascii="Times New Roman" w:hAnsi="Times New Roman" w:cs="Times New Roman"/>
          <w:sz w:val="24"/>
          <w:szCs w:val="24"/>
        </w:rPr>
        <w:t xml:space="preserve"> – 50%, районный коэффициент </w:t>
      </w:r>
      <w:r>
        <w:rPr>
          <w:rFonts w:ascii="Times New Roman" w:hAnsi="Times New Roman" w:cs="Times New Roman"/>
          <w:sz w:val="24"/>
          <w:szCs w:val="24"/>
        </w:rPr>
        <w:t>для г. Братска</w:t>
      </w:r>
      <w:r w:rsidRPr="00256C98">
        <w:rPr>
          <w:rFonts w:ascii="Times New Roman" w:hAnsi="Times New Roman" w:cs="Times New Roman"/>
          <w:sz w:val="24"/>
          <w:szCs w:val="24"/>
        </w:rPr>
        <w:t xml:space="preserve"> – 30%, в соответствии с [</w:t>
      </w:r>
      <w:r w:rsidR="00FC731D">
        <w:rPr>
          <w:rFonts w:ascii="Times New Roman" w:hAnsi="Times New Roman" w:cs="Times New Roman"/>
          <w:sz w:val="24"/>
          <w:szCs w:val="24"/>
        </w:rPr>
        <w:t>1</w:t>
      </w:r>
      <w:r w:rsidRPr="00256C98">
        <w:rPr>
          <w:rFonts w:ascii="Times New Roman" w:hAnsi="Times New Roman" w:cs="Times New Roman"/>
          <w:sz w:val="24"/>
          <w:szCs w:val="24"/>
        </w:rPr>
        <w:t>] и [</w:t>
      </w:r>
      <w:r w:rsidR="00FC731D">
        <w:rPr>
          <w:rFonts w:ascii="Times New Roman" w:hAnsi="Times New Roman" w:cs="Times New Roman"/>
          <w:sz w:val="24"/>
          <w:szCs w:val="24"/>
        </w:rPr>
        <w:t>2</w:t>
      </w:r>
      <w:r w:rsidRPr="00256C98">
        <w:rPr>
          <w:rFonts w:ascii="Times New Roman" w:hAnsi="Times New Roman" w:cs="Times New Roman"/>
          <w:sz w:val="24"/>
          <w:szCs w:val="24"/>
        </w:rPr>
        <w:t>]. Также применяется надбавка к окладу стимулирующего характера – 40%. Расчет общего фонда заработной платы св</w:t>
      </w:r>
      <w:r w:rsidRPr="00256C98">
        <w:rPr>
          <w:rFonts w:ascii="Times New Roman" w:hAnsi="Times New Roman" w:cs="Times New Roman"/>
          <w:sz w:val="24"/>
          <w:szCs w:val="24"/>
        </w:rPr>
        <w:t>е</w:t>
      </w:r>
      <w:r w:rsidRPr="00256C98">
        <w:rPr>
          <w:rFonts w:ascii="Times New Roman" w:hAnsi="Times New Roman" w:cs="Times New Roman"/>
          <w:sz w:val="24"/>
          <w:szCs w:val="24"/>
        </w:rPr>
        <w:t xml:space="preserve">дем в таблице </w:t>
      </w:r>
      <w:r w:rsidR="00FC731D">
        <w:rPr>
          <w:rFonts w:ascii="Times New Roman" w:hAnsi="Times New Roman" w:cs="Times New Roman"/>
          <w:sz w:val="24"/>
          <w:szCs w:val="24"/>
        </w:rPr>
        <w:t>1</w:t>
      </w:r>
      <w:r w:rsidRPr="00256C98">
        <w:rPr>
          <w:rFonts w:ascii="Times New Roman" w:hAnsi="Times New Roman" w:cs="Times New Roman"/>
          <w:sz w:val="24"/>
          <w:szCs w:val="24"/>
        </w:rPr>
        <w:t>.</w:t>
      </w:r>
    </w:p>
    <w:p w:rsidR="00256C98" w:rsidRPr="00256C98" w:rsidRDefault="00256C98" w:rsidP="00256C98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C731D">
        <w:rPr>
          <w:rFonts w:ascii="Times New Roman" w:hAnsi="Times New Roman" w:cs="Times New Roman"/>
          <w:sz w:val="24"/>
          <w:szCs w:val="24"/>
        </w:rPr>
        <w:t>1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Расчет общего фонда заработной платы программиста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513"/>
        <w:gridCol w:w="2126"/>
      </w:tblGrid>
      <w:tr w:rsidR="00256C98" w:rsidRPr="00256C98" w:rsidTr="00992BA4">
        <w:tc>
          <w:tcPr>
            <w:tcW w:w="7513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Итого, руб.</w:t>
            </w:r>
          </w:p>
        </w:tc>
      </w:tr>
      <w:tr w:rsidR="00256C98" w:rsidRPr="00256C98" w:rsidTr="00992BA4">
        <w:tc>
          <w:tcPr>
            <w:tcW w:w="7513" w:type="dxa"/>
          </w:tcPr>
          <w:p w:rsidR="00256C98" w:rsidRPr="00256C98" w:rsidRDefault="00256C98" w:rsidP="00992BA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2126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2800</w:t>
            </w:r>
          </w:p>
        </w:tc>
      </w:tr>
      <w:tr w:rsidR="00256C98" w:rsidRPr="00256C98" w:rsidTr="00992BA4">
        <w:tc>
          <w:tcPr>
            <w:tcW w:w="7513" w:type="dxa"/>
          </w:tcPr>
          <w:p w:rsidR="00256C98" w:rsidRPr="00256C98" w:rsidRDefault="00256C98" w:rsidP="00992BA4">
            <w:pPr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Премия за своевременное выполнение р</w:t>
            </w: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а</w:t>
            </w: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бот</w:t>
            </w:r>
          </w:p>
        </w:tc>
        <w:tc>
          <w:tcPr>
            <w:tcW w:w="2126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560</w:t>
            </w:r>
          </w:p>
        </w:tc>
      </w:tr>
      <w:tr w:rsidR="00256C98" w:rsidRPr="00256C98" w:rsidTr="00992BA4">
        <w:trPr>
          <w:trHeight w:val="267"/>
        </w:trPr>
        <w:tc>
          <w:tcPr>
            <w:tcW w:w="7513" w:type="dxa"/>
          </w:tcPr>
          <w:p w:rsidR="00256C98" w:rsidRPr="00256C98" w:rsidRDefault="00256C98" w:rsidP="00992BA4">
            <w:pPr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Надбавка стимулирующего характера</w:t>
            </w:r>
          </w:p>
        </w:tc>
        <w:tc>
          <w:tcPr>
            <w:tcW w:w="2126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1120</w:t>
            </w:r>
          </w:p>
        </w:tc>
      </w:tr>
      <w:tr w:rsidR="00256C98" w:rsidRPr="00256C98" w:rsidTr="00992BA4">
        <w:trPr>
          <w:trHeight w:val="287"/>
        </w:trPr>
        <w:tc>
          <w:tcPr>
            <w:tcW w:w="7513" w:type="dxa"/>
          </w:tcPr>
          <w:p w:rsidR="00256C98" w:rsidRPr="00256C98" w:rsidRDefault="00256C98" w:rsidP="00992BA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Районный коэффициент и северная на</w:t>
            </w: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д</w:t>
            </w: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бавка</w:t>
            </w:r>
          </w:p>
        </w:tc>
        <w:tc>
          <w:tcPr>
            <w:tcW w:w="2126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2240</w:t>
            </w:r>
          </w:p>
        </w:tc>
      </w:tr>
      <w:tr w:rsidR="00256C98" w:rsidRPr="00256C98" w:rsidTr="00992BA4">
        <w:tc>
          <w:tcPr>
            <w:tcW w:w="7513" w:type="dxa"/>
          </w:tcPr>
          <w:p w:rsidR="00256C98" w:rsidRPr="00256C98" w:rsidRDefault="00256C98" w:rsidP="00992BA4">
            <w:pPr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Заработная плата со всеми надбавками за м</w:t>
            </w: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е</w:t>
            </w:r>
            <w:r w:rsidRPr="00256C98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сяц</w:t>
            </w:r>
          </w:p>
        </w:tc>
        <w:tc>
          <w:tcPr>
            <w:tcW w:w="2126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6720</w:t>
            </w:r>
          </w:p>
        </w:tc>
      </w:tr>
      <w:tr w:rsidR="00256C98" w:rsidRPr="00256C98" w:rsidTr="00992BA4">
        <w:tc>
          <w:tcPr>
            <w:tcW w:w="7513" w:type="dxa"/>
          </w:tcPr>
          <w:p w:rsidR="00256C98" w:rsidRPr="00256C98" w:rsidRDefault="00256C98" w:rsidP="00992BA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Общий фонд заработной платы за 3 м</w:t>
            </w: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е</w:t>
            </w: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сяца</w:t>
            </w:r>
          </w:p>
        </w:tc>
        <w:tc>
          <w:tcPr>
            <w:tcW w:w="2126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20160</w:t>
            </w:r>
          </w:p>
        </w:tc>
      </w:tr>
    </w:tbl>
    <w:p w:rsidR="00256C98" w:rsidRPr="00256C98" w:rsidRDefault="00256C98" w:rsidP="00256C98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lastRenderedPageBreak/>
        <w:t>Сумма страховых взносов в фонды рассчитывается следующим образом: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FC731D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position w:val="-12"/>
          <w:sz w:val="24"/>
          <w:szCs w:val="24"/>
        </w:rPr>
        <w:object w:dxaOrig="1840" w:dyaOrig="360">
          <v:shape id="_x0000_i1084" type="#_x0000_t75" style="width:102pt;height:20.25pt" o:ole="">
            <v:imagedata r:id="rId39" o:title=""/>
          </v:shape>
          <o:OLEObject Type="Embed" ProgID="Equation.3" ShapeID="_x0000_i1084" DrawAspect="Content" ObjectID="_1503978927" r:id="rId40"/>
        </w:object>
      </w:r>
    </w:p>
    <w:p w:rsidR="00256C98" w:rsidRPr="00256C98" w:rsidRDefault="00256C98" w:rsidP="00256C98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где </w:t>
      </w:r>
      <w:r w:rsidRPr="00256C98">
        <w:rPr>
          <w:rFonts w:ascii="Times New Roman" w:hAnsi="Times New Roman" w:cs="Times New Roman"/>
          <w:i/>
          <w:sz w:val="24"/>
          <w:szCs w:val="24"/>
        </w:rPr>
        <w:t>СТ</w:t>
      </w:r>
      <w:r w:rsidRPr="00256C98">
        <w:rPr>
          <w:rFonts w:ascii="Times New Roman" w:hAnsi="Times New Roman" w:cs="Times New Roman"/>
          <w:i/>
          <w:sz w:val="24"/>
          <w:szCs w:val="24"/>
          <w:vertAlign w:val="subscript"/>
        </w:rPr>
        <w:t>СВ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ставка страховых взносов, </w:t>
      </w:r>
      <w:r w:rsidRPr="00FC731D">
        <w:rPr>
          <w:rFonts w:ascii="Times New Roman" w:hAnsi="Times New Roman" w:cs="Times New Roman"/>
          <w:sz w:val="24"/>
          <w:szCs w:val="24"/>
          <w:highlight w:val="red"/>
        </w:rPr>
        <w:t>равная 26%</w:t>
      </w:r>
      <w:r w:rsidRPr="00256C98">
        <w:rPr>
          <w:rFonts w:ascii="Times New Roman" w:hAnsi="Times New Roman" w:cs="Times New Roman"/>
          <w:sz w:val="24"/>
          <w:szCs w:val="24"/>
        </w:rPr>
        <w:t xml:space="preserve"> от фонда заработной пл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>ты в соответствии с [</w:t>
      </w:r>
      <w:r w:rsidR="00FC731D">
        <w:rPr>
          <w:rFonts w:ascii="Times New Roman" w:hAnsi="Times New Roman" w:cs="Times New Roman"/>
          <w:sz w:val="24"/>
          <w:szCs w:val="24"/>
        </w:rPr>
        <w:t>3</w:t>
      </w:r>
      <w:r w:rsidRPr="00256C98">
        <w:rPr>
          <w:rFonts w:ascii="Times New Roman" w:hAnsi="Times New Roman" w:cs="Times New Roman"/>
          <w:sz w:val="24"/>
          <w:szCs w:val="24"/>
        </w:rPr>
        <w:t>].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6C98">
        <w:rPr>
          <w:rFonts w:ascii="Times New Roman" w:hAnsi="Times New Roman" w:cs="Times New Roman"/>
          <w:position w:val="-10"/>
          <w:sz w:val="24"/>
          <w:szCs w:val="24"/>
        </w:rPr>
        <w:object w:dxaOrig="3540" w:dyaOrig="320">
          <v:shape id="_x0000_i1085" type="#_x0000_t75" style="width:177pt;height:15.75pt" o:ole="">
            <v:imagedata r:id="rId41" o:title=""/>
          </v:shape>
          <o:OLEObject Type="Embed" ProgID="Equation.3" ShapeID="_x0000_i1085" DrawAspect="Content" ObjectID="_1503978928" r:id="rId42"/>
        </w:object>
      </w:r>
    </w:p>
    <w:p w:rsidR="00256C98" w:rsidRPr="00256C98" w:rsidRDefault="00256C98" w:rsidP="00256C98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>По мнению специалистов, разработка аналогичного метода с использов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 xml:space="preserve">нием решения от </w:t>
      </w:r>
      <w:proofErr w:type="spellStart"/>
      <w:r w:rsidRPr="00256C98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 xml:space="preserve"> займет два месяца. Следовательно, общий фонд заработной платы при данном варианте составит 13440 рублей, а страховые взносы – 3494,4 руб.</w:t>
      </w:r>
    </w:p>
    <w:p w:rsidR="00256C98" w:rsidRPr="00256C98" w:rsidRDefault="00256C98" w:rsidP="00256C98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>Во время создания ПО идентификации использовалось помещение и об</w:t>
      </w:r>
      <w:r w:rsidRPr="00256C98">
        <w:rPr>
          <w:rFonts w:ascii="Times New Roman" w:hAnsi="Times New Roman" w:cs="Times New Roman"/>
          <w:sz w:val="24"/>
          <w:szCs w:val="24"/>
        </w:rPr>
        <w:t>о</w:t>
      </w:r>
      <w:r w:rsidRPr="00256C98">
        <w:rPr>
          <w:rFonts w:ascii="Times New Roman" w:hAnsi="Times New Roman" w:cs="Times New Roman"/>
          <w:sz w:val="24"/>
          <w:szCs w:val="24"/>
        </w:rPr>
        <w:t>рудование для создания, принадлежащее ГОУ ВПО «БрГУ» сектору информ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>тизации образовательного процесса, таким образом, затраты на обор</w:t>
      </w:r>
      <w:r w:rsidRPr="00256C98">
        <w:rPr>
          <w:rFonts w:ascii="Times New Roman" w:hAnsi="Times New Roman" w:cs="Times New Roman"/>
          <w:sz w:val="24"/>
          <w:szCs w:val="24"/>
        </w:rPr>
        <w:t>у</w:t>
      </w:r>
      <w:r w:rsidRPr="00256C98">
        <w:rPr>
          <w:rFonts w:ascii="Times New Roman" w:hAnsi="Times New Roman" w:cs="Times New Roman"/>
          <w:sz w:val="24"/>
          <w:szCs w:val="24"/>
        </w:rPr>
        <w:t>дование и аренду помещения примем равными 0 руб. Аналогичная стоимость будет при реализации и внедрении метода с использованием аналога.</w:t>
      </w:r>
    </w:p>
    <w:p w:rsidR="00FC731D" w:rsidRPr="00256C98" w:rsidRDefault="00256C98" w:rsidP="00FC731D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>Материальные затраты включают в себя затраты на расходные матери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 xml:space="preserve">лы, необходимые при разработке и внедрении, они сведены в таблице </w:t>
      </w:r>
      <w:r w:rsidR="00FC731D">
        <w:rPr>
          <w:rFonts w:ascii="Times New Roman" w:hAnsi="Times New Roman" w:cs="Times New Roman"/>
          <w:sz w:val="24"/>
          <w:szCs w:val="24"/>
        </w:rPr>
        <w:t>2</w:t>
      </w:r>
      <w:r w:rsidRPr="00256C98">
        <w:rPr>
          <w:rFonts w:ascii="Times New Roman" w:hAnsi="Times New Roman" w:cs="Times New Roman"/>
          <w:sz w:val="24"/>
          <w:szCs w:val="24"/>
        </w:rPr>
        <w:t>. Затраты б</w:t>
      </w:r>
      <w:r w:rsidRPr="00256C98">
        <w:rPr>
          <w:rFonts w:ascii="Times New Roman" w:hAnsi="Times New Roman" w:cs="Times New Roman"/>
          <w:sz w:val="24"/>
          <w:szCs w:val="24"/>
        </w:rPr>
        <w:t>у</w:t>
      </w:r>
      <w:r w:rsidRPr="00256C98">
        <w:rPr>
          <w:rFonts w:ascii="Times New Roman" w:hAnsi="Times New Roman" w:cs="Times New Roman"/>
          <w:sz w:val="24"/>
          <w:szCs w:val="24"/>
        </w:rPr>
        <w:t>дут одинаковы для обоих сравниваемых вариантов.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C731D">
        <w:rPr>
          <w:rFonts w:ascii="Times New Roman" w:hAnsi="Times New Roman" w:cs="Times New Roman"/>
          <w:sz w:val="24"/>
          <w:szCs w:val="24"/>
        </w:rPr>
        <w:t xml:space="preserve">2 </w:t>
      </w:r>
      <w:r w:rsidRPr="00256C98">
        <w:rPr>
          <w:rFonts w:ascii="Times New Roman" w:hAnsi="Times New Roman" w:cs="Times New Roman"/>
          <w:sz w:val="24"/>
          <w:szCs w:val="24"/>
        </w:rPr>
        <w:t>- Материальные затраты</w:t>
      </w:r>
    </w:p>
    <w:tbl>
      <w:tblPr>
        <w:tblW w:w="9662" w:type="dxa"/>
        <w:jc w:val="center"/>
        <w:tblInd w:w="-970" w:type="dxa"/>
        <w:tblLook w:val="0000"/>
      </w:tblPr>
      <w:tblGrid>
        <w:gridCol w:w="4202"/>
        <w:gridCol w:w="1368"/>
        <w:gridCol w:w="1730"/>
        <w:gridCol w:w="867"/>
        <w:gridCol w:w="1495"/>
      </w:tblGrid>
      <w:tr w:rsidR="00256C98" w:rsidRPr="00256C98" w:rsidTr="00992BA4">
        <w:trPr>
          <w:trHeight w:val="912"/>
          <w:jc w:val="center"/>
        </w:trPr>
        <w:tc>
          <w:tcPr>
            <w:tcW w:w="49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риала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Единицы измер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ния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ство единиц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</w:t>
            </w:r>
            <w:proofErr w:type="gramEnd"/>
          </w:p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  <w:r w:rsidRPr="00256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мость, руб.</w:t>
            </w:r>
          </w:p>
        </w:tc>
      </w:tr>
      <w:tr w:rsidR="00256C98" w:rsidRPr="00256C98" w:rsidTr="00992BA4">
        <w:trPr>
          <w:trHeight w:val="314"/>
          <w:jc w:val="center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Бумага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256C98" w:rsidRPr="00256C98" w:rsidTr="00992BA4">
        <w:trPr>
          <w:trHeight w:val="310"/>
          <w:jc w:val="center"/>
        </w:trPr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 xml:space="preserve">Тонер для картриджа принтера HP P2015 (1кг) AQC 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256C98" w:rsidRPr="00256C98" w:rsidTr="00992BA4">
        <w:trPr>
          <w:trHeight w:val="319"/>
          <w:jc w:val="center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  <w:r w:rsidRPr="0025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CD-RW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256C98" w:rsidRPr="00256C98" w:rsidTr="00992BA4">
        <w:trPr>
          <w:trHeight w:val="237"/>
          <w:jc w:val="center"/>
        </w:trPr>
        <w:tc>
          <w:tcPr>
            <w:tcW w:w="8134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960</w:t>
            </w:r>
          </w:p>
        </w:tc>
      </w:tr>
    </w:tbl>
    <w:p w:rsidR="00256C98" w:rsidRPr="00256C98" w:rsidRDefault="00256C98" w:rsidP="00256C98">
      <w:pPr>
        <w:shd w:val="clear" w:color="auto" w:fill="FFFFFF"/>
        <w:ind w:left="2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>Затраты на оплату электроэнергии рассчитываются как сумма стоимостей электроэнергии, потребляемой компьютером в целом, принтером, а также электроэнергии, расходуемой на освещение помещения. Потребляемая электроэне</w:t>
      </w:r>
      <w:r w:rsidRPr="00256C98">
        <w:rPr>
          <w:rFonts w:ascii="Times New Roman" w:hAnsi="Times New Roman" w:cs="Times New Roman"/>
          <w:sz w:val="24"/>
          <w:szCs w:val="24"/>
        </w:rPr>
        <w:t>р</w:t>
      </w:r>
      <w:r w:rsidRPr="00256C98">
        <w:rPr>
          <w:rFonts w:ascii="Times New Roman" w:hAnsi="Times New Roman" w:cs="Times New Roman"/>
          <w:sz w:val="24"/>
          <w:szCs w:val="24"/>
        </w:rPr>
        <w:t xml:space="preserve">гия  представлена в таблице </w:t>
      </w:r>
      <w:r w:rsidR="00FC731D">
        <w:rPr>
          <w:rFonts w:ascii="Times New Roman" w:hAnsi="Times New Roman" w:cs="Times New Roman"/>
          <w:sz w:val="24"/>
          <w:szCs w:val="24"/>
        </w:rPr>
        <w:t>3</w:t>
      </w:r>
      <w:r w:rsidRPr="00256C98">
        <w:rPr>
          <w:rFonts w:ascii="Times New Roman" w:hAnsi="Times New Roman" w:cs="Times New Roman"/>
          <w:sz w:val="24"/>
          <w:szCs w:val="24"/>
        </w:rPr>
        <w:t>.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C731D">
        <w:rPr>
          <w:rFonts w:ascii="Times New Roman" w:hAnsi="Times New Roman" w:cs="Times New Roman"/>
          <w:sz w:val="24"/>
          <w:szCs w:val="24"/>
        </w:rPr>
        <w:t>3</w:t>
      </w:r>
      <w:r w:rsidRPr="00256C98">
        <w:rPr>
          <w:rFonts w:ascii="Times New Roman" w:hAnsi="Times New Roman" w:cs="Times New Roman"/>
          <w:sz w:val="24"/>
          <w:szCs w:val="24"/>
        </w:rPr>
        <w:t xml:space="preserve"> - Потребляемая электроэне</w:t>
      </w:r>
      <w:r w:rsidRPr="00256C98">
        <w:rPr>
          <w:rFonts w:ascii="Times New Roman" w:hAnsi="Times New Roman" w:cs="Times New Roman"/>
          <w:sz w:val="24"/>
          <w:szCs w:val="24"/>
        </w:rPr>
        <w:t>р</w:t>
      </w:r>
      <w:r w:rsidRPr="00256C98">
        <w:rPr>
          <w:rFonts w:ascii="Times New Roman" w:hAnsi="Times New Roman" w:cs="Times New Roman"/>
          <w:sz w:val="24"/>
          <w:szCs w:val="24"/>
        </w:rPr>
        <w:t>гия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00"/>
        <w:gridCol w:w="2130"/>
        <w:gridCol w:w="2656"/>
        <w:gridCol w:w="2477"/>
      </w:tblGrid>
      <w:tr w:rsidR="00256C98" w:rsidRPr="00256C98" w:rsidTr="00992BA4">
        <w:tc>
          <w:tcPr>
            <w:tcW w:w="2210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138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Потребляемая электр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энергия, кВт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час</w:t>
            </w:r>
          </w:p>
        </w:tc>
        <w:tc>
          <w:tcPr>
            <w:tcW w:w="2740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За весь период раб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ты (60 рабочих дней, 8 ч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совой рабочий день) - 480 часов, кВт</w:t>
            </w:r>
          </w:p>
        </w:tc>
        <w:tc>
          <w:tcPr>
            <w:tcW w:w="2551" w:type="dxa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За весь период р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боты (40 рабочих дней, 8 часовой р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бочий день) - 320 часов, кВт</w:t>
            </w:r>
          </w:p>
        </w:tc>
      </w:tr>
      <w:tr w:rsidR="00256C98" w:rsidRPr="00256C98" w:rsidTr="00992BA4">
        <w:tc>
          <w:tcPr>
            <w:tcW w:w="2210" w:type="dxa"/>
          </w:tcPr>
          <w:p w:rsidR="00256C98" w:rsidRPr="00256C98" w:rsidRDefault="00256C98" w:rsidP="00992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Системный блок</w:t>
            </w:r>
          </w:p>
        </w:tc>
        <w:tc>
          <w:tcPr>
            <w:tcW w:w="2138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740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1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</w:tr>
      <w:tr w:rsidR="00256C98" w:rsidRPr="00256C98" w:rsidTr="00992BA4">
        <w:tc>
          <w:tcPr>
            <w:tcW w:w="2210" w:type="dxa"/>
          </w:tcPr>
          <w:p w:rsidR="00256C98" w:rsidRPr="00256C98" w:rsidRDefault="00256C98" w:rsidP="00992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2138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2740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18,24</w:t>
            </w:r>
          </w:p>
        </w:tc>
        <w:tc>
          <w:tcPr>
            <w:tcW w:w="2551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12,16</w:t>
            </w:r>
          </w:p>
        </w:tc>
      </w:tr>
      <w:tr w:rsidR="00256C98" w:rsidRPr="00256C98" w:rsidTr="00992BA4">
        <w:tc>
          <w:tcPr>
            <w:tcW w:w="2210" w:type="dxa"/>
          </w:tcPr>
          <w:p w:rsidR="00256C98" w:rsidRPr="00256C98" w:rsidRDefault="00256C98" w:rsidP="00992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2138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0,350</w:t>
            </w:r>
          </w:p>
        </w:tc>
        <w:tc>
          <w:tcPr>
            <w:tcW w:w="2740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551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256C98" w:rsidRPr="00256C98" w:rsidTr="00992BA4">
        <w:tc>
          <w:tcPr>
            <w:tcW w:w="2210" w:type="dxa"/>
          </w:tcPr>
          <w:p w:rsidR="00256C98" w:rsidRPr="00256C98" w:rsidRDefault="00256C98" w:rsidP="00992B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Освещение (6 люмине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центных ламп)</w:t>
            </w:r>
          </w:p>
        </w:tc>
        <w:tc>
          <w:tcPr>
            <w:tcW w:w="2138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0,264</w:t>
            </w:r>
          </w:p>
        </w:tc>
        <w:tc>
          <w:tcPr>
            <w:tcW w:w="2740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126,72</w:t>
            </w:r>
          </w:p>
        </w:tc>
        <w:tc>
          <w:tcPr>
            <w:tcW w:w="2551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84,48</w:t>
            </w:r>
          </w:p>
        </w:tc>
      </w:tr>
      <w:tr w:rsidR="00256C98" w:rsidRPr="00256C98" w:rsidTr="00992BA4">
        <w:tc>
          <w:tcPr>
            <w:tcW w:w="2210" w:type="dxa"/>
          </w:tcPr>
          <w:p w:rsidR="00256C98" w:rsidRPr="00256C98" w:rsidRDefault="00256C98" w:rsidP="00992B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38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1,152</w:t>
            </w:r>
          </w:p>
        </w:tc>
        <w:tc>
          <w:tcPr>
            <w:tcW w:w="2740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552,96</w:t>
            </w:r>
          </w:p>
        </w:tc>
        <w:tc>
          <w:tcPr>
            <w:tcW w:w="2551" w:type="dxa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368,64</w:t>
            </w:r>
          </w:p>
        </w:tc>
      </w:tr>
    </w:tbl>
    <w:p w:rsidR="00256C98" w:rsidRPr="00256C98" w:rsidRDefault="00256C98" w:rsidP="00256C98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>Таким образом, затраты на оплату электроэнергии составят при первом и втором вариантах: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position w:val="-10"/>
          <w:sz w:val="24"/>
          <w:szCs w:val="24"/>
        </w:rPr>
        <w:object w:dxaOrig="3960" w:dyaOrig="320">
          <v:shape id="_x0000_i1086" type="#_x0000_t75" style="width:198pt;height:15.75pt" o:ole="">
            <v:imagedata r:id="rId43" o:title=""/>
          </v:shape>
          <o:OLEObject Type="Embed" ProgID="Equation.3" ShapeID="_x0000_i1086" DrawAspect="Content" ObjectID="_1503978929" r:id="rId44"/>
        </w:object>
      </w:r>
      <w:r w:rsidRPr="00256C98">
        <w:rPr>
          <w:rFonts w:ascii="Times New Roman" w:hAnsi="Times New Roman" w:cs="Times New Roman"/>
          <w:sz w:val="24"/>
          <w:szCs w:val="24"/>
        </w:rPr>
        <w:t xml:space="preserve"> и </w:t>
      </w:r>
      <w:r w:rsidRPr="00256C98">
        <w:rPr>
          <w:rFonts w:ascii="Times New Roman" w:hAnsi="Times New Roman" w:cs="Times New Roman"/>
          <w:position w:val="-10"/>
          <w:sz w:val="24"/>
          <w:szCs w:val="24"/>
        </w:rPr>
        <w:object w:dxaOrig="3960" w:dyaOrig="320">
          <v:shape id="_x0000_i1087" type="#_x0000_t75" style="width:198pt;height:15.75pt" o:ole="">
            <v:imagedata r:id="rId45" o:title=""/>
          </v:shape>
          <o:OLEObject Type="Embed" ProgID="Equation.3" ShapeID="_x0000_i1087" DrawAspect="Content" ObjectID="_1503978930" r:id="rId46"/>
        </w:object>
      </w:r>
    </w:p>
    <w:p w:rsidR="00256C98" w:rsidRPr="00256C98" w:rsidRDefault="00256C98" w:rsidP="00256C98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6C98">
        <w:rPr>
          <w:rFonts w:ascii="Times New Roman" w:hAnsi="Times New Roman" w:cs="Times New Roman"/>
          <w:sz w:val="24"/>
          <w:szCs w:val="24"/>
        </w:rPr>
        <w:t xml:space="preserve">Покупка средств программного обеспечения, необходимых для разработки метода и внедрения ПО на его основе включает: в первом случае покупку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Named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ESD</w:t>
      </w:r>
      <w:r w:rsidRPr="00256C98">
        <w:rPr>
          <w:rFonts w:ascii="Times New Roman" w:hAnsi="Times New Roman" w:cs="Times New Roman"/>
          <w:sz w:val="24"/>
          <w:szCs w:val="24"/>
        </w:rPr>
        <w:t xml:space="preserve"> стоимостью 34528,70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56C98">
        <w:rPr>
          <w:rFonts w:ascii="Times New Roman" w:hAnsi="Times New Roman" w:cs="Times New Roman"/>
          <w:sz w:val="24"/>
          <w:szCs w:val="24"/>
        </w:rPr>
        <w:t xml:space="preserve">руб. в соответствии с [4], во втором случае покупку </w:t>
      </w:r>
      <w:proofErr w:type="spellStart"/>
      <w:r w:rsidRPr="00256C98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 xml:space="preserve"> MATLAB 7.10 стоимостью 91468,75 руб. и </w:t>
      </w:r>
      <w:proofErr w:type="spellStart"/>
      <w:r w:rsidRPr="00256C98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C98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 xml:space="preserve"> 7.5 стоимостью 137203,13 руб. в соответствии с [</w:t>
      </w:r>
      <w:r w:rsidR="00FC731D">
        <w:rPr>
          <w:rFonts w:ascii="Times New Roman" w:hAnsi="Times New Roman" w:cs="Times New Roman"/>
          <w:sz w:val="24"/>
          <w:szCs w:val="24"/>
        </w:rPr>
        <w:t>5</w:t>
      </w:r>
      <w:r w:rsidRPr="00256C98">
        <w:rPr>
          <w:rFonts w:ascii="Times New Roman" w:hAnsi="Times New Roman" w:cs="Times New Roman"/>
          <w:sz w:val="24"/>
          <w:szCs w:val="24"/>
        </w:rPr>
        <w:t>].</w:t>
      </w:r>
      <w:proofErr w:type="gramEnd"/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6C98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256C98">
        <w:rPr>
          <w:rFonts w:ascii="Times New Roman" w:hAnsi="Times New Roman" w:cs="Times New Roman"/>
          <w:sz w:val="24"/>
          <w:szCs w:val="24"/>
        </w:rPr>
        <w:t>3 была приобрет</w:t>
      </w:r>
      <w:r w:rsidRPr="00256C98">
        <w:rPr>
          <w:rFonts w:ascii="Times New Roman" w:hAnsi="Times New Roman" w:cs="Times New Roman"/>
          <w:sz w:val="24"/>
          <w:szCs w:val="24"/>
        </w:rPr>
        <w:t>е</w:t>
      </w:r>
      <w:r w:rsidRPr="00256C98">
        <w:rPr>
          <w:rFonts w:ascii="Times New Roman" w:hAnsi="Times New Roman" w:cs="Times New Roman"/>
          <w:sz w:val="24"/>
          <w:szCs w:val="24"/>
        </w:rPr>
        <w:t xml:space="preserve">на ранее, а офисный пакет </w:t>
      </w:r>
      <w:proofErr w:type="spellStart"/>
      <w:r w:rsidRPr="00256C98">
        <w:rPr>
          <w:rFonts w:ascii="Times New Roman" w:hAnsi="Times New Roman" w:cs="Times New Roman"/>
          <w:sz w:val="24"/>
          <w:szCs w:val="24"/>
          <w:lang w:val="en-US"/>
        </w:rPr>
        <w:t>OpenOffice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>.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256C98">
        <w:rPr>
          <w:rFonts w:ascii="Times New Roman" w:hAnsi="Times New Roman" w:cs="Times New Roman"/>
          <w:sz w:val="24"/>
          <w:szCs w:val="24"/>
        </w:rPr>
        <w:t xml:space="preserve"> 3.2 является бесплатно распростр</w:t>
      </w:r>
      <w:r w:rsidRPr="00256C98">
        <w:rPr>
          <w:rFonts w:ascii="Times New Roman" w:hAnsi="Times New Roman" w:cs="Times New Roman"/>
          <w:sz w:val="24"/>
          <w:szCs w:val="24"/>
        </w:rPr>
        <w:t>а</w:t>
      </w:r>
      <w:r w:rsidRPr="00256C98">
        <w:rPr>
          <w:rFonts w:ascii="Times New Roman" w:hAnsi="Times New Roman" w:cs="Times New Roman"/>
          <w:sz w:val="24"/>
          <w:szCs w:val="24"/>
        </w:rPr>
        <w:t>няемым (свободным) ПО, поэтому их стоимость в общей сумме затрат 0 руб. Общая сумма затрат на средства разработки составит: в первом случае –  34528,70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256C98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256C98">
        <w:rPr>
          <w:rFonts w:ascii="Times New Roman" w:hAnsi="Times New Roman" w:cs="Times New Roman"/>
          <w:sz w:val="24"/>
          <w:szCs w:val="24"/>
        </w:rPr>
        <w:t>, а во втором – 228671,88 руб.</w:t>
      </w:r>
      <w:proofErr w:type="gramEnd"/>
    </w:p>
    <w:p w:rsidR="00256C98" w:rsidRPr="00256C98" w:rsidRDefault="00256C98" w:rsidP="00FC731D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lastRenderedPageBreak/>
        <w:t xml:space="preserve">Внедряя </w:t>
      </w:r>
      <w:proofErr w:type="gramStart"/>
      <w:r w:rsidRPr="00256C9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6C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56C98">
        <w:rPr>
          <w:rFonts w:ascii="Times New Roman" w:hAnsi="Times New Roman" w:cs="Times New Roman"/>
          <w:sz w:val="24"/>
          <w:szCs w:val="24"/>
        </w:rPr>
        <w:t xml:space="preserve"> учебных целей, необходимо приобрести компьютерную техн</w:t>
      </w:r>
      <w:r w:rsidRPr="00256C98">
        <w:rPr>
          <w:rFonts w:ascii="Times New Roman" w:hAnsi="Times New Roman" w:cs="Times New Roman"/>
          <w:sz w:val="24"/>
          <w:szCs w:val="24"/>
        </w:rPr>
        <w:t>и</w:t>
      </w:r>
      <w:r w:rsidRPr="00256C98">
        <w:rPr>
          <w:rFonts w:ascii="Times New Roman" w:hAnsi="Times New Roman" w:cs="Times New Roman"/>
          <w:sz w:val="24"/>
          <w:szCs w:val="24"/>
        </w:rPr>
        <w:t>ку. Потребуется один ПК (системный блок (включая клавиатуру и мышь), м</w:t>
      </w:r>
      <w:r w:rsidRPr="00256C98">
        <w:rPr>
          <w:rFonts w:ascii="Times New Roman" w:hAnsi="Times New Roman" w:cs="Times New Roman"/>
          <w:sz w:val="24"/>
          <w:szCs w:val="24"/>
        </w:rPr>
        <w:t>о</w:t>
      </w:r>
      <w:r w:rsidRPr="00256C98">
        <w:rPr>
          <w:rFonts w:ascii="Times New Roman" w:hAnsi="Times New Roman" w:cs="Times New Roman"/>
          <w:sz w:val="24"/>
          <w:szCs w:val="24"/>
        </w:rPr>
        <w:t>нитор) и принтер общей стоимостью – 41520 руб.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При разработке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IdentNDO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56C98">
        <w:rPr>
          <w:rFonts w:ascii="Times New Roman" w:hAnsi="Times New Roman" w:cs="Times New Roman"/>
          <w:sz w:val="24"/>
          <w:szCs w:val="24"/>
        </w:rPr>
        <w:t xml:space="preserve">.1.0 было использовано не лимитированное подключение к сети Интернет стоимостью 500 руб./Мес. Таким образом, </w:t>
      </w:r>
      <w:r w:rsidRPr="00256C98">
        <w:rPr>
          <w:rFonts w:ascii="Times New Roman" w:hAnsi="Times New Roman" w:cs="Times New Roman"/>
          <w:spacing w:val="-10"/>
          <w:sz w:val="24"/>
          <w:szCs w:val="24"/>
        </w:rPr>
        <w:t>стоимость использования сети Интернет в течение трех месяцев составит 1500 руб.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bCs/>
          <w:sz w:val="24"/>
          <w:szCs w:val="24"/>
        </w:rPr>
        <w:t xml:space="preserve">Капитальные затраты на создание </w:t>
      </w:r>
      <w:r w:rsidRPr="00256C98">
        <w:rPr>
          <w:rFonts w:ascii="Times New Roman" w:hAnsi="Times New Roman" w:cs="Times New Roman"/>
          <w:sz w:val="24"/>
          <w:szCs w:val="24"/>
        </w:rPr>
        <w:t xml:space="preserve">и внедрение ПО, </w:t>
      </w:r>
      <w:proofErr w:type="gramStart"/>
      <w:r w:rsidRPr="00256C98">
        <w:rPr>
          <w:rFonts w:ascii="Times New Roman" w:hAnsi="Times New Roman" w:cs="Times New Roman"/>
          <w:sz w:val="24"/>
          <w:szCs w:val="24"/>
        </w:rPr>
        <w:t>реализующего</w:t>
      </w:r>
      <w:proofErr w:type="gramEnd"/>
      <w:r w:rsidRPr="00256C98">
        <w:rPr>
          <w:rFonts w:ascii="Times New Roman" w:hAnsi="Times New Roman" w:cs="Times New Roman"/>
          <w:sz w:val="24"/>
          <w:szCs w:val="24"/>
        </w:rPr>
        <w:t xml:space="preserve"> метод идентификации с использованием сравниваемых вариантов сведены в таблице </w:t>
      </w:r>
      <w:r w:rsidR="00FC731D">
        <w:rPr>
          <w:rFonts w:ascii="Times New Roman" w:hAnsi="Times New Roman" w:cs="Times New Roman"/>
          <w:sz w:val="24"/>
          <w:szCs w:val="24"/>
        </w:rPr>
        <w:t>4</w:t>
      </w:r>
    </w:p>
    <w:p w:rsidR="00256C98" w:rsidRPr="00256C98" w:rsidRDefault="00256C98" w:rsidP="00256C9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C731D">
        <w:rPr>
          <w:rFonts w:ascii="Times New Roman" w:hAnsi="Times New Roman" w:cs="Times New Roman"/>
          <w:sz w:val="24"/>
          <w:szCs w:val="24"/>
        </w:rPr>
        <w:t>4</w:t>
      </w:r>
      <w:r w:rsidRPr="00256C98">
        <w:rPr>
          <w:rFonts w:ascii="Times New Roman" w:hAnsi="Times New Roman" w:cs="Times New Roman"/>
          <w:sz w:val="24"/>
          <w:szCs w:val="24"/>
        </w:rPr>
        <w:t xml:space="preserve"> – Сравнение к</w:t>
      </w:r>
      <w:r w:rsidRPr="00256C98">
        <w:rPr>
          <w:rFonts w:ascii="Times New Roman" w:hAnsi="Times New Roman" w:cs="Times New Roman"/>
          <w:bCs/>
          <w:sz w:val="24"/>
          <w:szCs w:val="24"/>
        </w:rPr>
        <w:t xml:space="preserve">апитальных затрат </w:t>
      </w:r>
    </w:p>
    <w:tbl>
      <w:tblPr>
        <w:tblW w:w="4898" w:type="pct"/>
        <w:jc w:val="center"/>
        <w:tblInd w:w="-1062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4003"/>
        <w:gridCol w:w="2098"/>
        <w:gridCol w:w="3230"/>
      </w:tblGrid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затрат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IdentNDO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.1.0. Сумма, руб.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Решение </w:t>
            </w:r>
            <w:proofErr w:type="spellStart"/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56C98" w:rsidRPr="00256C98" w:rsidRDefault="00256C98" w:rsidP="00992BA4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Су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ма, руб.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Общий фонд заработной платы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shd w:val="clear" w:color="auto" w:fill="FFFFFF"/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20160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shd w:val="clear" w:color="auto" w:fill="FFFFFF"/>
              <w:ind w:firstLine="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eastAsia="SimSun" w:hAnsi="Times New Roman" w:cs="Times New Roman"/>
                <w:sz w:val="24"/>
                <w:szCs w:val="24"/>
              </w:rPr>
              <w:t>13440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Страховые взносы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5241,6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3494,4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Материальные затраты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344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Затраты на электроэне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гию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475,55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317,03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Стоимость сре</w:t>
            </w:r>
            <w:proofErr w:type="gramStart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дств пр</w:t>
            </w:r>
            <w:proofErr w:type="gramEnd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граммного обеспеч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ния: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-Borland Delphi Professional Named ESD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34528,70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MathWorks</w:t>
            </w:r>
            <w:proofErr w:type="spellEnd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 xml:space="preserve"> MATLAB 7.10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91468,75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410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MathWorks</w:t>
            </w:r>
            <w:proofErr w:type="spellEnd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Simulink</w:t>
            </w:r>
            <w:proofErr w:type="spellEnd"/>
            <w:r w:rsidRPr="00256C98">
              <w:rPr>
                <w:rFonts w:ascii="Times New Roman" w:hAnsi="Times New Roman" w:cs="Times New Roman"/>
                <w:sz w:val="24"/>
                <w:szCs w:val="24"/>
              </w:rPr>
              <w:t xml:space="preserve"> 7.5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137203,13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402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Основное оборудование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41520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41520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295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Интернет 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256C98" w:rsidRPr="00256C98" w:rsidTr="00992BA4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21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104385,85</w:t>
            </w:r>
          </w:p>
        </w:tc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56C98" w:rsidRPr="00256C98" w:rsidRDefault="00256C98" w:rsidP="00992BA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289903,31</w:t>
            </w:r>
          </w:p>
        </w:tc>
      </w:tr>
    </w:tbl>
    <w:p w:rsidR="00256C98" w:rsidRDefault="00256C98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256C98">
        <w:rPr>
          <w:rFonts w:ascii="Times New Roman" w:hAnsi="Times New Roman" w:cs="Times New Roman"/>
          <w:sz w:val="24"/>
          <w:szCs w:val="24"/>
        </w:rPr>
        <w:t xml:space="preserve">Таким образом, экономия при разработке и внедрении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IdentNDO</w:t>
      </w:r>
      <w:r w:rsidRPr="00256C98">
        <w:rPr>
          <w:rFonts w:ascii="Times New Roman" w:hAnsi="Times New Roman" w:cs="Times New Roman"/>
          <w:sz w:val="24"/>
          <w:szCs w:val="24"/>
        </w:rPr>
        <w:t xml:space="preserve"> </w:t>
      </w:r>
      <w:r w:rsidRPr="00256C9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56C98">
        <w:rPr>
          <w:rFonts w:ascii="Times New Roman" w:hAnsi="Times New Roman" w:cs="Times New Roman"/>
          <w:sz w:val="24"/>
          <w:szCs w:val="24"/>
        </w:rPr>
        <w:t>.1.0 по сравнению с аналогом составит 185517,46 руб.</w:t>
      </w:r>
    </w:p>
    <w:p w:rsidR="00FC731D" w:rsidRDefault="00FC7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731D" w:rsidRDefault="00FC731D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FC731D" w:rsidRPr="00FC731D" w:rsidRDefault="00FC731D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31D">
        <w:rPr>
          <w:rFonts w:ascii="Times New Roman" w:hAnsi="Times New Roman" w:cs="Times New Roman"/>
          <w:b/>
          <w:i/>
          <w:sz w:val="24"/>
          <w:szCs w:val="24"/>
        </w:rPr>
        <w:t>Список использованных источников</w:t>
      </w:r>
    </w:p>
    <w:p w:rsidR="00FC731D" w:rsidRPr="00FC731D" w:rsidRDefault="00FC731D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C731D">
        <w:rPr>
          <w:rFonts w:ascii="Times New Roman" w:hAnsi="Times New Roman" w:cs="Times New Roman"/>
          <w:sz w:val="24"/>
          <w:szCs w:val="24"/>
        </w:rPr>
        <w:t>Российская Федерация. Трудовой Кодекс Российской Федерации от 30.12.2001 N 197-ФЗ (принят ГД ФС РФ 21.12.2001, ред. от 25.11.2009)</w:t>
      </w:r>
    </w:p>
    <w:p w:rsidR="00256C98" w:rsidRDefault="00FC731D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C731D">
        <w:rPr>
          <w:rFonts w:ascii="Times New Roman" w:hAnsi="Times New Roman" w:cs="Times New Roman"/>
          <w:sz w:val="24"/>
          <w:szCs w:val="24"/>
        </w:rPr>
        <w:t xml:space="preserve">Российская Федерация. Федеральный закон от 19 февраля </w:t>
      </w:r>
      <w:smartTag w:uri="urn:schemas-microsoft-com:office:smarttags" w:element="metricconverter">
        <w:smartTagPr>
          <w:attr w:name="ProductID" w:val="1993 г"/>
        </w:smartTagPr>
        <w:r w:rsidRPr="00FC731D">
          <w:rPr>
            <w:rFonts w:ascii="Times New Roman" w:hAnsi="Times New Roman" w:cs="Times New Roman"/>
            <w:sz w:val="24"/>
            <w:szCs w:val="24"/>
          </w:rPr>
          <w:t>1993 г</w:t>
        </w:r>
      </w:smartTag>
      <w:r w:rsidRPr="00FC731D">
        <w:rPr>
          <w:rFonts w:ascii="Times New Roman" w:hAnsi="Times New Roman" w:cs="Times New Roman"/>
          <w:sz w:val="24"/>
          <w:szCs w:val="24"/>
        </w:rPr>
        <w:t>. N 4520-1 "О государственных гарантиях и компенсациях для лиц, раб</w:t>
      </w:r>
      <w:r w:rsidRPr="00FC731D">
        <w:rPr>
          <w:rFonts w:ascii="Times New Roman" w:hAnsi="Times New Roman" w:cs="Times New Roman"/>
          <w:sz w:val="24"/>
          <w:szCs w:val="24"/>
        </w:rPr>
        <w:t>о</w:t>
      </w:r>
      <w:r w:rsidRPr="00FC731D">
        <w:rPr>
          <w:rFonts w:ascii="Times New Roman" w:hAnsi="Times New Roman" w:cs="Times New Roman"/>
          <w:sz w:val="24"/>
          <w:szCs w:val="24"/>
        </w:rPr>
        <w:t>тающих и проживающих в районах Крайнего Севера и приравненных к ним местн</w:t>
      </w:r>
      <w:r w:rsidRPr="00FC731D">
        <w:rPr>
          <w:rFonts w:ascii="Times New Roman" w:hAnsi="Times New Roman" w:cs="Times New Roman"/>
          <w:sz w:val="24"/>
          <w:szCs w:val="24"/>
        </w:rPr>
        <w:t>о</w:t>
      </w:r>
      <w:r w:rsidRPr="00FC731D">
        <w:rPr>
          <w:rFonts w:ascii="Times New Roman" w:hAnsi="Times New Roman" w:cs="Times New Roman"/>
          <w:sz w:val="24"/>
          <w:szCs w:val="24"/>
        </w:rPr>
        <w:t xml:space="preserve">стях"  (в ред. Закона РФ от 02.06.1993 N 5082-1; </w:t>
      </w:r>
      <w:proofErr w:type="gramStart"/>
      <w:r w:rsidRPr="00FC731D">
        <w:rPr>
          <w:rFonts w:ascii="Times New Roman" w:hAnsi="Times New Roman" w:cs="Times New Roman"/>
          <w:sz w:val="24"/>
          <w:szCs w:val="24"/>
        </w:rPr>
        <w:t xml:space="preserve">Федеральных законов от 08.01.1998 N 4-ФЗ, от 27.12.2000 N 151-ФЗ, от 06.08.2001 N 110-ФЗ, от 30.12.2001 N 196-ФЗ, от 10.01.2003 N 8-ФЗ, от 22.08.2004 N 122-ФЗ (ред. 29.12.2004), от 24.07.2009 N 213-ФЗ, с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изм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>., внесенными Указом Президента РФ от 24.12.1993 N 2288)</w:t>
      </w:r>
      <w:proofErr w:type="gramEnd"/>
    </w:p>
    <w:p w:rsidR="00FC731D" w:rsidRDefault="00FC731D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C731D">
        <w:rPr>
          <w:rFonts w:ascii="Times New Roman" w:hAnsi="Times New Roman" w:cs="Times New Roman"/>
          <w:sz w:val="24"/>
          <w:szCs w:val="24"/>
        </w:rPr>
        <w:t xml:space="preserve">Российская Федерация. </w:t>
      </w:r>
      <w:proofErr w:type="gramStart"/>
      <w:r w:rsidRPr="00FC731D">
        <w:rPr>
          <w:rFonts w:ascii="Times New Roman" w:hAnsi="Times New Roman" w:cs="Times New Roman"/>
          <w:sz w:val="24"/>
          <w:szCs w:val="24"/>
        </w:rPr>
        <w:t xml:space="preserve">Федеральный закон от 24 июля </w:t>
      </w:r>
      <w:smartTag w:uri="urn:schemas-microsoft-com:office:smarttags" w:element="metricconverter">
        <w:smartTagPr>
          <w:attr w:name="ProductID" w:val="2009 г"/>
        </w:smartTagPr>
        <w:r w:rsidRPr="00FC731D">
          <w:rPr>
            <w:rFonts w:ascii="Times New Roman" w:hAnsi="Times New Roman" w:cs="Times New Roman"/>
            <w:sz w:val="24"/>
            <w:szCs w:val="24"/>
          </w:rPr>
          <w:t>2009 г</w:t>
        </w:r>
      </w:smartTag>
      <w:r w:rsidRPr="00FC731D">
        <w:rPr>
          <w:rFonts w:ascii="Times New Roman" w:hAnsi="Times New Roman" w:cs="Times New Roman"/>
          <w:sz w:val="24"/>
          <w:szCs w:val="24"/>
        </w:rPr>
        <w:t>. № 212-ФЗ " О страховых взносах в Пенсионный фонд Российской Федерации, Фонд социального страхования Российской Федерации, Федеральный фонд обяз</w:t>
      </w:r>
      <w:r w:rsidRPr="00FC731D">
        <w:rPr>
          <w:rFonts w:ascii="Times New Roman" w:hAnsi="Times New Roman" w:cs="Times New Roman"/>
          <w:sz w:val="24"/>
          <w:szCs w:val="24"/>
        </w:rPr>
        <w:t>а</w:t>
      </w:r>
      <w:r w:rsidRPr="00FC731D">
        <w:rPr>
          <w:rFonts w:ascii="Times New Roman" w:hAnsi="Times New Roman" w:cs="Times New Roman"/>
          <w:sz w:val="24"/>
          <w:szCs w:val="24"/>
        </w:rPr>
        <w:t>тельного медицинского страхования и территориальные фонды обязательного медици</w:t>
      </w:r>
      <w:r w:rsidRPr="00FC731D">
        <w:rPr>
          <w:rFonts w:ascii="Times New Roman" w:hAnsi="Times New Roman" w:cs="Times New Roman"/>
          <w:sz w:val="24"/>
          <w:szCs w:val="24"/>
        </w:rPr>
        <w:t>н</w:t>
      </w:r>
      <w:r w:rsidRPr="00FC731D">
        <w:rPr>
          <w:rFonts w:ascii="Times New Roman" w:hAnsi="Times New Roman" w:cs="Times New Roman"/>
          <w:sz w:val="24"/>
          <w:szCs w:val="24"/>
        </w:rPr>
        <w:t xml:space="preserve">ского страхования" (в ред. Федерального закона от 25.11.2009 N 276-ФЗ, с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изм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>., внесенными Федеральным законом от 10.05.2010 N 85-ФЗ)</w:t>
      </w:r>
      <w:proofErr w:type="gramEnd"/>
    </w:p>
    <w:p w:rsidR="00FC731D" w:rsidRDefault="00FC731D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C731D">
        <w:rPr>
          <w:rFonts w:ascii="Times New Roman" w:hAnsi="Times New Roman" w:cs="Times New Roman"/>
          <w:sz w:val="24"/>
          <w:szCs w:val="24"/>
        </w:rPr>
        <w:t xml:space="preserve">Программное обеспечение в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Softkey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>, купить лицензионные программы [Эле</w:t>
      </w:r>
      <w:r w:rsidRPr="00FC731D">
        <w:rPr>
          <w:rFonts w:ascii="Times New Roman" w:hAnsi="Times New Roman" w:cs="Times New Roman"/>
          <w:sz w:val="24"/>
          <w:szCs w:val="24"/>
        </w:rPr>
        <w:t>к</w:t>
      </w:r>
      <w:r w:rsidRPr="00FC731D">
        <w:rPr>
          <w:rFonts w:ascii="Times New Roman" w:hAnsi="Times New Roman" w:cs="Times New Roman"/>
          <w:sz w:val="24"/>
          <w:szCs w:val="24"/>
        </w:rPr>
        <w:t xml:space="preserve">тронный ресурс]: официальный сайт компании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Softkey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 xml:space="preserve">.- Режим доступа: http://www.softkey.ru.–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>. с экрана.</w:t>
      </w:r>
    </w:p>
    <w:p w:rsidR="00FC731D" w:rsidRPr="00FC731D" w:rsidRDefault="00FC731D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31D">
        <w:rPr>
          <w:rFonts w:ascii="Times New Roman" w:hAnsi="Times New Roman" w:cs="Times New Roman"/>
          <w:sz w:val="24"/>
          <w:szCs w:val="24"/>
        </w:rPr>
        <w:t>Softline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 xml:space="preserve"> - Программное обеспечение, лицензирование, обучение, ко</w:t>
      </w:r>
      <w:r w:rsidRPr="00FC731D">
        <w:rPr>
          <w:rFonts w:ascii="Times New Roman" w:hAnsi="Times New Roman" w:cs="Times New Roman"/>
          <w:sz w:val="24"/>
          <w:szCs w:val="24"/>
        </w:rPr>
        <w:t>н</w:t>
      </w:r>
      <w:r w:rsidRPr="00FC731D">
        <w:rPr>
          <w:rFonts w:ascii="Times New Roman" w:hAnsi="Times New Roman" w:cs="Times New Roman"/>
          <w:sz w:val="24"/>
          <w:szCs w:val="24"/>
        </w:rPr>
        <w:t xml:space="preserve">салтинг [Электронный ресурс]: официальный сайт компании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Softline</w:t>
      </w:r>
      <w:proofErr w:type="spellEnd"/>
      <w:proofErr w:type="gramStart"/>
      <w:r w:rsidRPr="00FC731D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FC7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Режим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дост</w:t>
      </w:r>
      <w:r w:rsidRPr="00FC731D">
        <w:rPr>
          <w:rFonts w:ascii="Times New Roman" w:hAnsi="Times New Roman" w:cs="Times New Roman"/>
          <w:sz w:val="24"/>
          <w:szCs w:val="24"/>
        </w:rPr>
        <w:t>у</w:t>
      </w:r>
      <w:r w:rsidRPr="00FC731D">
        <w:rPr>
          <w:rFonts w:ascii="Times New Roman" w:hAnsi="Times New Roman" w:cs="Times New Roman"/>
          <w:sz w:val="24"/>
          <w:szCs w:val="24"/>
        </w:rPr>
        <w:t>па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 xml:space="preserve">: http://www.softline.ru.–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 xml:space="preserve">. с </w:t>
      </w:r>
      <w:proofErr w:type="spellStart"/>
      <w:r w:rsidRPr="00FC731D">
        <w:rPr>
          <w:rFonts w:ascii="Times New Roman" w:hAnsi="Times New Roman" w:cs="Times New Roman"/>
          <w:sz w:val="24"/>
          <w:szCs w:val="24"/>
        </w:rPr>
        <w:t>экрана</w:t>
      </w:r>
      <w:proofErr w:type="spellEnd"/>
      <w:r w:rsidRPr="00FC731D">
        <w:rPr>
          <w:rFonts w:ascii="Times New Roman" w:hAnsi="Times New Roman" w:cs="Times New Roman"/>
          <w:sz w:val="24"/>
          <w:szCs w:val="24"/>
        </w:rPr>
        <w:t>.</w:t>
      </w:r>
    </w:p>
    <w:p w:rsidR="00FC731D" w:rsidRPr="00FC731D" w:rsidRDefault="00FC731D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 w:cs="Times New Roman"/>
          <w:sz w:val="24"/>
          <w:szCs w:val="24"/>
        </w:rPr>
      </w:pPr>
    </w:p>
    <w:p w:rsidR="00FC731D" w:rsidRPr="00FC731D" w:rsidRDefault="00FC731D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 w:cs="Times New Roman"/>
          <w:sz w:val="24"/>
          <w:szCs w:val="24"/>
        </w:rPr>
      </w:pPr>
    </w:p>
    <w:p w:rsidR="00FC731D" w:rsidRPr="005567B1" w:rsidRDefault="00FC731D" w:rsidP="00FC731D">
      <w:pPr>
        <w:rPr>
          <w:rFonts w:ascii="Times New Roman" w:hAnsi="Times New Roman"/>
          <w:b/>
          <w:sz w:val="28"/>
          <w:szCs w:val="28"/>
        </w:rPr>
      </w:pPr>
      <w:r w:rsidRPr="005567B1">
        <w:rPr>
          <w:rFonts w:ascii="Times New Roman" w:hAnsi="Times New Roman"/>
          <w:b/>
          <w:sz w:val="28"/>
          <w:szCs w:val="28"/>
        </w:rPr>
        <w:t>Задание</w:t>
      </w:r>
    </w:p>
    <w:p w:rsidR="00FC731D" w:rsidRPr="005567B1" w:rsidRDefault="00FC731D" w:rsidP="00FC731D">
      <w:pPr>
        <w:pStyle w:val="a3"/>
        <w:ind w:left="0"/>
        <w:jc w:val="both"/>
        <w:rPr>
          <w:bCs/>
          <w:sz w:val="28"/>
          <w:szCs w:val="28"/>
        </w:rPr>
      </w:pPr>
      <w:r w:rsidRPr="005567B1">
        <w:rPr>
          <w:bCs/>
          <w:sz w:val="28"/>
          <w:szCs w:val="28"/>
        </w:rPr>
        <w:t xml:space="preserve">При оформлении отчета по практическому занятию № </w:t>
      </w:r>
      <w:r>
        <w:rPr>
          <w:bCs/>
          <w:sz w:val="28"/>
          <w:szCs w:val="28"/>
        </w:rPr>
        <w:t>2</w:t>
      </w:r>
      <w:r w:rsidRPr="005567B1">
        <w:rPr>
          <w:bCs/>
          <w:sz w:val="28"/>
          <w:szCs w:val="28"/>
        </w:rPr>
        <w:t xml:space="preserve"> «</w:t>
      </w:r>
      <w:r w:rsidRPr="00FC731D">
        <w:rPr>
          <w:rFonts w:eastAsia="Calibri"/>
          <w:bCs/>
          <w:sz w:val="28"/>
          <w:szCs w:val="28"/>
        </w:rPr>
        <w:t xml:space="preserve">Расчет капитальных (единовременных) затрат на разработку и </w:t>
      </w:r>
      <w:r w:rsidRPr="00FC731D">
        <w:rPr>
          <w:rFonts w:eastAsia="Calibri"/>
          <w:sz w:val="28"/>
          <w:szCs w:val="28"/>
        </w:rPr>
        <w:t>внедрение программного продукта</w:t>
      </w:r>
      <w:r w:rsidRPr="005567B1">
        <w:rPr>
          <w:bCs/>
          <w:sz w:val="28"/>
          <w:szCs w:val="28"/>
        </w:rPr>
        <w:t xml:space="preserve">» следует </w:t>
      </w:r>
      <w:r w:rsidR="00D60653">
        <w:rPr>
          <w:bCs/>
          <w:sz w:val="28"/>
          <w:szCs w:val="28"/>
        </w:rPr>
        <w:t>произвести по аналогии расчёт затрат</w:t>
      </w:r>
      <w:r w:rsidRPr="005567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тематике занятия</w:t>
      </w:r>
      <w:r w:rsidR="00D60653">
        <w:rPr>
          <w:bCs/>
          <w:sz w:val="28"/>
          <w:szCs w:val="28"/>
        </w:rPr>
        <w:t xml:space="preserve"> применительно к собственному программному проекту</w:t>
      </w:r>
      <w:r>
        <w:rPr>
          <w:bCs/>
          <w:sz w:val="28"/>
          <w:szCs w:val="28"/>
        </w:rPr>
        <w:t>. Все ссылки на использованные источники следует оформить в соответствии с требованиями ГОСТ.</w:t>
      </w:r>
    </w:p>
    <w:p w:rsidR="00FC731D" w:rsidRPr="00FC731D" w:rsidRDefault="00FC731D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 w:cs="Times New Roman"/>
          <w:sz w:val="24"/>
          <w:szCs w:val="24"/>
        </w:rPr>
      </w:pPr>
    </w:p>
    <w:sectPr w:rsidR="00FC731D" w:rsidRPr="00FC731D" w:rsidSect="0017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3DC2"/>
    <w:rsid w:val="0017116B"/>
    <w:rsid w:val="00256C98"/>
    <w:rsid w:val="00D60653"/>
    <w:rsid w:val="00E03DC2"/>
    <w:rsid w:val="00FC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C73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2</cp:revision>
  <dcterms:created xsi:type="dcterms:W3CDTF">2015-09-16T23:35:00Z</dcterms:created>
  <dcterms:modified xsi:type="dcterms:W3CDTF">2015-09-17T00:09:00Z</dcterms:modified>
</cp:coreProperties>
</file>