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pPr>
        <w:spacing w:before="0" w:after="100"/>
        <w:jc w:val="center"/>
      </w:pPr>
      <w:r>
        <w:rPr>
          <w:rFonts w:ascii="Arial" w:cs="Arial" w:eastAsia="Arial" w:hAnsi="Arial"/>
          <w:b/>
          <w:bCs/>
          <w:color w:val="1A3A1A"/>
          <w:sz w:val="80"/>
          <w:szCs w:val="80"/>
        </w:rPr>
        <w:t xml:space="preserve">REVOLT SYSTEM</w:t>
      </w:r>
    </w:p>
    <w:p>
      <w:pPr>
        <w:spacing w:before="0" w:after="100"/>
        <w:jc w:val="center"/>
      </w:pPr>
      <w:r>
        <w:rPr>
          <w:rFonts w:ascii="Arial" w:cs="Arial" w:eastAsia="Arial" w:hAnsi="Arial"/>
          <w:color w:val="1A5C2A"/>
          <w:sz w:val="40"/>
          <w:szCs w:val="40"/>
        </w:rPr>
        <w:t xml:space="preserve">Remote Energy Via Optimized Load Turbine</w:t>
      </w:r>
    </w:p>
    <w:p>
      <w:pPr>
        <w:spacing w:before="0" w:after="400"/>
        <w:jc w:val="center"/>
      </w:pPr>
      <w:r>
        <w:rPr>
          <w:rFonts w:ascii="Arial" w:cs="Arial" w:eastAsia="Arial" w:hAnsi="Arial"/>
          <w:i/>
          <w:iCs/>
          <w:color w:val="555555"/>
          <w:sz w:val="26"/>
          <w:szCs w:val="26"/>
        </w:rPr>
        <w:t xml:space="preserve">Technical Brief — Makers, Manufacturers, NGOs, and Humanitarian Organizations</w:t>
      </w:r>
    </w:p>
    <w:p>
      <w:pPr>
        <w:pBdr>
          <w:bottom w:val="single" w:color="1A5C2A" w:sz="6" w:space="1"/>
        </w:pBdr>
        <w:spacing w:before="180" w:after="180"/>
      </w:pPr>
      <w:r>
        <w:t xml:space="preserve"/>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160"/>
      </w:tblGrid>
      <w:tr>
        <w:trPr>
          <w:tblHeader/>
        </w:trPr>
        <w:tc>
          <w:tcPr>
            <w:tcW w:type="dxa" w:w="2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Document Type</w:t>
            </w:r>
          </w:p>
        </w:tc>
        <w:tc>
          <w:tcPr>
            <w:tcW w:type="dxa" w:w="2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Originator</w:t>
            </w:r>
          </w:p>
        </w:tc>
        <w:tc>
          <w:tcPr>
            <w:tcW w:type="dxa" w:w="2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Disclosure Date</w:t>
            </w:r>
          </w:p>
        </w:tc>
        <w:tc>
          <w:tcPr>
            <w:tcW w:type="dxa" w:w="216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License</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Technical Brief — Open Source</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[Your Name]</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March 3, 2026</w:t>
            </w:r>
          </w:p>
        </w:tc>
        <w:tc>
          <w:tcPr>
            <w:tcW w:type="dxa" w:w="2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CC0 — Public Domain</w:t>
            </w:r>
          </w:p>
        </w:tc>
      </w:tr>
    </w:tbl>
    <w:p>
      <w:r>
        <w:rPr>
          <w:sz w:val="22"/>
          <w:szCs w:val="22"/>
        </w:rPr>
        <w:t xml:space="preserve"/>
      </w:r>
    </w:p>
    <w:p>
      <w:pPr>
        <w:pBdr>
          <w:left w:val="single" w:color="1A5C2A" w:sz="16" w:space="1"/>
        </w:pBdr>
        <w:shd w:fill="E8F5E9" w:val="clear"/>
        <w:spacing w:before="140" w:after="140"/>
        <w:ind w:left="360" w:right="360"/>
      </w:pPr>
      <w:r>
        <w:rPr>
          <w:rFonts w:ascii="Arial" w:cs="Arial" w:eastAsia="Arial" w:hAnsi="Arial"/>
          <w:i/>
          <w:iCs/>
          <w:color w:val="1A3A1A"/>
          <w:sz w:val="22"/>
          <w:szCs w:val="22"/>
        </w:rPr>
        <w:t xml:space="preserve">All designs, code, and specifications in this disclosure are released to the public domain. Any individual, organization, or manufacturer may produce, distribute, or modify this system without restriction or royalty.</w:t>
      </w:r>
    </w:p>
    <w:p>
      <w:r>
        <w:rPr>
          <w:sz w:val="22"/>
          <w:szCs w:val="22"/>
        </w:rPr>
        <w:t xml:space="preserve"/>
      </w:r>
    </w:p>
    <w:p>
      <w:r>
        <w:br w:type="page"/>
      </w:r>
    </w:p>
    <w:p>
      <w:pPr>
        <w:pStyle w:val="Heading1"/>
        <w:spacing w:before="400" w:after="200"/>
      </w:pPr>
      <w:r>
        <w:rPr>
          <w:rFonts w:ascii="Arial" w:cs="Arial" w:eastAsia="Arial" w:hAnsi="Arial"/>
          <w:b/>
          <w:bCs/>
          <w:color w:val="1A3A1A"/>
          <w:sz w:val="34"/>
          <w:szCs w:val="34"/>
        </w:rPr>
        <w:t xml:space="preserve">Executive Summary</w:t>
      </w:r>
    </w:p>
    <w:p>
      <w:pPr>
        <w:spacing w:before="80" w:after="120"/>
      </w:pPr>
      <w:r>
        <w:rPr>
          <w:rFonts w:ascii="Arial" w:cs="Arial" w:eastAsia="Arial" w:hAnsi="Arial"/>
          <w:sz w:val="22"/>
          <w:szCs w:val="22"/>
        </w:rPr>
        <w:t xml:space="preserve">REVOLT is a fully 3D-printable modular Vertical Axis Wind Turbine (VAWT) with an integrated axial flux generator, designed specifically for emergency, humanitarian, and off-grid deployment contexts. The design uses only globally available commodity hardware — standard skateboard bearings, hardware store rod stock, and sub-$5 electronic modules — making it manufacturable anywhere in the world with access to a basic FDM 3D printer.</w:t>
      </w:r>
    </w:p>
    <w:p>
      <w:r>
        <w:rPr>
          <w:sz w:val="22"/>
          <w:szCs w:val="22"/>
        </w:rPr>
        <w:t xml:space="preserve"/>
      </w:r>
    </w:p>
    <w:tbl>
      <w:tblPr>
        <w:tblW w:type="dxa" w:w="89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3760"/>
      </w:tblGrid>
      <w:tr>
        <w:trPr>
          <w:tblHeader/>
        </w:trPr>
        <w:tc>
          <w:tcPr>
            <w:tcW w:type="dxa" w:w="2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Design Goal</w:t>
            </w:r>
          </w:p>
        </w:tc>
        <w:tc>
          <w:tcPr>
            <w:tcW w:type="dxa" w:w="28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Solution</w:t>
            </w:r>
          </w:p>
        </w:tc>
        <w:tc>
          <w:tcPr>
            <w:tcW w:type="dxa" w:w="376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Outcome</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Zero special tooling</w:t>
            </w:r>
          </w:p>
        </w:tc>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All structural parts FDM printed, hardware bin parts</w:t>
            </w:r>
          </w:p>
        </w:tc>
        <w:tc>
          <w:tcPr>
            <w:tcW w:type="dxa" w:w="3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Buildable in any country with a printer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Scalable output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Modular snap-fit tier stacking</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Add tiers for more power without redesign</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Zero-wind capability</w:t>
            </w:r>
          </w:p>
        </w:tc>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Hand crank overdrive on same shaft interface</w:t>
            </w:r>
          </w:p>
        </w:tc>
        <w:tc>
          <w:tcPr>
            <w:tcW w:type="dxa" w:w="3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Unconditional emergency power source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Multi-surface deployment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Universal mount — PVC, T-post, vehicle, tripod</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Single design for all deployment contexts</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Community validation</w:t>
            </w:r>
          </w:p>
        </w:tc>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Truck-bed wind tunnel protocol + fatigue logs</w:t>
            </w:r>
          </w:p>
        </w:tc>
        <w:tc>
          <w:tcPr>
            <w:tcW w:type="dxa" w:w="3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Crowd-sourced performance and durability data</w:t>
            </w:r>
          </w:p>
        </w:tc>
      </w:tr>
    </w:tbl>
    <w:p>
      <w:r>
        <w:rPr>
          <w:sz w:val="22"/>
          <w:szCs w:val="22"/>
        </w:rPr>
        <w:t xml:space="preserve"/>
      </w:r>
    </w:p>
    <w:p>
      <w:pPr>
        <w:pBdr>
          <w:bottom w:val="single" w:color="1A5C2A" w:sz="6" w:space="1"/>
        </w:pBdr>
        <w:spacing w:before="180" w:after="180"/>
      </w:pPr>
      <w:r>
        <w:t xml:space="preserve"/>
      </w:r>
    </w:p>
    <w:p>
      <w:pPr>
        <w:pStyle w:val="Heading1"/>
        <w:spacing w:before="400" w:after="200"/>
      </w:pPr>
      <w:r>
        <w:rPr>
          <w:rFonts w:ascii="Arial" w:cs="Arial" w:eastAsia="Arial" w:hAnsi="Arial"/>
          <w:b/>
          <w:bCs/>
          <w:color w:val="1A3A1A"/>
          <w:sz w:val="34"/>
          <w:szCs w:val="34"/>
        </w:rPr>
        <w:t xml:space="preserve">System Architecture</w:t>
      </w:r>
    </w:p>
    <w:p>
      <w:pPr>
        <w:pStyle w:val="Heading2"/>
        <w:spacing w:before="280" w:after="140"/>
      </w:pPr>
      <w:r>
        <w:rPr>
          <w:rFonts w:ascii="Arial" w:cs="Arial" w:eastAsia="Arial" w:hAnsi="Arial"/>
          <w:b/>
          <w:bCs/>
          <w:color w:val="1A5C2A"/>
          <w:sz w:val="26"/>
          <w:szCs w:val="26"/>
        </w:rPr>
        <w:t xml:space="preserve">Rotor — Savonius Drag Design</w:t>
      </w:r>
    </w:p>
    <w:p>
      <w:pPr>
        <w:spacing w:before="80" w:after="120"/>
      </w:pPr>
      <w:r>
        <w:rPr>
          <w:rFonts w:ascii="Arial" w:cs="Arial" w:eastAsia="Arial" w:hAnsi="Arial"/>
          <w:sz w:val="22"/>
          <w:szCs w:val="22"/>
        </w:rPr>
        <w:t xml:space="preserve">The Savonius configuration is selected over lift-based designs (Darrieus, H-rotor) for the following reasons relevant to emergency deployment:</w:t>
      </w:r>
    </w:p>
    <w:p>
      <w:pPr>
        <w:pStyle w:val="ListParagraph"/>
        <w:numPr>
          <w:ilvl w:val="0"/>
          <w:numId w:val="2"/>
        </w:numPr>
        <w:spacing w:before="60" w:after="60"/>
      </w:pPr>
      <w:r>
        <w:rPr>
          <w:rFonts w:ascii="Arial" w:cs="Arial" w:eastAsia="Arial" w:hAnsi="Arial"/>
          <w:sz w:val="22"/>
          <w:szCs w:val="22"/>
        </w:rPr>
        <w:t xml:space="preserve">Starts rotating at wind speeds as low as 2-3 mph — critical in low-wind shelter environments</w:t>
      </w:r>
    </w:p>
    <w:p>
      <w:pPr>
        <w:pStyle w:val="ListParagraph"/>
        <w:numPr>
          <w:ilvl w:val="0"/>
          <w:numId w:val="2"/>
        </w:numPr>
        <w:spacing w:before="60" w:after="60"/>
      </w:pPr>
      <w:r>
        <w:rPr>
          <w:rFonts w:ascii="Arial" w:cs="Arial" w:eastAsia="Arial" w:hAnsi="Arial"/>
          <w:sz w:val="22"/>
          <w:szCs w:val="22"/>
        </w:rPr>
        <w:t xml:space="preserve">Omnidirectional — no yaw mechanism required, reducing complexity and failure points</w:t>
      </w:r>
    </w:p>
    <w:p>
      <w:pPr>
        <w:pStyle w:val="ListParagraph"/>
        <w:numPr>
          <w:ilvl w:val="0"/>
          <w:numId w:val="2"/>
        </w:numPr>
        <w:spacing w:before="60" w:after="60"/>
      </w:pPr>
      <w:r>
        <w:rPr>
          <w:rFonts w:ascii="Arial" w:cs="Arial" w:eastAsia="Arial" w:hAnsi="Arial"/>
          <w:sz w:val="22"/>
          <w:szCs w:val="22"/>
        </w:rPr>
        <w:t xml:space="preserve">Self-limiting RPM in high winds — reduces overspeed risk without active governors</w:t>
      </w:r>
    </w:p>
    <w:p>
      <w:pPr>
        <w:pStyle w:val="ListParagraph"/>
        <w:numPr>
          <w:ilvl w:val="0"/>
          <w:numId w:val="2"/>
        </w:numPr>
        <w:spacing w:before="60" w:after="60"/>
      </w:pPr>
      <w:r>
        <w:rPr>
          <w:rFonts w:ascii="Arial" w:cs="Arial" w:eastAsia="Arial" w:hAnsi="Arial"/>
          <w:sz w:val="22"/>
          <w:szCs w:val="22"/>
        </w:rPr>
        <w:t xml:space="preserve">Geometry is entirely printable without support structures when oriented correctly</w:t>
      </w:r>
    </w:p>
    <w:p>
      <w:r>
        <w:rPr>
          <w:sz w:val="22"/>
          <w:szCs w:val="22"/>
        </w:rPr>
        <w:t xml:space="preserve"/>
      </w:r>
    </w:p>
    <w:p>
      <w:pPr>
        <w:pStyle w:val="Heading2"/>
        <w:spacing w:before="280" w:after="140"/>
      </w:pPr>
      <w:r>
        <w:rPr>
          <w:rFonts w:ascii="Arial" w:cs="Arial" w:eastAsia="Arial" w:hAnsi="Arial"/>
          <w:b/>
          <w:bCs/>
          <w:color w:val="1A5C2A"/>
          <w:sz w:val="26"/>
          <w:szCs w:val="26"/>
        </w:rPr>
        <w:t xml:space="preserve">Venting Gap Geometry</w:t>
      </w:r>
    </w:p>
    <w:p>
      <w:pPr>
        <w:spacing w:before="80" w:after="120"/>
      </w:pPr>
      <w:r>
        <w:rPr>
          <w:rFonts w:ascii="Arial" w:cs="Arial" w:eastAsia="Arial" w:hAnsi="Arial"/>
          <w:sz w:val="22"/>
          <w:szCs w:val="22"/>
        </w:rPr>
        <w:t xml:space="preserve">The critical performance parameter is the overlap ratio — the offset between the two scoop centerlines at the hub:</w:t>
      </w:r>
    </w:p>
    <w:p>
      <w:pPr>
        <w:spacing w:before="60" w:after="60"/>
      </w:pPr>
      <w:r>
        <w:rPr>
          <w:rFonts w:ascii="Courier New" w:cs="Courier New" w:eastAsia="Courier New" w:hAnsi="Courier New"/>
          <w:b/>
          <w:bCs/>
          <w:color w:val="1A3A1A"/>
          <w:sz w:val="20"/>
          <w:szCs w:val="20"/>
        </w:rPr>
        <w:t xml:space="preserve">     overlap_offset = rotor_diameter * 0.18   // 18% recommended</w:t>
      </w:r>
    </w:p>
    <w:p>
      <w:pPr>
        <w:spacing w:before="60" w:after="60"/>
      </w:pPr>
      <w:r>
        <w:rPr>
          <w:rFonts w:ascii="Courier New" w:cs="Courier New" w:eastAsia="Courier New" w:hAnsi="Courier New"/>
          <w:b/>
          <w:bCs/>
          <w:color w:val="1A3A1A"/>
          <w:sz w:val="20"/>
          <w:szCs w:val="20"/>
        </w:rPr>
        <w:t xml:space="preserve">     scoop_center_x = (R/2) - (overlap/2)    // scoop mounting offset from axis</w:t>
      </w:r>
    </w:p>
    <w:p>
      <w:r>
        <w:rPr>
          <w:sz w:val="22"/>
          <w:szCs w:val="22"/>
        </w:rPr>
        <w:t xml:space="preserve"/>
      </w:r>
    </w:p>
    <w:p>
      <w:pPr>
        <w:spacing w:before="80" w:after="120"/>
      </w:pPr>
      <w:r>
        <w:rPr>
          <w:rFonts w:ascii="Arial" w:cs="Arial" w:eastAsia="Arial" w:hAnsi="Arial"/>
          <w:sz w:val="22"/>
          <w:szCs w:val="22"/>
        </w:rPr>
        <w:t xml:space="preserve">At 18% overlap, air captured by the power-stroke scoop bleeds through the center gap and applies a secondary positive pressure on the returning scoop's convex face. This reduces net drag on the returning stroke by approximately 15-20% compared to a zero-overlap design, directly increasing the power coefficient Cp.</w:t>
      </w:r>
    </w:p>
    <w:p>
      <w:r>
        <w:rPr>
          <w:sz w:val="22"/>
          <w:szCs w:val="22"/>
        </w:rPr>
        <w:t xml:space="preserve"/>
      </w:r>
    </w:p>
    <w:p>
      <w:pPr>
        <w:pStyle w:val="Heading2"/>
        <w:spacing w:before="280" w:after="140"/>
      </w:pPr>
      <w:r>
        <w:rPr>
          <w:rFonts w:ascii="Arial" w:cs="Arial" w:eastAsia="Arial" w:hAnsi="Arial"/>
          <w:b/>
          <w:bCs/>
          <w:color w:val="1A5C2A"/>
          <w:sz w:val="26"/>
          <w:szCs w:val="26"/>
        </w:rPr>
        <w:t xml:space="preserve">Performance Model</w:t>
      </w:r>
    </w:p>
    <w:p>
      <w:pPr>
        <w:spacing w:before="80" w:after="120"/>
      </w:pPr>
      <w:r>
        <w:rPr>
          <w:rFonts w:ascii="Arial" w:cs="Arial" w:eastAsia="Arial" w:hAnsi="Arial"/>
          <w:sz w:val="22"/>
          <w:szCs w:val="22"/>
        </w:rPr>
        <w:t xml:space="preserve">Power output is modeled using the standard wind power equation with empirical Cp for Savonius rotors:</w:t>
      </w:r>
    </w:p>
    <w:p>
      <w:pPr>
        <w:spacing w:before="60" w:after="60"/>
      </w:pPr>
      <w:r>
        <w:rPr>
          <w:rFonts w:ascii="Courier New" w:cs="Courier New" w:eastAsia="Courier New" w:hAnsi="Courier New"/>
          <w:b/>
          <w:bCs/>
          <w:color w:val="1A3A1A"/>
          <w:sz w:val="20"/>
          <w:szCs w:val="20"/>
        </w:rPr>
        <w:t xml:space="preserve">     P = Cp * (0.5 * rho * A * v^3)</w:t>
      </w:r>
    </w:p>
    <w:p>
      <w:pPr>
        <w:spacing w:before="60" w:after="60"/>
      </w:pPr>
      <w:r>
        <w:rPr>
          <w:rFonts w:ascii="Courier New" w:cs="Courier New" w:eastAsia="Courier New" w:hAnsi="Courier New"/>
          <w:b/>
          <w:bCs/>
          <w:color w:val="1A3A1A"/>
          <w:sz w:val="20"/>
          <w:szCs w:val="20"/>
        </w:rPr>
        <w:t xml:space="preserve">     A = rotor_diameter * rotor_height    // swept frontal area</w:t>
      </w:r>
    </w:p>
    <w:p>
      <w:pPr>
        <w:spacing w:before="60" w:after="60"/>
      </w:pPr>
      <w:r>
        <w:rPr>
          <w:rFonts w:ascii="Courier New" w:cs="Courier New" w:eastAsia="Courier New" w:hAnsi="Courier New"/>
          <w:b/>
          <w:bCs/>
          <w:color w:val="1A3A1A"/>
          <w:sz w:val="20"/>
          <w:szCs w:val="20"/>
        </w:rPr>
        <w:t xml:space="preserve">     Cp = 0.22  (18% overlap Savonius, empirically validated range 0.20-0.25)</w:t>
      </w:r>
    </w:p>
    <w:p>
      <w:pPr>
        <w:spacing w:before="60" w:after="60"/>
      </w:pPr>
      <w:r>
        <w:rPr>
          <w:rFonts w:ascii="Courier New" w:cs="Courier New" w:eastAsia="Courier New" w:hAnsi="Courier New"/>
          <w:b/>
          <w:bCs/>
          <w:color w:val="1A3A1A"/>
          <w:sz w:val="20"/>
          <w:szCs w:val="20"/>
        </w:rPr>
        <w:t xml:space="preserve">     rho = 1.225 kg/m3  (sea level, 15 deg C)</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1600"/>
        <w:gridCol w:w="1400"/>
        <w:gridCol w:w="1600"/>
        <w:gridCol w:w="1960"/>
      </w:tblGrid>
      <w:tr>
        <w:trPr>
          <w:tblHeader/>
        </w:trPr>
        <w:tc>
          <w:tcPr>
            <w:tcW w:type="dxa" w:w="1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Wind (mph)</w:t>
            </w:r>
          </w:p>
        </w:tc>
        <w:tc>
          <w:tcPr>
            <w:tcW w:type="dxa" w:w="1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Wind (m/s)</w:t>
            </w:r>
          </w:p>
        </w:tc>
        <w:tc>
          <w:tcPr>
            <w:tcW w:type="dxa" w:w="16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RPM (single tier)</w:t>
            </w:r>
          </w:p>
        </w:tc>
        <w:tc>
          <w:tcPr>
            <w:tcW w:type="dxa" w:w="1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W per Tier</w:t>
            </w:r>
          </w:p>
        </w:tc>
        <w:tc>
          <w:tcPr>
            <w:tcW w:type="dxa" w:w="16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W — 3 Tiers</w:t>
            </w:r>
          </w:p>
        </w:tc>
        <w:tc>
          <w:tcPr>
            <w:tcW w:type="dxa" w:w="196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W — 5 Tiers</w:t>
            </w:r>
          </w:p>
        </w:tc>
      </w:tr>
      <w:tr>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10</w:t>
            </w:r>
          </w:p>
        </w:tc>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4.47</w:t>
            </w:r>
          </w:p>
        </w:tc>
        <w:tc>
          <w:tcPr>
            <w:tcW w:type="dxa" w:w="1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427</w:t>
            </w:r>
          </w:p>
        </w:tc>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0.96</w:t>
            </w:r>
          </w:p>
        </w:tc>
        <w:tc>
          <w:tcPr>
            <w:tcW w:type="dxa" w:w="1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2.9</w:t>
            </w:r>
          </w:p>
        </w:tc>
        <w:tc>
          <w:tcPr>
            <w:tcW w:type="dxa" w:w="19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4.8</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6.71</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640</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3.25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9.8</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16.3</w:t>
            </w:r>
          </w:p>
        </w:tc>
      </w:tr>
      <w:tr>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20</w:t>
            </w:r>
          </w:p>
        </w:tc>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8.94</w:t>
            </w:r>
          </w:p>
        </w:tc>
        <w:tc>
          <w:tcPr>
            <w:tcW w:type="dxa" w:w="1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854</w:t>
            </w:r>
          </w:p>
        </w:tc>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7.71</w:t>
            </w:r>
          </w:p>
        </w:tc>
        <w:tc>
          <w:tcPr>
            <w:tcW w:type="dxa" w:w="1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23.1</w:t>
            </w:r>
          </w:p>
        </w:tc>
        <w:tc>
          <w:tcPr>
            <w:tcW w:type="dxa" w:w="19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38.5</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25</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11.18</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1067</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15.05</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45.1</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75.2</w:t>
            </w:r>
          </w:p>
        </w:tc>
      </w:tr>
      <w:tr>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30</w:t>
            </w:r>
          </w:p>
        </w:tc>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13.41</w:t>
            </w:r>
          </w:p>
        </w:tc>
        <w:tc>
          <w:tcPr>
            <w:tcW w:type="dxa" w:w="1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1281</w:t>
            </w:r>
          </w:p>
        </w:tc>
        <w:tc>
          <w:tcPr>
            <w:tcW w:type="dxa" w:w="1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26.00</w:t>
            </w:r>
          </w:p>
        </w:tc>
        <w:tc>
          <w:tcPr>
            <w:tcW w:type="dxa" w:w="1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78.0</w:t>
            </w:r>
          </w:p>
        </w:tc>
        <w:tc>
          <w:tcPr>
            <w:tcW w:type="dxa" w:w="19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130.0</w:t>
            </w:r>
          </w:p>
        </w:tc>
      </w:tr>
    </w:tbl>
    <w:p>
      <w:r>
        <w:rPr>
          <w:sz w:val="22"/>
          <w:szCs w:val="22"/>
        </w:rPr>
        <w:t xml:space="preserve"/>
      </w:r>
    </w:p>
    <w:p>
      <w:pPr>
        <w:pBdr>
          <w:bottom w:val="single" w:color="1A5C2A" w:sz="6" w:space="1"/>
        </w:pBdr>
        <w:spacing w:before="180" w:after="180"/>
      </w:pPr>
      <w:r>
        <w:t xml:space="preserve"/>
      </w:r>
    </w:p>
    <w:p>
      <w:pPr>
        <w:pStyle w:val="Heading1"/>
        <w:spacing w:before="400" w:after="200"/>
      </w:pPr>
      <w:r>
        <w:rPr>
          <w:rFonts w:ascii="Arial" w:cs="Arial" w:eastAsia="Arial" w:hAnsi="Arial"/>
          <w:b/>
          <w:bCs/>
          <w:color w:val="1A3A1A"/>
          <w:sz w:val="34"/>
          <w:szCs w:val="34"/>
        </w:rPr>
        <w:t xml:space="preserve">Generator Specification</w:t>
      </w:r>
    </w:p>
    <w:p>
      <w:pPr>
        <w:pStyle w:val="Heading2"/>
        <w:spacing w:before="280" w:after="140"/>
      </w:pPr>
      <w:r>
        <w:rPr>
          <w:rFonts w:ascii="Arial" w:cs="Arial" w:eastAsia="Arial" w:hAnsi="Arial"/>
          <w:b/>
          <w:bCs/>
          <w:color w:val="1A5C2A"/>
          <w:sz w:val="26"/>
          <w:szCs w:val="26"/>
        </w:rPr>
        <w:t xml:space="preserve">Axial Flux Architecture</w:t>
      </w:r>
    </w:p>
    <w:p>
      <w:pPr>
        <w:spacing w:before="80" w:after="120"/>
      </w:pPr>
      <w:r>
        <w:rPr>
          <w:rFonts w:ascii="Arial" w:cs="Arial" w:eastAsia="Arial" w:hAnsi="Arial"/>
          <w:sz w:val="22"/>
          <w:szCs w:val="22"/>
        </w:rPr>
        <w:t xml:space="preserve">The generator uses an axial flux topology chosen for printability and low-RPM efficiency. Both rotor (magnet) and stator (coil) discs are 3D-printed polymer with embedded components. The axial gap is nominally 1.5-2.0mm, adjustable via shaft collar position.</w:t>
      </w:r>
    </w:p>
    <w:p>
      <w:r>
        <w:rPr>
          <w:sz w:val="22"/>
          <w:szCs w:val="22"/>
        </w:rPr>
        <w:t xml:space="preserve"/>
      </w:r>
    </w:p>
    <w:p>
      <w:pPr>
        <w:pStyle w:val="Heading2"/>
        <w:spacing w:before="280" w:after="140"/>
      </w:pPr>
      <w:r>
        <w:rPr>
          <w:rFonts w:ascii="Arial" w:cs="Arial" w:eastAsia="Arial" w:hAnsi="Arial"/>
          <w:b/>
          <w:bCs/>
          <w:color w:val="1A5C2A"/>
          <w:sz w:val="26"/>
          <w:szCs w:val="26"/>
        </w:rPr>
        <w:t xml:space="preserve">Coil Winding — 5V USB Target at 300 RPM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400"/>
        <w:gridCol w:w="4160"/>
      </w:tblGrid>
      <w:tr>
        <w:trPr>
          <w:tblHeader/>
        </w:trPr>
        <w:tc>
          <w:tcPr>
            <w:tcW w:type="dxa" w:w="28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Parameter</w:t>
            </w:r>
          </w:p>
        </w:tc>
        <w:tc>
          <w:tcPr>
            <w:tcW w:type="dxa" w:w="2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Value</w:t>
            </w:r>
          </w:p>
        </w:tc>
        <w:tc>
          <w:tcPr>
            <w:tcW w:type="dxa" w:w="416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Derivation</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Target output</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5V DC, 300 RPM</w:t>
            </w:r>
          </w:p>
        </w:tc>
        <w:tc>
          <w:tcPr>
            <w:tcW w:type="dxa" w:w="4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Emergency USB charging threshold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Pole pairs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 (8 magnets total)</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N52, 22mm dia, alternating N-S</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Electrical frequency at 300 RPM</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20 Hz</w:t>
            </w:r>
          </w:p>
        </w:tc>
        <w:tc>
          <w:tcPr>
            <w:tcW w:type="dxa" w:w="4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f = (RPM/60) * pole_pairs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Required peak AC voltage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7.07V</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V_DC * sqrt(2)</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Flux per pole (Phi)</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~0.0008 Wb</w:t>
            </w:r>
          </w:p>
        </w:tc>
        <w:tc>
          <w:tcPr>
            <w:tcW w:type="dxa" w:w="4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N52 magnet, 2mm air gap</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Turns per coil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100 turns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 = Vpeak / (4.44 * f * Phi)</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Coil count</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9 coils</w:t>
            </w:r>
          </w:p>
        </w:tc>
        <w:tc>
          <w:tcPr>
            <w:tcW w:type="dxa" w:w="4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3-phase, 3 coils per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Wire gauge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AWG magnet wire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Balance of resistance and fill</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Phase connection</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Star (Y)</w:t>
            </w:r>
          </w:p>
        </w:tc>
        <w:tc>
          <w:tcPr>
            <w:tcW w:type="dxa" w:w="4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Neutral center point connected</w:t>
            </w:r>
          </w:p>
        </w:tc>
      </w:tr>
    </w:tbl>
    <w:p>
      <w:r>
        <w:rPr>
          <w:sz w:val="22"/>
          <w:szCs w:val="22"/>
        </w:rPr>
        <w:t xml:space="preserve"/>
      </w:r>
    </w:p>
    <w:p>
      <w:pPr>
        <w:pStyle w:val="Heading2"/>
        <w:spacing w:before="280" w:after="140"/>
      </w:pPr>
      <w:r>
        <w:rPr>
          <w:rFonts w:ascii="Arial" w:cs="Arial" w:eastAsia="Arial" w:hAnsi="Arial"/>
          <w:b/>
          <w:bCs/>
          <w:color w:val="1A5C2A"/>
          <w:sz w:val="26"/>
          <w:szCs w:val="26"/>
        </w:rPr>
        <w:t xml:space="preserve">Output Chain</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000"/>
        <w:gridCol w:w="2800"/>
        <w:gridCol w:w="2600"/>
        <w:gridCol w:w="2000"/>
      </w:tblGrid>
      <w:tr>
        <w:trPr>
          <w:tblHeader/>
        </w:trPr>
        <w:tc>
          <w:tcPr>
            <w:tcW w:type="dxa" w:w="20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Stage</w:t>
            </w:r>
          </w:p>
        </w:tc>
        <w:tc>
          <w:tcPr>
            <w:tcW w:type="dxa" w:w="28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Component</w:t>
            </w:r>
          </w:p>
        </w:tc>
        <w:tc>
          <w:tcPr>
            <w:tcW w:type="dxa" w:w="26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Spec</w:t>
            </w:r>
          </w:p>
        </w:tc>
        <w:tc>
          <w:tcPr>
            <w:tcW w:type="dxa" w:w="20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Cost (approx)</w:t>
            </w:r>
          </w:p>
        </w:tc>
      </w:tr>
      <w:tr>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Rectification</w:t>
            </w:r>
          </w:p>
        </w:tc>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3-phase bridge rectifier module</w:t>
            </w:r>
          </w:p>
        </w:tc>
        <w:tc>
          <w:tcPr>
            <w:tcW w:type="dxa" w:w="2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Standard 3-phase, 50V/10A rated</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Smoothing (optional)</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Supercapacitor bank</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10-50F, handles gust variation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~$5-15</w:t>
            </w:r>
          </w:p>
        </w:tc>
      </w:tr>
      <w:tr>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USB output</w:t>
            </w:r>
          </w:p>
        </w:tc>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5V/2A buck converter module</w:t>
            </w:r>
          </w:p>
        </w:tc>
        <w:tc>
          <w:tcPr>
            <w:tcW w:type="dxa" w:w="2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XL4016 or equivalent</w:t>
            </w:r>
          </w:p>
        </w:tc>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~$2</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Battery charging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PWM or MPPT charge controller</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12V or 24V, 10A minimum</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~$8-20</w:t>
            </w:r>
          </w:p>
        </w:tc>
      </w:tr>
    </w:tbl>
    <w:p>
      <w:r>
        <w:rPr>
          <w:sz w:val="22"/>
          <w:szCs w:val="22"/>
        </w:rPr>
        <w:t xml:space="preserve"/>
      </w:r>
    </w:p>
    <w:p>
      <w:pPr>
        <w:pBdr>
          <w:bottom w:val="single" w:color="1A5C2A" w:sz="6" w:space="1"/>
        </w:pBdr>
        <w:spacing w:before="180" w:after="180"/>
      </w:pPr>
      <w:r>
        <w:t xml:space="preserve"/>
      </w:r>
    </w:p>
    <w:p>
      <w:pPr>
        <w:pStyle w:val="Heading1"/>
        <w:spacing w:before="400" w:after="200"/>
      </w:pPr>
      <w:r>
        <w:rPr>
          <w:rFonts w:ascii="Arial" w:cs="Arial" w:eastAsia="Arial" w:hAnsi="Arial"/>
          <w:b/>
          <w:bCs/>
          <w:color w:val="1A3A1A"/>
          <w:sz w:val="34"/>
          <w:szCs w:val="34"/>
        </w:rPr>
        <w:t xml:space="preserve">Bill of Materials</w:t>
      </w:r>
    </w:p>
    <w:p>
      <w:pPr>
        <w:pStyle w:val="Heading2"/>
        <w:spacing w:before="280" w:after="140"/>
      </w:pPr>
      <w:r>
        <w:rPr>
          <w:rFonts w:ascii="Arial" w:cs="Arial" w:eastAsia="Arial" w:hAnsi="Arial"/>
          <w:b/>
          <w:bCs/>
          <w:color w:val="1A5C2A"/>
          <w:sz w:val="26"/>
          <w:szCs w:val="26"/>
        </w:rPr>
        <w:t xml:space="preserve">3D Printed Components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800"/>
        <w:gridCol w:w="3160"/>
      </w:tblGrid>
      <w:tr>
        <w:trPr>
          <w:tblHeader/>
        </w:trPr>
        <w:tc>
          <w:tcPr>
            <w:tcW w:type="dxa" w:w="28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Part</w:t>
            </w:r>
          </w:p>
        </w:tc>
        <w:tc>
          <w:tcPr>
            <w:tcW w:type="dxa" w:w="16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Qty per Tier</w:t>
            </w:r>
          </w:p>
        </w:tc>
        <w:tc>
          <w:tcPr>
            <w:tcW w:type="dxa" w:w="18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Material</w:t>
            </w:r>
          </w:p>
        </w:tc>
        <w:tc>
          <w:tcPr>
            <w:tcW w:type="dxa" w:w="316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Est. Filament</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Savonius scoop blade</w:t>
            </w:r>
          </w:p>
        </w:tc>
        <w:tc>
          <w:tcPr>
            <w:tcW w:type="dxa" w:w="1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2</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PETG or ASA</w:t>
            </w:r>
          </w:p>
        </w:tc>
        <w:tc>
          <w:tcPr>
            <w:tcW w:type="dxa" w:w="3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~80g each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Hub collar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PETG or ASA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~40g</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Base mount</w:t>
            </w:r>
          </w:p>
        </w:tc>
        <w:tc>
          <w:tcPr>
            <w:tcW w:type="dxa" w:w="1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 (total)</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PETG or ASA</w:t>
            </w:r>
          </w:p>
        </w:tc>
        <w:tc>
          <w:tcPr>
            <w:tcW w:type="dxa" w:w="3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~120g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Generator rotor disc</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(total)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PETG or ASA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~60g</w:t>
            </w:r>
          </w:p>
        </w:tc>
      </w:tr>
      <w:tr>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Generator stator disc</w:t>
            </w:r>
          </w:p>
        </w:tc>
        <w:tc>
          <w:tcPr>
            <w:tcW w:type="dxa" w:w="1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 (total)</w:t>
            </w:r>
          </w:p>
        </w:tc>
        <w:tc>
          <w:tcPr>
            <w:tcW w:type="dxa" w:w="1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PETG or ASA</w:t>
            </w:r>
          </w:p>
        </w:tc>
        <w:tc>
          <w:tcPr>
            <w:tcW w:type="dxa" w:w="3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~60g</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Hand crank arm</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 (optional)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PETG or ASA</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~50g</w:t>
            </w:r>
          </w:p>
        </w:tc>
      </w:tr>
    </w:tbl>
    <w:p>
      <w:r>
        <w:rPr>
          <w:sz w:val="22"/>
          <w:szCs w:val="22"/>
        </w:rPr>
        <w:t xml:space="preserve"/>
      </w:r>
    </w:p>
    <w:p>
      <w:pPr>
        <w:pStyle w:val="Heading2"/>
        <w:spacing w:before="280" w:after="140"/>
      </w:pPr>
      <w:r>
        <w:rPr>
          <w:rFonts w:ascii="Arial" w:cs="Arial" w:eastAsia="Arial" w:hAnsi="Arial"/>
          <w:b/>
          <w:bCs/>
          <w:color w:val="1A5C2A"/>
          <w:sz w:val="26"/>
          <w:szCs w:val="26"/>
        </w:rPr>
        <w:t xml:space="preserve">Hardware (Bin Parts — Globally Available)</w:t>
      </w:r>
    </w:p>
    <w:tbl>
      <w:tblPr>
        <w:tblW w:type="dxa" w:w="940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1200"/>
        <w:gridCol w:w="3000"/>
      </w:tblGrid>
      <w:tr>
        <w:trPr>
          <w:tblHeader/>
        </w:trPr>
        <w:tc>
          <w:tcPr>
            <w:tcW w:type="dxa" w:w="2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Part</w:t>
            </w:r>
          </w:p>
        </w:tc>
        <w:tc>
          <w:tcPr>
            <w:tcW w:type="dxa" w:w="28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Spec</w:t>
            </w:r>
          </w:p>
        </w:tc>
        <w:tc>
          <w:tcPr>
            <w:tcW w:type="dxa" w:w="12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Qty</w:t>
            </w:r>
          </w:p>
        </w:tc>
        <w:tc>
          <w:tcPr>
            <w:tcW w:type="dxa" w:w="30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Approx Cost</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Central shaft</w:t>
            </w:r>
          </w:p>
        </w:tc>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12.7mm (1/2") SS or aluminum rod</w:t>
            </w:r>
          </w:p>
        </w:tc>
        <w:tc>
          <w:tcPr>
            <w:tcW w:type="dxa" w:w="1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 — cut to height</w:t>
            </w:r>
          </w:p>
        </w:tc>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$3-8</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Bearings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608-RS (skateboard bearing)</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Neodymium magnets</w:t>
            </w:r>
          </w:p>
        </w:tc>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N52, 22mm dia x 6mm thick</w:t>
            </w:r>
          </w:p>
        </w:tc>
        <w:tc>
          <w:tcPr>
            <w:tcW w:type="dxa" w:w="1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$8-15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Magnet wire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24 AWG, 1 spool</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$5-10</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Bridge rectifier</w:t>
            </w:r>
          </w:p>
        </w:tc>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3-phase module</w:t>
            </w:r>
          </w:p>
        </w:tc>
        <w:tc>
          <w:tcPr>
            <w:tcW w:type="dxa" w:w="1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Buck converter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5V/2A module</w:t>
            </w:r>
          </w:p>
        </w:tc>
        <w:tc>
          <w:tcPr>
            <w:tcW w:type="dxa" w:w="1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$2</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M5 bolts</w:t>
            </w:r>
          </w:p>
        </w:tc>
        <w:tc>
          <w:tcPr>
            <w:tcW w:type="dxa" w:w="28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20mm length</w:t>
            </w:r>
          </w:p>
        </w:tc>
        <w:tc>
          <w:tcPr>
            <w:tcW w:type="dxa" w:w="1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$1</w:t>
            </w:r>
          </w:p>
        </w:tc>
      </w:tr>
    </w:tbl>
    <w:p>
      <w:r>
        <w:rPr>
          <w:sz w:val="22"/>
          <w:szCs w:val="22"/>
        </w:rPr>
        <w:t xml:space="preserve"/>
      </w:r>
    </w:p>
    <w:p>
      <w:pPr>
        <w:pBdr>
          <w:left w:val="single" w:color="1A5C2A" w:sz="16" w:space="1"/>
        </w:pBdr>
        <w:shd w:fill="E8F5E9" w:val="clear"/>
        <w:spacing w:before="140" w:after="140"/>
        <w:ind w:left="360" w:right="360"/>
      </w:pPr>
      <w:r>
        <w:rPr>
          <w:rFonts w:ascii="Arial" w:cs="Arial" w:eastAsia="Arial" w:hAnsi="Arial"/>
          <w:i/>
          <w:iCs/>
          <w:color w:val="1A3A1A"/>
          <w:sz w:val="22"/>
          <w:szCs w:val="22"/>
        </w:rPr>
        <w:t xml:space="preserve">Total estimated build cost (3-tier, single USB output): $30-60 USD depending on location and existing filament stock.</w:t>
      </w:r>
    </w:p>
    <w:p>
      <w:r>
        <w:rPr>
          <w:sz w:val="22"/>
          <w:szCs w:val="22"/>
        </w:rPr>
        <w:t xml:space="preserve"/>
      </w:r>
    </w:p>
    <w:p>
      <w:pPr>
        <w:pBdr>
          <w:bottom w:val="single" w:color="1A5C2A" w:sz="6" w:space="1"/>
        </w:pBdr>
        <w:spacing w:before="180" w:after="180"/>
      </w:pPr>
      <w:r>
        <w:t xml:space="preserve"/>
      </w:r>
    </w:p>
    <w:p>
      <w:pPr>
        <w:pStyle w:val="Heading1"/>
        <w:spacing w:before="400" w:after="200"/>
      </w:pPr>
      <w:r>
        <w:rPr>
          <w:rFonts w:ascii="Arial" w:cs="Arial" w:eastAsia="Arial" w:hAnsi="Arial"/>
          <w:b/>
          <w:bCs/>
          <w:color w:val="1A3A1A"/>
          <w:sz w:val="34"/>
          <w:szCs w:val="34"/>
        </w:rPr>
        <w:t xml:space="preserve">Deployment Contexts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2400"/>
        <w:gridCol w:w="2760"/>
      </w:tblGrid>
      <w:tr>
        <w:trPr>
          <w:tblHeader/>
        </w:trPr>
        <w:tc>
          <w:tcPr>
            <w:tcW w:type="dxa" w:w="20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Context</w:t>
            </w:r>
          </w:p>
        </w:tc>
        <w:tc>
          <w:tcPr>
            <w:tcW w:type="dxa" w:w="22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Configuration</w:t>
            </w:r>
          </w:p>
        </w:tc>
        <w:tc>
          <w:tcPr>
            <w:tcW w:type="dxa" w:w="2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Key Features Used</w:t>
            </w:r>
          </w:p>
        </w:tc>
        <w:tc>
          <w:tcPr>
            <w:tcW w:type="dxa" w:w="276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Expected Output</w:t>
            </w:r>
          </w:p>
        </w:tc>
      </w:tr>
      <w:tr>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Disaster relief camp</w:t>
            </w:r>
          </w:p>
        </w:tc>
        <w:tc>
          <w:tcPr>
            <w:tcW w:type="dxa" w:w="2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3-5 tier, PVC pole mount</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USB charging + 12V battery</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Comms and lighting for ~10 people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Remote village — no grid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8 tier, permanent post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12V/24V battery bank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Sustained off-grid power</w:t>
            </w:r>
          </w:p>
        </w:tc>
      </w:tr>
      <w:tr>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Military/field use</w:t>
            </w:r>
          </w:p>
        </w:tc>
        <w:tc>
          <w:tcPr>
            <w:tcW w:type="dxa" w:w="2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3 tier, vehicle roof rack</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USB + hand crank backup</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Device charging, mobile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Individual emergency kit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1-2 tier, tripod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USB only + hand crank</w:t>
            </w:r>
          </w:p>
        </w:tc>
        <w:tc>
          <w:tcPr>
            <w:tcW w:type="dxa" w:w="2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Phone and radio charging</w:t>
            </w:r>
          </w:p>
        </w:tc>
      </w:tr>
      <w:tr>
        <w:tc>
          <w:tcPr>
            <w:tcW w:type="dxa" w:w="20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Maker/education</w:t>
            </w:r>
          </w:p>
        </w:tc>
        <w:tc>
          <w:tcPr>
            <w:tcW w:type="dxa" w:w="2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Any config</w:t>
            </w:r>
          </w:p>
        </w:tc>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Truck-bed validation protocol</w:t>
            </w:r>
          </w:p>
        </w:tc>
        <w:tc>
          <w:tcPr>
            <w:tcW w:type="dxa" w:w="27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Learning + data contribution</w:t>
            </w:r>
          </w:p>
        </w:tc>
      </w:tr>
    </w:tbl>
    <w:p>
      <w:r>
        <w:rPr>
          <w:sz w:val="22"/>
          <w:szCs w:val="22"/>
        </w:rPr>
        <w:t xml:space="preserve"/>
      </w:r>
    </w:p>
    <w:p>
      <w:pPr>
        <w:pBdr>
          <w:bottom w:val="single" w:color="1A5C2A" w:sz="6" w:space="1"/>
        </w:pBdr>
        <w:spacing w:before="180" w:after="180"/>
      </w:pPr>
      <w:r>
        <w:t xml:space="preserve"/>
      </w:r>
    </w:p>
    <w:p>
      <w:pPr>
        <w:pStyle w:val="Heading1"/>
        <w:spacing w:before="400" w:after="200"/>
      </w:pPr>
      <w:r>
        <w:rPr>
          <w:rFonts w:ascii="Arial" w:cs="Arial" w:eastAsia="Arial" w:hAnsi="Arial"/>
          <w:b/>
          <w:bCs/>
          <w:color w:val="1A3A1A"/>
          <w:sz w:val="34"/>
          <w:szCs w:val="34"/>
        </w:rPr>
        <w:t xml:space="preserve">Community Data Loop — Fatigue Logs</w:t>
      </w:r>
    </w:p>
    <w:p>
      <w:pPr>
        <w:spacing w:before="80" w:after="120"/>
      </w:pPr>
      <w:r>
        <w:rPr>
          <w:rFonts w:ascii="Arial" w:cs="Arial" w:eastAsia="Arial" w:hAnsi="Arial"/>
          <w:sz w:val="22"/>
          <w:szCs w:val="22"/>
        </w:rPr>
        <w:t xml:space="preserve">The repository includes a standardized Fatigue Log template. Builders are encouraged to upload:</w:t>
      </w:r>
    </w:p>
    <w:p>
      <w:pPr>
        <w:pStyle w:val="ListParagraph"/>
        <w:numPr>
          <w:ilvl w:val="0"/>
          <w:numId w:val="2"/>
        </w:numPr>
        <w:spacing w:before="60" w:after="60"/>
      </w:pPr>
      <w:r>
        <w:rPr>
          <w:rFonts w:ascii="Arial" w:cs="Arial" w:eastAsia="Arial" w:hAnsi="Arial"/>
          <w:sz w:val="22"/>
          <w:szCs w:val="22"/>
        </w:rPr>
        <w:t xml:space="preserve">Material used and print settings</w:t>
      </w:r>
    </w:p>
    <w:p>
      <w:pPr>
        <w:pStyle w:val="ListParagraph"/>
        <w:numPr>
          <w:ilvl w:val="0"/>
          <w:numId w:val="2"/>
        </w:numPr>
        <w:spacing w:before="60" w:after="60"/>
      </w:pPr>
      <w:r>
        <w:rPr>
          <w:rFonts w:ascii="Arial" w:cs="Arial" w:eastAsia="Arial" w:hAnsi="Arial"/>
          <w:sz w:val="22"/>
          <w:szCs w:val="22"/>
        </w:rPr>
        <w:t xml:space="preserve">Tier count and rotor diameter</w:t>
      </w:r>
    </w:p>
    <w:p>
      <w:pPr>
        <w:pStyle w:val="ListParagraph"/>
        <w:numPr>
          <w:ilvl w:val="0"/>
          <w:numId w:val="2"/>
        </w:numPr>
        <w:spacing w:before="60" w:after="60"/>
      </w:pPr>
      <w:r>
        <w:rPr>
          <w:rFonts w:ascii="Arial" w:cs="Arial" w:eastAsia="Arial" w:hAnsi="Arial"/>
          <w:sz w:val="22"/>
          <w:szCs w:val="22"/>
        </w:rPr>
        <w:t xml:space="preserve">Wind environment (average and peak speeds)</w:t>
      </w:r>
    </w:p>
    <w:p>
      <w:pPr>
        <w:pStyle w:val="ListParagraph"/>
        <w:numPr>
          <w:ilvl w:val="0"/>
          <w:numId w:val="2"/>
        </w:numPr>
        <w:spacing w:before="60" w:after="60"/>
      </w:pPr>
      <w:r>
        <w:rPr>
          <w:rFonts w:ascii="Arial" w:cs="Arial" w:eastAsia="Arial" w:hAnsi="Arial"/>
          <w:sz w:val="22"/>
          <w:szCs w:val="22"/>
        </w:rPr>
        <w:t xml:space="preserve">Hours of operation before first component failure</w:t>
      </w:r>
    </w:p>
    <w:p>
      <w:pPr>
        <w:pStyle w:val="ListParagraph"/>
        <w:numPr>
          <w:ilvl w:val="0"/>
          <w:numId w:val="2"/>
        </w:numPr>
        <w:spacing w:before="60" w:after="60"/>
      </w:pPr>
      <w:r>
        <w:rPr>
          <w:rFonts w:ascii="Arial" w:cs="Arial" w:eastAsia="Arial" w:hAnsi="Arial"/>
          <w:sz w:val="22"/>
          <w:szCs w:val="22"/>
        </w:rPr>
        <w:t xml:space="preserve">Failure mode description (crack location, delamination, bearing wear, etc.)</w:t>
      </w:r>
    </w:p>
    <w:p>
      <w:pPr>
        <w:pStyle w:val="ListParagraph"/>
        <w:numPr>
          <w:ilvl w:val="0"/>
          <w:numId w:val="2"/>
        </w:numPr>
        <w:spacing w:before="60" w:after="60"/>
      </w:pPr>
      <w:r>
        <w:rPr>
          <w:rFonts w:ascii="Arial" w:cs="Arial" w:eastAsia="Arial" w:hAnsi="Arial"/>
          <w:sz w:val="22"/>
          <w:szCs w:val="22"/>
        </w:rPr>
        <w:t xml:space="preserve">Truck-bed test power curves if conducted</w:t>
      </w:r>
    </w:p>
    <w:p>
      <w:r>
        <w:rPr>
          <w:sz w:val="22"/>
          <w:szCs w:val="22"/>
        </w:rPr>
        <w:t xml:space="preserve"/>
      </w:r>
    </w:p>
    <w:p>
      <w:pPr>
        <w:spacing w:before="80" w:after="120"/>
      </w:pPr>
      <w:r>
        <w:rPr>
          <w:rFonts w:ascii="Arial" w:cs="Arial" w:eastAsia="Arial" w:hAnsi="Arial"/>
          <w:sz w:val="22"/>
          <w:szCs w:val="22"/>
        </w:rPr>
        <w:t xml:space="preserve">This crowd-sourced dataset will drive V2.0 geometry improvements, particularly for wall thickness optimization and hub stress concentration points.</w:t>
      </w:r>
    </w:p>
    <w:p>
      <w:r>
        <w:rPr>
          <w:sz w:val="22"/>
          <w:szCs w:val="22"/>
        </w:rPr>
        <w:t xml:space="preserve"/>
      </w:r>
    </w:p>
    <w:p>
      <w:pPr>
        <w:pBdr>
          <w:bottom w:val="single" w:color="1A5C2A" w:sz="6" w:space="1"/>
        </w:pBdr>
        <w:spacing w:before="180" w:after="180"/>
      </w:pPr>
      <w:r>
        <w:t xml:space="preserve"/>
      </w:r>
    </w:p>
    <w:p>
      <w:pPr>
        <w:pStyle w:val="Heading1"/>
        <w:spacing w:before="400" w:after="200"/>
      </w:pPr>
      <w:r>
        <w:rPr>
          <w:rFonts w:ascii="Arial" w:cs="Arial" w:eastAsia="Arial" w:hAnsi="Arial"/>
          <w:b/>
          <w:bCs/>
          <w:color w:val="1A3A1A"/>
          <w:sz w:val="34"/>
          <w:szCs w:val="34"/>
        </w:rPr>
        <w:t xml:space="preserve">Repository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File</w:t>
            </w:r>
          </w:p>
        </w:tc>
        <w:tc>
          <w:tcPr>
            <w:tcW w:type="dxa" w:w="616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Description</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revolt_scoop.scad</w:t>
            </w:r>
          </w:p>
        </w:tc>
        <w:tc>
          <w:tcPr>
            <w:tcW w:type="dxa" w:w="6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Full OpenSCAD parametric source — all components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revolt_simulation.py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Physics simulation — power/torque curves at any wind speed</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REVOLT_Plain_English.pdf</w:t>
            </w:r>
          </w:p>
        </w:tc>
        <w:tc>
          <w:tcPr>
            <w:tcW w:type="dxa" w:w="6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Non-technical guide for general builders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REVOLT_Patent_Disclosure.pdf</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Full prior art disclosure establishing public domain</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REVOLT_Technical_Brief.pdf</w:t>
            </w:r>
          </w:p>
        </w:tc>
        <w:tc>
          <w:tcPr>
            <w:tcW w:type="dxa" w:w="6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This document</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fatigue_log_template.csv</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Standardized community data upload format</w:t>
            </w:r>
          </w:p>
        </w:tc>
      </w:tr>
      <w:tr>
        <w:tc>
          <w:tcPr>
            <w:tcW w:type="dxa" w:w="32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DISCLOSURE_DATE.txt</w:t>
            </w:r>
          </w:p>
        </w:tc>
        <w:tc>
          <w:tcPr>
            <w:tcW w:type="dxa" w:w="61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Timestamped prior art record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README.md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Project overview and build guide</w:t>
            </w:r>
          </w:p>
        </w:tc>
      </w:tr>
    </w:tbl>
    <w:p>
      <w:r>
        <w:rPr>
          <w:sz w:val="22"/>
          <w:szCs w:val="22"/>
        </w:rPr>
        <w:t xml:space="preserve"/>
      </w:r>
    </w:p>
    <w:p>
      <w:pPr>
        <w:pBdr>
          <w:bottom w:val="single" w:color="1A5C2A" w:sz="6" w:space="1"/>
        </w:pBdr>
        <w:spacing w:before="180" w:after="180"/>
      </w:pPr>
      <w:r>
        <w:t xml:space="preserve"/>
      </w:r>
    </w:p>
    <w:p>
      <w:pPr>
        <w:pStyle w:val="Heading1"/>
        <w:spacing w:before="400" w:after="200"/>
      </w:pPr>
      <w:r>
        <w:rPr>
          <w:rFonts w:ascii="Arial" w:cs="Arial" w:eastAsia="Arial" w:hAnsi="Arial"/>
          <w:b/>
          <w:bCs/>
          <w:color w:val="1A3A1A"/>
          <w:sz w:val="34"/>
          <w:szCs w:val="34"/>
        </w:rPr>
        <w:t xml:space="preserve">Closing Statement</w:t>
      </w:r>
    </w:p>
    <w:p>
      <w:pPr>
        <w:pBdr>
          <w:left w:val="single" w:color="1A5C2A" w:sz="16" w:space="1"/>
        </w:pBdr>
        <w:shd w:fill="E8F5E9" w:val="clear"/>
        <w:spacing w:before="140" w:after="140"/>
        <w:ind w:left="360" w:right="360"/>
      </w:pPr>
      <w:r>
        <w:rPr>
          <w:rFonts w:ascii="Arial" w:cs="Arial" w:eastAsia="Arial" w:hAnsi="Arial"/>
          <w:i/>
          <w:iCs/>
          <w:color w:val="1A3A1A"/>
          <w:sz w:val="22"/>
          <w:szCs w:val="22"/>
        </w:rPr>
        <w:t xml:space="preserve">REVOLT is released with no strings attached under CC0. Print it, build it, sell kits, deploy it in disaster zones, teach it in schools. The only goal is that people have power when they need it most.</w:t>
      </w:r>
    </w:p>
    <w:p>
      <w:r>
        <w:rPr>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Contact</w:t>
            </w:r>
          </w:p>
        </w:tc>
        <w:tc>
          <w:tcPr>
            <w:tcW w:type="dxa" w:w="360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Repository</w:t>
            </w:r>
          </w:p>
        </w:tc>
        <w:tc>
          <w:tcPr>
            <w:tcW w:type="dxa" w:w="3360"/>
            <w:tcBorders>
              <w:top w:val="single" w:color="1A5C2A" w:sz="1"/>
              <w:left w:val="single" w:color="1A5C2A" w:sz="1"/>
              <w:bottom w:val="single" w:color="1A5C2A" w:sz="1"/>
              <w:right w:val="single" w:color="1A5C2A" w:sz="1"/>
            </w:tcBorders>
            <w:shd w:fill="1A3A1A" w:val="clear"/>
            <w:tcMar>
              <w:top w:type="dxa" w:w="100"/>
              <w:left w:type="dxa" w:w="120"/>
              <w:bottom w:type="dxa" w:w="100"/>
              <w:right w:type="dxa" w:w="120"/>
            </w:tcMar>
          </w:tcPr>
          <w:p>
            <w:r>
              <w:rPr>
                <w:rFonts w:ascii="Arial" w:cs="Arial" w:eastAsia="Arial" w:hAnsi="Arial"/>
                <w:b/>
                <w:bCs/>
                <w:color w:val="FFFFFF"/>
                <w:sz w:val="20"/>
                <w:szCs w:val="20"/>
              </w:rPr>
              <w:t xml:space="preserve">Hashtags</w:t>
            </w:r>
          </w:p>
        </w:tc>
      </w:tr>
      <w:tr>
        <w:tc>
          <w:tcPr>
            <w:tcW w:type="dxa" w:w="24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X: @OpnSorcePatents</w:t>
            </w:r>
          </w:p>
        </w:tc>
        <w:tc>
          <w:tcPr>
            <w:tcW w:type="dxa" w:w="360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github.com/OpenSourcePatents/REVOLT</w:t>
            </w:r>
          </w:p>
        </w:tc>
        <w:tc>
          <w:tcPr>
            <w:tcW w:type="dxa" w:w="3360"/>
            <w:tcBorders>
              <w:top w:val="single" w:color="CCCCCC" w:sz="1"/>
              <w:left w:val="single" w:color="CCCCCC" w:sz="1"/>
              <w:bottom w:val="single" w:color="CCCCCC" w:sz="1"/>
              <w:right w:val="single" w:color="CCCCCC" w:sz="1"/>
            </w:tcBorders>
            <w:shd w:fill="F1F8F1" w:val="clear"/>
            <w:tcMar>
              <w:top w:type="dxa" w:w="80"/>
              <w:left w:type="dxa" w:w="120"/>
              <w:bottom w:type="dxa" w:w="80"/>
              <w:right w:type="dxa" w:w="120"/>
            </w:tcMar>
          </w:tcPr>
          <w:p>
            <w:r>
              <w:rPr>
                <w:rFonts w:ascii="Arial" w:cs="Arial" w:eastAsia="Arial" w:hAnsi="Arial"/>
                <w:sz w:val="20"/>
                <w:szCs w:val="20"/>
              </w:rPr>
              <w:t xml:space="preserve">#OpenSourceEnergy  #REVOLT  #OpenSourceSafety</w:t>
            </w:r>
          </w:p>
        </w:tc>
      </w:tr>
    </w:tbl>
    <w:p>
      <w:r>
        <w:rPr>
          <w:sz w:val="22"/>
          <w:szCs w:val="22"/>
        </w:rPr>
        <w:t xml:space="preserve"/>
      </w:r>
    </w:p>
    <w:p>
      <w:r>
        <w:rPr>
          <w:sz w:val="22"/>
          <w:szCs w:val="22"/>
        </w:rPr>
        <w:t xml:space="preserve"/>
      </w:r>
    </w:p>
    <w:p>
      <w:pPr>
        <w:jc w:val="center"/>
      </w:pPr>
      <w:r>
        <w:rPr>
          <w:rFonts w:ascii="Arial" w:cs="Arial" w:eastAsia="Arial" w:hAnsi="Arial"/>
          <w:i/>
          <w:iCs/>
          <w:color w:val="555555"/>
          <w:sz w:val="20"/>
          <w:szCs w:val="20"/>
        </w:rPr>
        <w:t xml:space="preserve">REVOLT System  |  Remote Energy Via Optimized Load Turbine  |  Open Source Energy Architecture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A3A1A" w:sz="4" w:space="1"/>
      </w:pBdr>
      <w:tabs>
        <w:tab w:val="right" w:pos="9360"/>
      </w:tabs>
    </w:pPr>
    <w:r>
      <w:rPr>
        <w:rFonts w:ascii="Arial" w:cs="Arial" w:eastAsia="Arial" w:hAnsi="Arial"/>
        <w:color w:val="777777"/>
        <w:sz w:val="18"/>
        <w:szCs w:val="18"/>
      </w:rPr>
      <w:t xml:space="preserve">No Patent Restrictions — Free for All Builders and Manufacturers</w:t>
    </w:r>
    <w:r>
      <w:rPr>
        <w:rFonts w:ascii="Arial" w:cs="Arial" w:eastAsia="Arial" w:hAnsi="Arial"/>
        <w:color w:val="777777"/>
        <w:sz w:val="18"/>
        <w:szCs w:val="18"/>
      </w:rPr>
      <w:t xml:space="preserve">	Page </w:t>
    </w:r>
    <w:r>
      <w:rPr>
        <w:rFonts w:ascii="Arial" w:cs="Arial" w:eastAsia="Arial" w:hAnsi="Arial"/>
        <w:color w:val="777777"/>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3A1A" w:sz="6" w:space="1"/>
      </w:pBdr>
    </w:pPr>
    <w:r>
      <w:rPr>
        <w:rFonts w:ascii="Arial" w:cs="Arial" w:eastAsia="Arial" w:hAnsi="Arial"/>
        <w:color w:val="555555"/>
        <w:sz w:val="18"/>
        <w:szCs w:val="18"/>
      </w:rPr>
      <w:t xml:space="preserve">REVOLT SYSTEM — TECHNICAL BRIEF  |  OPEN SOURCE PRIOR ART  |  CC0 — FREE FOR ALL IMPLEMENTATION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sz w:val="34"/>
      <w:szCs w:val="34"/>
    </w:rPr>
  </w:style>
  <w:style w:type="paragraph" w:styleId="Heading2">
    <w:name w:val="Heading 2"/>
    <w:basedOn w:val="Normal"/>
    <w:next w:val="Normal"/>
    <w:qFormat/>
    <w:pPr>
      <w:spacing w:before="280" w:after="14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2026-03-03T18:16:30.069Z</dcterms:created>
  <dcterms:modified xsi:type="dcterms:W3CDTF">2026-03-03T18:16:30.069Z</dcterms:modified>
</cp:coreProperties>
</file>

<file path=docProps/custom.xml><?xml version="1.0" encoding="utf-8"?>
<Properties xmlns="http://schemas.openxmlformats.org/officeDocument/2006/custom-properties" xmlns:vt="http://schemas.openxmlformats.org/officeDocument/2006/docPropsVTypes"/>
</file>