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before="0" w:after="120"/>
        <w:jc w:val="center"/>
      </w:pPr>
      <w:r>
        <w:rPr>
          <w:rFonts w:ascii="Arial" w:cs="Arial" w:eastAsia="Arial" w:hAnsi="Arial"/>
          <w:b/>
          <w:bCs/>
          <w:color w:val="1A3A1A"/>
          <w:sz w:val="72"/>
          <w:szCs w:val="72"/>
        </w:rPr>
        <w:t xml:space="preserve">REVOLT SYSTEM</w:t>
      </w:r>
    </w:p>
    <w:p>
      <w:pPr>
        <w:spacing w:before="0" w:after="120"/>
        <w:jc w:val="center"/>
      </w:pPr>
      <w:r>
        <w:rPr>
          <w:rFonts w:ascii="Arial" w:cs="Arial" w:eastAsia="Arial" w:hAnsi="Arial"/>
          <w:color w:val="1A5C2A"/>
          <w:sz w:val="40"/>
          <w:szCs w:val="40"/>
        </w:rPr>
        <w:t xml:space="preserve">Remote Energy Via Optimized Load Turbine</w:t>
      </w:r>
    </w:p>
    <w:p>
      <w:pPr>
        <w:spacing w:before="0" w:after="400"/>
        <w:jc w:val="center"/>
      </w:pPr>
      <w:r>
        <w:rPr>
          <w:rFonts w:ascii="Arial" w:cs="Arial" w:eastAsia="Arial" w:hAnsi="Arial"/>
          <w:color w:val="555555"/>
          <w:sz w:val="28"/>
          <w:szCs w:val="28"/>
        </w:rPr>
        <w:t xml:space="preserve">Open Source Prior Art Technical Disclosure</w:t>
      </w:r>
    </w:p>
    <w:p>
      <w:pPr>
        <w:pBdr>
          <w:bottom w:val="single" w:color="1A5C2A" w:sz="6" w:space="1"/>
        </w:pBdr>
        <w:spacing w:before="180" w:after="180"/>
      </w:pPr>
      <w:r>
        <w:t xml:space="preserve"/>
      </w:r>
    </w:p>
    <w:p>
      <w:r>
        <w:rPr>
          <w:sz w:val="22"/>
          <w:szCs w:val="22"/>
        </w:rPr>
        <w:t xml:space="preserve"/>
      </w:r>
    </w:p>
    <w:p>
      <w:pPr>
        <w:spacing w:before="0" w:after="120"/>
        <w:jc w:val="center"/>
      </w:pPr>
      <w:r>
        <w:rPr>
          <w:rFonts w:ascii="Arial" w:cs="Arial" w:eastAsia="Arial" w:hAnsi="Arial"/>
          <w:b/>
          <w:bCs/>
          <w:color w:val="1A3A1A"/>
          <w:sz w:val="24"/>
          <w:szCs w:val="24"/>
        </w:rPr>
        <w:t xml:space="preserve">ORIGINATOR: [Your Name]</w:t>
      </w:r>
    </w:p>
    <w:p>
      <w:pPr>
        <w:spacing w:before="0" w:after="120"/>
        <w:jc w:val="center"/>
      </w:pPr>
      <w:r>
        <w:rPr>
          <w:rFonts w:ascii="Arial" w:cs="Arial" w:eastAsia="Arial" w:hAnsi="Arial"/>
          <w:color w:val="444444"/>
          <w:sz w:val="24"/>
          <w:szCs w:val="24"/>
        </w:rPr>
        <w:t xml:space="preserve">DISCLOSURE DATE: March 3, 2026</w:t>
      </w:r>
    </w:p>
    <w:p>
      <w:pPr>
        <w:spacing w:before="0" w:after="120"/>
        <w:jc w:val="center"/>
      </w:pPr>
      <w:r>
        <w:rPr>
          <w:rFonts w:ascii="Arial" w:cs="Arial" w:eastAsia="Arial" w:hAnsi="Arial"/>
          <w:color w:val="444444"/>
          <w:sz w:val="24"/>
          <w:szCs w:val="24"/>
        </w:rPr>
        <w:t xml:space="preserve">LICENSE: CC0 / Public Domain — No Rights Reserved</w:t>
      </w:r>
    </w:p>
    <w:p>
      <w:r>
        <w:rPr>
          <w:sz w:val="22"/>
          <w:szCs w:val="22"/>
        </w:rPr>
        <w:t xml:space="preserve"/>
      </w:r>
    </w:p>
    <w:p>
      <w:r>
        <w:rPr>
          <w:sz w:val="22"/>
          <w:szCs w:val="22"/>
        </w:rPr>
        <w:t xml:space="preserve"/>
      </w:r>
    </w:p>
    <w:p>
      <w:pPr>
        <w:jc w:val="center"/>
      </w:pPr>
      <w:r>
        <w:rPr>
          <w:rFonts w:ascii="Arial" w:cs="Arial" w:eastAsia="Arial" w:hAnsi="Arial"/>
          <w:i/>
          <w:iCs/>
          <w:color w:val="666666"/>
          <w:sz w:val="20"/>
          <w:szCs w:val="20"/>
        </w:rPr>
        <w:t xml:space="preserve">This document constitutes a public disclosure establishing prior art.</w:t>
      </w:r>
    </w:p>
    <w:p>
      <w:pPr>
        <w:jc w:val="center"/>
      </w:pPr>
      <w:r>
        <w:rPr>
          <w:rFonts w:ascii="Arial" w:cs="Arial" w:eastAsia="Arial" w:hAnsi="Arial"/>
          <w:i/>
          <w:iCs/>
          <w:color w:val="666666"/>
          <w:sz w:val="20"/>
          <w:szCs w:val="20"/>
        </w:rPr>
        <w:t xml:space="preserve">No entity may patent these concepts. All builders, engineers, and manufacturers</w:t>
      </w:r>
    </w:p>
    <w:p>
      <w:pPr>
        <w:jc w:val="center"/>
      </w:pPr>
      <w:r>
        <w:rPr>
          <w:rFonts w:ascii="Arial" w:cs="Arial" w:eastAsia="Arial" w:hAnsi="Arial"/>
          <w:i/>
          <w:iCs/>
          <w:color w:val="666666"/>
          <w:sz w:val="20"/>
          <w:szCs w:val="20"/>
        </w:rPr>
        <w:t xml:space="preserve">are free to implement, modify, and build upon this work without restriction.</w:t>
      </w:r>
    </w:p>
    <w:p>
      <w:r>
        <w:rPr>
          <w:sz w:val="22"/>
          <w:szCs w:val="22"/>
        </w:rPr>
        <w:t xml:space="preserve"/>
      </w:r>
    </w:p>
    <w:p>
      <w:r>
        <w:br w:type="page"/>
      </w:r>
    </w:p>
    <w:p>
      <w:pPr>
        <w:pStyle w:val="Heading1"/>
        <w:spacing w:before="400" w:after="200"/>
      </w:pPr>
      <w:r>
        <w:rPr>
          <w:rFonts w:ascii="Arial" w:cs="Arial" w:eastAsia="Arial" w:hAnsi="Arial"/>
          <w:b/>
          <w:bCs/>
          <w:color w:val="1A3A1A"/>
          <w:sz w:val="32"/>
          <w:szCs w:val="32"/>
        </w:rPr>
        <w:t xml:space="preserve">1. FIELD OF THE INVENTION</w:t>
      </w:r>
    </w:p>
    <w:p>
      <w:pPr>
        <w:spacing w:before="80" w:after="120"/>
      </w:pPr>
      <w:r>
        <w:rPr>
          <w:rFonts w:ascii="Arial" w:cs="Arial" w:eastAsia="Arial" w:hAnsi="Arial"/>
          <w:sz w:val="22"/>
          <w:szCs w:val="22"/>
        </w:rPr>
        <w:t xml:space="preserve">This disclosure relates to a modular, 3D-printable Vertical Axis Wind Turbine (VAWT) utilizing a Savonius-style drag-rotor architecture with an integrated axial flux permanent magnet generator. The system is designed for decentralized energy generation in emergency, humanitarian, off-grid, and mobile applications where conventional power infrastructure is unavailable or has failed.</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2. BACKGROUND AND PRIOR ART</w:t>
      </w:r>
    </w:p>
    <w:p>
      <w:pPr>
        <w:spacing w:before="80" w:after="120"/>
      </w:pPr>
      <w:r>
        <w:rPr>
          <w:rFonts w:ascii="Arial" w:cs="Arial" w:eastAsia="Arial" w:hAnsi="Arial"/>
          <w:sz w:val="22"/>
          <w:szCs w:val="22"/>
        </w:rPr>
        <w:t xml:space="preserve">Existing small-scale wind energy solutions present barriers to accessibility in emergency and developing-world contexts:</w:t>
      </w:r>
    </w:p>
    <w:p>
      <w:pPr>
        <w:pStyle w:val="ListParagraph"/>
        <w:numPr>
          <w:ilvl w:val="0"/>
          <w:numId w:val="2"/>
        </w:numPr>
        <w:spacing w:before="60" w:after="60"/>
      </w:pPr>
      <w:r>
        <w:rPr>
          <w:rFonts w:ascii="Arial" w:cs="Arial" w:eastAsia="Arial" w:hAnsi="Arial"/>
          <w:sz w:val="22"/>
          <w:szCs w:val="22"/>
        </w:rPr>
        <w:t xml:space="preserve">Commercial small wind turbines require professional installation, specialized tools, and supply chains unavailable in disaster or conflict zones.</w:t>
      </w:r>
    </w:p>
    <w:p>
      <w:pPr>
        <w:pStyle w:val="ListParagraph"/>
        <w:numPr>
          <w:ilvl w:val="0"/>
          <w:numId w:val="2"/>
        </w:numPr>
        <w:spacing w:before="60" w:after="60"/>
      </w:pPr>
      <w:r>
        <w:rPr>
          <w:rFonts w:ascii="Arial" w:cs="Arial" w:eastAsia="Arial" w:hAnsi="Arial"/>
          <w:sz w:val="22"/>
          <w:szCs w:val="22"/>
        </w:rPr>
        <w:t xml:space="preserve">Existing open-source wind turbine designs require machined metal components, wood fabrication, or fiberglass layup skills beyond typical community capability.</w:t>
      </w:r>
    </w:p>
    <w:p>
      <w:pPr>
        <w:pStyle w:val="ListParagraph"/>
        <w:numPr>
          <w:ilvl w:val="0"/>
          <w:numId w:val="2"/>
        </w:numPr>
        <w:spacing w:before="60" w:after="60"/>
      </w:pPr>
      <w:r>
        <w:rPr>
          <w:rFonts w:ascii="Arial" w:cs="Arial" w:eastAsia="Arial" w:hAnsi="Arial"/>
          <w:sz w:val="22"/>
          <w:szCs w:val="22"/>
        </w:rPr>
        <w:t xml:space="preserve">No prior art exists for a fully 3D-printable VAWT system specifically optimized for emergency deployment using globally available bin parts (standard bearings, hardware store rod stock, commodity electronic modules).</w:t>
      </w:r>
    </w:p>
    <w:p>
      <w:r>
        <w:rPr>
          <w:sz w:val="22"/>
          <w:szCs w:val="22"/>
        </w:rPr>
        <w:t xml:space="preserve"/>
      </w:r>
    </w:p>
    <w:p>
      <w:pPr>
        <w:spacing w:before="80" w:after="120"/>
      </w:pPr>
      <w:r>
        <w:rPr>
          <w:rFonts w:ascii="Arial" w:cs="Arial" w:eastAsia="Arial" w:hAnsi="Arial"/>
          <w:sz w:val="22"/>
          <w:szCs w:val="22"/>
        </w:rPr>
        <w:t xml:space="preserve">The Savonius rotor principle (drag-based VAWT) is well established in prior art. The novel contributions of this disclosure are: the specific venting gap geometry optimized for 3D-printed construction, the modular snap-fit stacking hub system, the integrated axial flux generator design compatible with FDM printing, the universal multi-modal mounting interface, and the manual overdrive hand crank attachment enabling human-powered generation in zero-wind conditions.</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3. SUMMARY OF THE INVENTION</w:t>
      </w:r>
    </w:p>
    <w:p>
      <w:pPr>
        <w:spacing w:before="80" w:after="120"/>
      </w:pPr>
      <w:r>
        <w:rPr>
          <w:rFonts w:ascii="Arial" w:cs="Arial" w:eastAsia="Arial" w:hAnsi="Arial"/>
          <w:sz w:val="22"/>
          <w:szCs w:val="22"/>
        </w:rPr>
        <w:t xml:space="preserve">The REVOLT System comprises six integrated subsystems:</w:t>
      </w:r>
    </w:p>
    <w:p>
      <w:pPr>
        <w:pStyle w:val="ListParagraph"/>
        <w:numPr>
          <w:ilvl w:val="0"/>
          <w:numId w:val="2"/>
        </w:numPr>
        <w:spacing w:before="60" w:after="60"/>
      </w:pPr>
      <w:r>
        <w:rPr>
          <w:rFonts w:ascii="Arial" w:cs="Arial" w:eastAsia="Arial" w:hAnsi="Arial"/>
          <w:sz w:val="22"/>
          <w:szCs w:val="22"/>
        </w:rPr>
        <w:t xml:space="preserve">A drag-based Savonius scoop rotor with optimized venting gap geometry, printable in standard FDM materials</w:t>
      </w:r>
    </w:p>
    <w:p>
      <w:pPr>
        <w:pStyle w:val="ListParagraph"/>
        <w:numPr>
          <w:ilvl w:val="0"/>
          <w:numId w:val="2"/>
        </w:numPr>
        <w:spacing w:before="60" w:after="60"/>
      </w:pPr>
      <w:r>
        <w:rPr>
          <w:rFonts w:ascii="Arial" w:cs="Arial" w:eastAsia="Arial" w:hAnsi="Arial"/>
          <w:sz w:val="22"/>
          <w:szCs w:val="22"/>
        </w:rPr>
        <w:t xml:space="preserve">A modular snap-fit hub system enabling vertical tier stacking for scalable power output</w:t>
      </w:r>
    </w:p>
    <w:p>
      <w:pPr>
        <w:pStyle w:val="ListParagraph"/>
        <w:numPr>
          <w:ilvl w:val="0"/>
          <w:numId w:val="2"/>
        </w:numPr>
        <w:spacing w:before="60" w:after="60"/>
      </w:pPr>
      <w:r>
        <w:rPr>
          <w:rFonts w:ascii="Arial" w:cs="Arial" w:eastAsia="Arial" w:hAnsi="Arial"/>
          <w:sz w:val="22"/>
          <w:szCs w:val="22"/>
        </w:rPr>
        <w:t xml:space="preserve">An axial flux permanent magnet generator integrated into the base assembly</w:t>
      </w:r>
    </w:p>
    <w:p>
      <w:pPr>
        <w:pStyle w:val="ListParagraph"/>
        <w:numPr>
          <w:ilvl w:val="0"/>
          <w:numId w:val="2"/>
        </w:numPr>
        <w:spacing w:before="60" w:after="60"/>
      </w:pPr>
      <w:r>
        <w:rPr>
          <w:rFonts w:ascii="Arial" w:cs="Arial" w:eastAsia="Arial" w:hAnsi="Arial"/>
          <w:sz w:val="22"/>
          <w:szCs w:val="22"/>
        </w:rPr>
        <w:t xml:space="preserve">A dual-output electrical architecture providing both 5V USB and 12/24V battery charging</w:t>
      </w:r>
    </w:p>
    <w:p>
      <w:pPr>
        <w:pStyle w:val="ListParagraph"/>
        <w:numPr>
          <w:ilvl w:val="0"/>
          <w:numId w:val="2"/>
        </w:numPr>
        <w:spacing w:before="60" w:after="60"/>
      </w:pPr>
      <w:r>
        <w:rPr>
          <w:rFonts w:ascii="Arial" w:cs="Arial" w:eastAsia="Arial" w:hAnsi="Arial"/>
          <w:sz w:val="22"/>
          <w:szCs w:val="22"/>
        </w:rPr>
        <w:t xml:space="preserve">A universal mounting interface compatible with PVC pipe, T-posts, and vehicle roof racks</w:t>
      </w:r>
    </w:p>
    <w:p>
      <w:pPr>
        <w:pStyle w:val="ListParagraph"/>
        <w:numPr>
          <w:ilvl w:val="0"/>
          <w:numId w:val="2"/>
        </w:numPr>
        <w:spacing w:before="60" w:after="60"/>
      </w:pPr>
      <w:r>
        <w:rPr>
          <w:rFonts w:ascii="Arial" w:cs="Arial" w:eastAsia="Arial" w:hAnsi="Arial"/>
          <w:sz w:val="22"/>
          <w:szCs w:val="22"/>
        </w:rPr>
        <w:t xml:space="preserve">A manual overdrive hand crank attachment for zero-wind human-powered generation</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4. DETAILED DESCRIPTION</w:t>
      </w:r>
    </w:p>
    <w:p>
      <w:r>
        <w:rPr>
          <w:sz w:val="22"/>
          <w:szCs w:val="22"/>
        </w:rPr>
        <w:t xml:space="preserve"/>
      </w:r>
    </w:p>
    <w:p>
      <w:pPr>
        <w:pStyle w:val="Heading2"/>
        <w:spacing w:before="280" w:after="140"/>
      </w:pPr>
      <w:r>
        <w:rPr>
          <w:rFonts w:ascii="Arial" w:cs="Arial" w:eastAsia="Arial" w:hAnsi="Arial"/>
          <w:b/>
          <w:bCs/>
          <w:color w:val="1A5C2A"/>
          <w:sz w:val="26"/>
          <w:szCs w:val="26"/>
        </w:rPr>
        <w:t xml:space="preserve">4.1 Aerodynamic Geometry — The Savonius Scoop</w:t>
      </w:r>
    </w:p>
    <w:p>
      <w:pPr>
        <w:spacing w:before="200" w:after="100"/>
      </w:pPr>
      <w:r>
        <w:rPr>
          <w:rFonts w:ascii="Arial" w:cs="Arial" w:eastAsia="Arial" w:hAnsi="Arial"/>
          <w:b/>
          <w:bCs/>
          <w:color w:val="333333"/>
          <w:sz w:val="24"/>
          <w:szCs w:val="24"/>
        </w:rPr>
        <w:t xml:space="preserve">Rotor Profile</w:t>
      </w:r>
    </w:p>
    <w:p>
      <w:pPr>
        <w:spacing w:before="80" w:after="120"/>
      </w:pPr>
      <w:r>
        <w:rPr>
          <w:rFonts w:ascii="Arial" w:cs="Arial" w:eastAsia="Arial" w:hAnsi="Arial"/>
          <w:sz w:val="22"/>
          <w:szCs w:val="22"/>
        </w:rPr>
        <w:t xml:space="preserve">Each rotor blade consists of a semi-circular (180-degree arc) drag surface. Two blades are mounted on opposing sides of the central hub, offset by the venting gap to create the Savonius configuration.</w:t>
      </w:r>
    </w:p>
    <w:p>
      <w:r>
        <w:rPr>
          <w:sz w:val="22"/>
          <w:szCs w:val="22"/>
        </w:rPr>
        <w:t xml:space="preserve"/>
      </w:r>
    </w:p>
    <w:p>
      <w:pPr>
        <w:spacing w:before="200" w:after="100"/>
      </w:pPr>
      <w:r>
        <w:rPr>
          <w:rFonts w:ascii="Arial" w:cs="Arial" w:eastAsia="Arial" w:hAnsi="Arial"/>
          <w:b/>
          <w:bCs/>
          <w:color w:val="333333"/>
          <w:sz w:val="24"/>
          <w:szCs w:val="24"/>
        </w:rPr>
        <w:t xml:space="preserve">Venting Gap (Overlap Ratio)</w:t>
      </w:r>
    </w:p>
    <w:p>
      <w:pPr>
        <w:spacing w:before="80" w:after="120"/>
      </w:pPr>
      <w:r>
        <w:rPr>
          <w:rFonts w:ascii="Arial" w:cs="Arial" w:eastAsia="Arial" w:hAnsi="Arial"/>
          <w:sz w:val="22"/>
          <w:szCs w:val="22"/>
        </w:rPr>
        <w:t xml:space="preserve">The two scoops are offset at the central axis by 15-20% of the total rotor diameter. This overlap creates a venting gap through which air captured by the power-stroke scoop bleeds and applies a secondary positive force on the back face of the returning scoop, reducing drag on the returning stroke and preventing the aerodynamic stall characteristic of simple cup-style anemometer designs.</w:t>
      </w:r>
    </w:p>
    <w:p>
      <w:r>
        <w:rPr>
          <w:sz w:val="22"/>
          <w:szCs w:val="22"/>
        </w:rPr>
        <w:t xml:space="preserve"/>
      </w:r>
    </w:p>
    <w:p>
      <w:pPr>
        <w:spacing w:before="80" w:after="120"/>
      </w:pPr>
      <w:r>
        <w:rPr>
          <w:rFonts w:ascii="Arial" w:cs="Arial" w:eastAsia="Arial" w:hAnsi="Arial"/>
          <w:sz w:val="22"/>
          <w:szCs w:val="22"/>
        </w:rPr>
        <w:t xml:space="preserve">Recommended overlap ratio: 18% of rotor diameter.</w:t>
      </w:r>
    </w:p>
    <w:p>
      <w:pPr>
        <w:spacing w:before="80" w:after="80"/>
      </w:pPr>
      <w:r>
        <w:rPr>
          <w:rFonts w:ascii="Courier New" w:cs="Courier New" w:eastAsia="Courier New" w:hAnsi="Courier New"/>
          <w:b/>
          <w:bCs/>
          <w:color w:val="1A3A1A"/>
          <w:sz w:val="20"/>
          <w:szCs w:val="20"/>
        </w:rPr>
        <w:t xml:space="preserve">     overlap_offset = rotor_diameter * 0.18</w:t>
      </w:r>
    </w:p>
    <w:p>
      <w:r>
        <w:rPr>
          <w:sz w:val="22"/>
          <w:szCs w:val="22"/>
        </w:rPr>
        <w:t xml:space="preserve"/>
      </w:r>
    </w:p>
    <w:p>
      <w:pPr>
        <w:spacing w:before="200" w:after="100"/>
      </w:pPr>
      <w:r>
        <w:rPr>
          <w:rFonts w:ascii="Arial" w:cs="Arial" w:eastAsia="Arial" w:hAnsi="Arial"/>
          <w:b/>
          <w:bCs/>
          <w:color w:val="333333"/>
          <w:sz w:val="24"/>
          <w:szCs w:val="24"/>
        </w:rPr>
        <w:t xml:space="preserve">Aspect Ratio</w:t>
      </w:r>
    </w:p>
    <w:p>
      <w:pPr>
        <w:spacing w:before="80" w:after="120"/>
      </w:pPr>
      <w:r>
        <w:rPr>
          <w:rFonts w:ascii="Arial" w:cs="Arial" w:eastAsia="Arial" w:hAnsi="Arial"/>
          <w:sz w:val="22"/>
          <w:szCs w:val="22"/>
        </w:rPr>
        <w:t xml:space="preserve">Each modular tier maintains a 2:1 height-to-diameter aspect ratio per segment. This ratio provides optimal structural stability-to-swept-area balance for FDM-printed construction.</w:t>
      </w:r>
    </w:p>
    <w:p>
      <w:r>
        <w:rPr>
          <w:sz w:val="22"/>
          <w:szCs w:val="22"/>
        </w:rPr>
        <w:t xml:space="preserve"/>
      </w:r>
    </w:p>
    <w:p>
      <w:pPr>
        <w:spacing w:before="200" w:after="100"/>
      </w:pPr>
      <w:r>
        <w:rPr>
          <w:rFonts w:ascii="Arial" w:cs="Arial" w:eastAsia="Arial" w:hAnsi="Arial"/>
          <w:b/>
          <w:bCs/>
          <w:color w:val="333333"/>
          <w:sz w:val="24"/>
          <w:szCs w:val="24"/>
        </w:rPr>
        <w:t xml:space="preserve">Rotation Direction</w:t>
      </w:r>
    </w:p>
    <w:p>
      <w:pPr>
        <w:spacing w:before="80" w:after="120"/>
      </w:pPr>
      <w:r>
        <w:rPr>
          <w:rFonts w:ascii="Arial" w:cs="Arial" w:eastAsia="Arial" w:hAnsi="Arial"/>
          <w:sz w:val="22"/>
          <w:szCs w:val="22"/>
        </w:rPr>
        <w:t xml:space="preserve">Blades are designed with a symmetrical snap-fit hub. Flipping any tier 180 degrees on the Z-axis reverses the rotation direction (CW to CCW or CCW to CW) without requiring separate mirror files. This is achieved by the geometric symmetry of the semi-circular scoop profile about the vertical axis.</w:t>
      </w:r>
    </w:p>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4.2 Modular Hub and Stacking System</w:t>
      </w:r>
    </w:p>
    <w:p>
      <w:pPr>
        <w:spacing w:before="80" w:after="120"/>
      </w:pPr>
      <w:r>
        <w:rPr>
          <w:rFonts w:ascii="Arial" w:cs="Arial" w:eastAsia="Arial" w:hAnsi="Arial"/>
          <w:sz w:val="22"/>
          <w:szCs w:val="22"/>
        </w:rPr>
        <w:t xml:space="preserve">The central hub collar incorporates a hexagonal or multi-point keyed external profile that mates with a corresponding socket on each scoop blade. This creates a positive rotational lock between blade and hub without adhesive or fasteners.</w:t>
      </w:r>
    </w:p>
    <w:p>
      <w:r>
        <w:rPr>
          <w:sz w:val="22"/>
          <w:szCs w:val="22"/>
        </w:rPr>
        <w:t xml:space="preserve"/>
      </w:r>
    </w:p>
    <w:p>
      <w:pPr>
        <w:spacing w:before="80" w:after="120"/>
      </w:pPr>
      <w:r>
        <w:rPr>
          <w:rFonts w:ascii="Arial" w:cs="Arial" w:eastAsia="Arial" w:hAnsi="Arial"/>
          <w:sz w:val="22"/>
          <w:szCs w:val="22"/>
        </w:rPr>
        <w:t xml:space="preserve">Multiple tiers are stacked vertically on the same central shaft. Each tier adds swept area proportional to the single-tier value:</w:t>
      </w:r>
    </w:p>
    <w:p>
      <w:pPr>
        <w:spacing w:before="80" w:after="80"/>
      </w:pPr>
      <w:r>
        <w:rPr>
          <w:rFonts w:ascii="Courier New" w:cs="Courier New" w:eastAsia="Courier New" w:hAnsi="Courier New"/>
          <w:b/>
          <w:bCs/>
          <w:color w:val="1A3A1A"/>
          <w:sz w:val="20"/>
          <w:szCs w:val="20"/>
        </w:rPr>
        <w:t xml:space="preserve">     P_total = P_single_tier * n_tiers  (approximate, ignoring inter-tier turbulence)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Tiers</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Stack Height (200mm rotor)</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Approx Output at 20mph</w:t>
            </w:r>
          </w:p>
        </w:tc>
        <w:tc>
          <w:tcPr>
            <w:tcW w:type="dxa" w:w="33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r>
      <w:tr>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400mm</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~8W</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Minimal — single device charge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800mm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 radio</w:t>
            </w:r>
          </w:p>
        </w:tc>
      </w:tr>
      <w:tr>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1200mm</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~24W</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Emergency comms kit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2000mm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battery bank charging</w:t>
            </w:r>
          </w:p>
        </w:tc>
      </w:tr>
      <w:tr>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3200mm</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~64W</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Sustained off-grid lighting</w:t>
            </w:r>
          </w:p>
        </w:tc>
      </w:tr>
    </w:tbl>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4.3 Axial Flux Permanent Magnet Generator</w:t>
      </w:r>
    </w:p>
    <w:p>
      <w:pPr>
        <w:spacing w:before="200" w:after="100"/>
      </w:pPr>
      <w:r>
        <w:rPr>
          <w:rFonts w:ascii="Arial" w:cs="Arial" w:eastAsia="Arial" w:hAnsi="Arial"/>
          <w:b/>
          <w:bCs/>
          <w:color w:val="333333"/>
          <w:sz w:val="24"/>
          <w:szCs w:val="24"/>
        </w:rPr>
        <w:t xml:space="preserve">Architecture</w:t>
      </w:r>
    </w:p>
    <w:p>
      <w:pPr>
        <w:spacing w:before="80" w:after="120"/>
      </w:pPr>
      <w:r>
        <w:rPr>
          <w:rFonts w:ascii="Arial" w:cs="Arial" w:eastAsia="Arial" w:hAnsi="Arial"/>
          <w:sz w:val="22"/>
          <w:szCs w:val="22"/>
        </w:rPr>
        <w:t xml:space="preserve">The generator uses an axial flux 'pancake' configuration with a rotating magnet disc (rotor) and a stationary coil disc (stator). Both discs are 3D-printed from non-conductive polymer. The axial gap between rotor and stator is nominally 1.5-2.0mm.</w:t>
      </w:r>
    </w:p>
    <w:p>
      <w:r>
        <w:rPr>
          <w:sz w:val="22"/>
          <w:szCs w:val="22"/>
        </w:rPr>
        <w:t xml:space="preserve"/>
      </w:r>
    </w:p>
    <w:p>
      <w:pPr>
        <w:spacing w:before="200" w:after="100"/>
      </w:pPr>
      <w:r>
        <w:rPr>
          <w:rFonts w:ascii="Arial" w:cs="Arial" w:eastAsia="Arial" w:hAnsi="Arial"/>
          <w:b/>
          <w:bCs/>
          <w:color w:val="333333"/>
          <w:sz w:val="24"/>
          <w:szCs w:val="24"/>
        </w:rPr>
        <w:t xml:space="preserve">Magnet Configuration</w:t>
      </w:r>
    </w:p>
    <w:p>
      <w:pPr>
        <w:pStyle w:val="ListParagraph"/>
        <w:numPr>
          <w:ilvl w:val="0"/>
          <w:numId w:val="2"/>
        </w:numPr>
        <w:spacing w:before="60" w:after="60"/>
      </w:pPr>
      <w:r>
        <w:rPr>
          <w:rFonts w:ascii="Arial" w:cs="Arial" w:eastAsia="Arial" w:hAnsi="Arial"/>
          <w:sz w:val="22"/>
          <w:szCs w:val="22"/>
        </w:rPr>
        <w:t xml:space="preserve">8 N52 neodymium disc magnets (22mm diameter x 6mm thick)</w:t>
      </w:r>
    </w:p>
    <w:p>
      <w:pPr>
        <w:pStyle w:val="ListParagraph"/>
        <w:numPr>
          <w:ilvl w:val="0"/>
          <w:numId w:val="2"/>
        </w:numPr>
        <w:spacing w:before="60" w:after="60"/>
      </w:pPr>
      <w:r>
        <w:rPr>
          <w:rFonts w:ascii="Arial" w:cs="Arial" w:eastAsia="Arial" w:hAnsi="Arial"/>
          <w:sz w:val="22"/>
          <w:szCs w:val="22"/>
        </w:rPr>
        <w:t xml:space="preserve">Arranged in alternating N-S polarity around the rotor disc circumference</w:t>
      </w:r>
    </w:p>
    <w:p>
      <w:pPr>
        <w:pStyle w:val="ListParagraph"/>
        <w:numPr>
          <w:ilvl w:val="0"/>
          <w:numId w:val="2"/>
        </w:numPr>
        <w:spacing w:before="60" w:after="60"/>
      </w:pPr>
      <w:r>
        <w:rPr>
          <w:rFonts w:ascii="Arial" w:cs="Arial" w:eastAsia="Arial" w:hAnsi="Arial"/>
          <w:sz w:val="22"/>
          <w:szCs w:val="22"/>
        </w:rPr>
        <w:t xml:space="preserve">4 magnetic pole pairs, producing 4 electrical cycles per mechanical revolution</w:t>
      </w:r>
    </w:p>
    <w:p>
      <w:r>
        <w:rPr>
          <w:sz w:val="22"/>
          <w:szCs w:val="22"/>
        </w:rPr>
        <w:t xml:space="preserve"/>
      </w:r>
    </w:p>
    <w:p>
      <w:pPr>
        <w:spacing w:before="200" w:after="100"/>
      </w:pPr>
      <w:r>
        <w:rPr>
          <w:rFonts w:ascii="Arial" w:cs="Arial" w:eastAsia="Arial" w:hAnsi="Arial"/>
          <w:b/>
          <w:bCs/>
          <w:color w:val="333333"/>
          <w:sz w:val="24"/>
          <w:szCs w:val="24"/>
        </w:rPr>
        <w:t xml:space="preserve">Coil Winding Specification — 5V Target at 300 RPM</w:t>
      </w:r>
    </w:p>
    <w:p>
      <w:pPr>
        <w:spacing w:before="80" w:after="120"/>
      </w:pPr>
      <w:r>
        <w:rPr>
          <w:rFonts w:ascii="Arial" w:cs="Arial" w:eastAsia="Arial" w:hAnsi="Arial"/>
          <w:sz w:val="22"/>
          <w:szCs w:val="22"/>
        </w:rPr>
        <w:t xml:space="preserve">Working from first principles:</w:t>
      </w:r>
    </w:p>
    <w:p>
      <w:pPr>
        <w:spacing w:before="80" w:after="80"/>
      </w:pPr>
      <w:r>
        <w:rPr>
          <w:rFonts w:ascii="Courier New" w:cs="Courier New" w:eastAsia="Courier New" w:hAnsi="Courier New"/>
          <w:b/>
          <w:bCs/>
          <w:color w:val="1A3A1A"/>
          <w:sz w:val="20"/>
          <w:szCs w:val="20"/>
        </w:rPr>
        <w:t xml:space="preserve">     Target output:    5V DC at 300 RPM</w:t>
      </w:r>
    </w:p>
    <w:p>
      <w:pPr>
        <w:spacing w:before="80" w:after="80"/>
      </w:pPr>
      <w:r>
        <w:rPr>
          <w:rFonts w:ascii="Courier New" w:cs="Courier New" w:eastAsia="Courier New" w:hAnsi="Courier New"/>
          <w:b/>
          <w:bCs/>
          <w:color w:val="1A3A1A"/>
          <w:sz w:val="20"/>
          <w:szCs w:val="20"/>
        </w:rPr>
        <w:t xml:space="preserve">     Electrical freq:  f = (RPM/60) * pole_pairs = (300/60) * 4 = 20 Hz</w:t>
      </w:r>
    </w:p>
    <w:p>
      <w:pPr>
        <w:spacing w:before="80" w:after="80"/>
      </w:pPr>
      <w:r>
        <w:rPr>
          <w:rFonts w:ascii="Courier New" w:cs="Courier New" w:eastAsia="Courier New" w:hAnsi="Courier New"/>
          <w:b/>
          <w:bCs/>
          <w:color w:val="1A3A1A"/>
          <w:sz w:val="20"/>
          <w:szCs w:val="20"/>
        </w:rPr>
        <w:t xml:space="preserve">     Required Vpeak:   V_DC * 1.414 = 5 * 1.414 = 7.07V peak AC</w:t>
      </w:r>
    </w:p>
    <w:p>
      <w:pPr>
        <w:spacing w:before="80" w:after="80"/>
      </w:pPr>
      <w:r>
        <w:rPr>
          <w:rFonts w:ascii="Courier New" w:cs="Courier New" w:eastAsia="Courier New" w:hAnsi="Courier New"/>
          <w:b/>
          <w:bCs/>
          <w:color w:val="1A3A1A"/>
          <w:sz w:val="20"/>
          <w:szCs w:val="20"/>
        </w:rPr>
        <w:t xml:space="preserve">     Flux per pole:    Phi = 0.0008 Wb (N52 22mm magnet, 2mm gap)</w:t>
      </w:r>
    </w:p>
    <w:p>
      <w:pPr>
        <w:spacing w:before="80" w:after="80"/>
      </w:pPr>
      <w:r>
        <w:rPr>
          <w:rFonts w:ascii="Courier New" w:cs="Courier New" w:eastAsia="Courier New" w:hAnsi="Courier New"/>
          <w:b/>
          <w:bCs/>
          <w:color w:val="1A3A1A"/>
          <w:sz w:val="20"/>
          <w:szCs w:val="20"/>
        </w:rPr>
        <w:t xml:space="preserve">     Turns per coil:   N = Vpeak / (4.44 * f * Phi)</w:t>
      </w:r>
    </w:p>
    <w:p>
      <w:pPr>
        <w:spacing w:before="80" w:after="80"/>
      </w:pPr>
      <w:r>
        <w:rPr>
          <w:rFonts w:ascii="Courier New" w:cs="Courier New" w:eastAsia="Courier New" w:hAnsi="Courier New"/>
          <w:b/>
          <w:bCs/>
          <w:color w:val="1A3A1A"/>
          <w:sz w:val="20"/>
          <w:szCs w:val="20"/>
        </w:rPr>
        <w:t xml:space="preserve">                       N = 7.07 / (4.44 * 20 * 0.0008) = ~99 turns</w:t>
      </w:r>
    </w:p>
    <w:p>
      <w:pPr>
        <w:spacing w:before="80" w:after="80"/>
      </w:pPr>
      <w:r>
        <w:rPr>
          <w:rFonts w:ascii="Courier New" w:cs="Courier New" w:eastAsia="Courier New" w:hAnsi="Courier New"/>
          <w:b/>
          <w:bCs/>
          <w:color w:val="1A3A1A"/>
          <w:sz w:val="20"/>
          <w:szCs w:val="20"/>
        </w:rPr>
        <w:t xml:space="preserve">     Recommended:      100 turns per coil, 24 AWG magnet wire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5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Coil count</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9 coils</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3-phase, 3 coils per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per coil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turns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AWG magnet wire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Winding direction</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All same direction</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Critical — reverse polarity if wrong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(Y) configuration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neutral center point</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Wire gauge</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24 AWG magnet wire</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Balance of resistance and fill factor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RPM for 5V USB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RPM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Achievable at ~15-20mph wind</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Target RPM for 12V charging</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~720 RPM</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Achievable at ~25-30mph wind</w:t>
            </w:r>
          </w:p>
        </w:tc>
      </w:tr>
    </w:tbl>
    <w:p>
      <w:r>
        <w:rPr>
          <w:sz w:val="22"/>
          <w:szCs w:val="22"/>
        </w:rPr>
        <w:t xml:space="preserve"/>
      </w:r>
    </w:p>
    <w:p>
      <w:pPr>
        <w:spacing w:before="200" w:after="100"/>
      </w:pPr>
      <w:r>
        <w:rPr>
          <w:rFonts w:ascii="Arial" w:cs="Arial" w:eastAsia="Arial" w:hAnsi="Arial"/>
          <w:b/>
          <w:bCs/>
          <w:color w:val="333333"/>
          <w:sz w:val="24"/>
          <w:szCs w:val="24"/>
        </w:rPr>
        <w:t xml:space="preserve">Electrical Output Chain</w:t>
      </w:r>
    </w:p>
    <w:p>
      <w:pPr>
        <w:pStyle w:val="ListParagraph"/>
        <w:numPr>
          <w:ilvl w:val="0"/>
          <w:numId w:val="2"/>
        </w:numPr>
        <w:spacing w:before="60" w:after="60"/>
      </w:pPr>
      <w:r>
        <w:rPr>
          <w:rFonts w:ascii="Arial" w:cs="Arial" w:eastAsia="Arial" w:hAnsi="Arial"/>
          <w:sz w:val="22"/>
          <w:szCs w:val="22"/>
        </w:rPr>
        <w:t xml:space="preserve">Stage 1 — Rectification: 3-phase bridge rectifier converts AC to pulsed DC</w:t>
      </w:r>
    </w:p>
    <w:p>
      <w:pPr>
        <w:pStyle w:val="ListParagraph"/>
        <w:numPr>
          <w:ilvl w:val="0"/>
          <w:numId w:val="2"/>
        </w:numPr>
        <w:spacing w:before="60" w:after="60"/>
      </w:pPr>
      <w:r>
        <w:rPr>
          <w:rFonts w:ascii="Arial" w:cs="Arial" w:eastAsia="Arial" w:hAnsi="Arial"/>
          <w:sz w:val="22"/>
          <w:szCs w:val="22"/>
        </w:rPr>
        <w:t xml:space="preserve">Stage 2 — Smoothing: Optional supercapacitor bank (10-50F) smooths gusty-wind power spikes</w:t>
      </w:r>
    </w:p>
    <w:p>
      <w:pPr>
        <w:pStyle w:val="ListParagraph"/>
        <w:numPr>
          <w:ilvl w:val="0"/>
          <w:numId w:val="2"/>
        </w:numPr>
        <w:spacing w:before="60" w:after="60"/>
      </w:pPr>
      <w:r>
        <w:rPr>
          <w:rFonts w:ascii="Arial" w:cs="Arial" w:eastAsia="Arial" w:hAnsi="Arial"/>
          <w:sz w:val="22"/>
          <w:szCs w:val="22"/>
        </w:rPr>
        <w:t xml:space="preserve">Stage 3A — USB output: 5V/2A buck converter for direct device charging</w:t>
      </w:r>
    </w:p>
    <w:p>
      <w:pPr>
        <w:pStyle w:val="ListParagraph"/>
        <w:numPr>
          <w:ilvl w:val="0"/>
          <w:numId w:val="2"/>
        </w:numPr>
        <w:spacing w:before="60" w:after="60"/>
      </w:pPr>
      <w:r>
        <w:rPr>
          <w:rFonts w:ascii="Arial" w:cs="Arial" w:eastAsia="Arial" w:hAnsi="Arial"/>
          <w:sz w:val="22"/>
          <w:szCs w:val="22"/>
        </w:rPr>
        <w:t xml:space="preserve">Stage 3B — Battery charging: 12V or 24V PWM/MPPT charge controller for battery bank</w:t>
      </w:r>
    </w:p>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4.4 Mounting System — Universal Interface</w:t>
      </w:r>
    </w:p>
    <w:p>
      <w:pPr>
        <w:spacing w:before="80" w:after="120"/>
      </w:pPr>
      <w:r>
        <w:rPr>
          <w:rFonts w:ascii="Arial" w:cs="Arial" w:eastAsia="Arial" w:hAnsi="Arial"/>
          <w:sz w:val="22"/>
          <w:szCs w:val="22"/>
        </w:rPr>
        <w:t xml:space="preserve">A single base mount design accommodates three attachment modes via the same printed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Interface</w:t>
            </w:r>
          </w:p>
        </w:tc>
        <w:tc>
          <w:tcPr>
            <w:tcW w:type="dxa" w:w="45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PVC pipe</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33.4mm (1" nominal) socket bore</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Permanent ground-mounted post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T-post / rebar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Adjustable clamp collar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deployment, fence posts</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Vehicle roof rack</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MOLLE/PALS bolt flange</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Mobile deployment, truck 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tripod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standard stud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portable deployment</w:t>
            </w:r>
          </w:p>
        </w:tc>
      </w:tr>
    </w:tbl>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4.5 Manual Overdrive Hand Crank</w:t>
      </w:r>
    </w:p>
    <w:p>
      <w:pPr>
        <w:spacing w:before="80" w:after="120"/>
      </w:pPr>
      <w:r>
        <w:rPr>
          <w:rFonts w:ascii="Arial" w:cs="Arial" w:eastAsia="Arial" w:hAnsi="Arial"/>
          <w:sz w:val="22"/>
          <w:szCs w:val="22"/>
        </w:rPr>
        <w:t xml:space="preserve">A 3D-printable crank arm attaches directly to the generator shaft via the same hub collar interface used by the rotor tiers. This allows human-powered generation in zero-wind conditions.</w:t>
      </w:r>
    </w:p>
    <w:p>
      <w:r>
        <w:rPr>
          <w:sz w:val="22"/>
          <w:szCs w:val="22"/>
        </w:rPr>
        <w:t xml:space="preserve"/>
      </w:r>
    </w:p>
    <w:p>
      <w:pPr>
        <w:spacing w:before="80" w:after="120"/>
      </w:pPr>
      <w:r>
        <w:rPr>
          <w:rFonts w:ascii="Arial" w:cs="Arial" w:eastAsia="Arial" w:hAnsi="Arial"/>
          <w:sz w:val="22"/>
          <w:szCs w:val="22"/>
        </w:rPr>
        <w:t xml:space="preserve">Estimated human crank output: 10-20W continuous (moderate effort). Time to charge a 3000mAh phone battery from dead: approximately 25-35 minutes of steady cranking.</w:t>
      </w:r>
    </w:p>
    <w:p>
      <w:r>
        <w:rPr>
          <w:sz w:val="22"/>
          <w:szCs w:val="22"/>
        </w:rPr>
        <w:t xml:space="preserve"/>
      </w:r>
    </w:p>
    <w:p>
      <w:pPr>
        <w:pBdr>
          <w:left w:val="single" w:color="1A5C2A" w:sz="16" w:space="1"/>
        </w:pBdr>
        <w:shd w:fill="E8F5E9" w:val="clear"/>
        <w:spacing w:before="140" w:after="140"/>
        <w:ind w:left="360" w:right="360"/>
      </w:pPr>
      <w:r>
        <w:rPr>
          <w:rFonts w:ascii="Arial" w:cs="Arial" w:eastAsia="Arial" w:hAnsi="Arial"/>
          <w:i/>
          <w:iCs/>
          <w:color w:val="1A3A1A"/>
          <w:sz w:val="22"/>
          <w:szCs w:val="22"/>
        </w:rPr>
        <w:t xml:space="preserve">The hand crank transforms REVOLT from a wind-dependent device into an unconditional emergency power source. This is considered a core safety feature, not an accessory.</w:t>
      </w:r>
    </w:p>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4.6 Validation Protocol — Truck-Bed Wind Tunnel</w:t>
      </w:r>
    </w:p>
    <w:p>
      <w:pPr>
        <w:spacing w:before="80" w:after="120"/>
      </w:pPr>
      <w:r>
        <w:rPr>
          <w:rFonts w:ascii="Arial" w:cs="Arial" w:eastAsia="Arial" w:hAnsi="Arial"/>
          <w:sz w:val="22"/>
          <w:szCs w:val="22"/>
        </w:rPr>
        <w:t xml:space="preserve">A standardized field validation methodology is included in the repository:</w:t>
      </w:r>
    </w:p>
    <w:p>
      <w:pPr>
        <w:pStyle w:val="ListParagraph"/>
        <w:numPr>
          <w:ilvl w:val="0"/>
          <w:numId w:val="3"/>
        </w:numPr>
        <w:spacing w:before="80" w:after="80"/>
      </w:pPr>
      <w:r>
        <w:rPr>
          <w:rFonts w:ascii="Arial" w:cs="Arial" w:eastAsia="Arial" w:hAnsi="Arial"/>
          <w:sz w:val="22"/>
          <w:szCs w:val="22"/>
        </w:rPr>
        <w:t xml:space="preserve">Mount fully assembled REVOLT unit to vehicle roof rack or truck bed rail using the vehicle mount interface.</w:t>
      </w:r>
    </w:p>
    <w:p>
      <w:pPr>
        <w:pStyle w:val="ListParagraph"/>
        <w:numPr>
          <w:ilvl w:val="0"/>
          <w:numId w:val="3"/>
        </w:numPr>
        <w:spacing w:before="80" w:after="80"/>
      </w:pPr>
      <w:r>
        <w:rPr>
          <w:rFonts w:ascii="Arial" w:cs="Arial" w:eastAsia="Arial" w:hAnsi="Arial"/>
          <w:sz w:val="22"/>
          <w:szCs w:val="22"/>
        </w:rPr>
        <w:t xml:space="preserve">Drive at controlled steady speeds: 10, 20, 30, 40, 50 mph on a calm day (ambient wind &lt;5mph).</w:t>
      </w:r>
    </w:p>
    <w:p>
      <w:pPr>
        <w:pStyle w:val="ListParagraph"/>
        <w:numPr>
          <w:ilvl w:val="0"/>
          <w:numId w:val="3"/>
        </w:numPr>
        <w:spacing w:before="80" w:after="80"/>
      </w:pPr>
      <w:r>
        <w:rPr>
          <w:rFonts w:ascii="Arial" w:cs="Arial" w:eastAsia="Arial" w:hAnsi="Arial"/>
          <w:sz w:val="22"/>
          <w:szCs w:val="22"/>
        </w:rPr>
        <w:t xml:space="preserve">Record RPM at each speed using optical tachometer or phone-based tachometer app.</w:t>
      </w:r>
    </w:p>
    <w:p>
      <w:pPr>
        <w:pStyle w:val="ListParagraph"/>
        <w:numPr>
          <w:ilvl w:val="0"/>
          <w:numId w:val="3"/>
        </w:numPr>
        <w:spacing w:before="80" w:after="80"/>
      </w:pPr>
      <w:r>
        <w:rPr>
          <w:rFonts w:ascii="Arial" w:cs="Arial" w:eastAsia="Arial" w:hAnsi="Arial"/>
          <w:sz w:val="22"/>
          <w:szCs w:val="22"/>
        </w:rPr>
        <w:t xml:space="preserve">Record output voltage and current at each speed using a USB power meter or multimeter.</w:t>
      </w:r>
    </w:p>
    <w:p>
      <w:pPr>
        <w:pStyle w:val="ListParagraph"/>
        <w:numPr>
          <w:ilvl w:val="0"/>
          <w:numId w:val="3"/>
        </w:numPr>
        <w:spacing w:before="80" w:after="80"/>
      </w:pPr>
      <w:r>
        <w:rPr>
          <w:rFonts w:ascii="Arial" w:cs="Arial" w:eastAsia="Arial" w:hAnsi="Arial"/>
          <w:sz w:val="22"/>
          <w:szCs w:val="22"/>
        </w:rPr>
        <w:t xml:space="preserve">Calculate power (P = V * I) and plot against wind speed equivalent.</w:t>
      </w:r>
    </w:p>
    <w:p>
      <w:pPr>
        <w:pStyle w:val="ListParagraph"/>
        <w:numPr>
          <w:ilvl w:val="0"/>
          <w:numId w:val="3"/>
        </w:numPr>
        <w:spacing w:before="80" w:after="80"/>
      </w:pPr>
      <w:r>
        <w:rPr>
          <w:rFonts w:ascii="Arial" w:cs="Arial" w:eastAsia="Arial" w:hAnsi="Arial"/>
          <w:sz w:val="22"/>
          <w:szCs w:val="22"/>
        </w:rPr>
        <w:t xml:space="preserve">Upload results as a Fatigue Log to the repository including material used, tier count, and any failure observations.</w:t>
      </w:r>
    </w:p>
    <w:p>
      <w:r>
        <w:rPr>
          <w:sz w:val="22"/>
          <w:szCs w:val="22"/>
        </w:rPr>
        <w:t xml:space="preserve"/>
      </w:r>
    </w:p>
    <w:p>
      <w:pPr>
        <w:pBdr>
          <w:bottom w:val="single" w:color="1A5C2A" w:sz="6" w:space="1"/>
        </w:pBdr>
        <w:spacing w:before="180" w:after="180"/>
      </w:pPr>
      <w:r>
        <w:t xml:space="preserve"/>
      </w:r>
    </w:p>
    <w:p>
      <w:pPr>
        <w:pStyle w:val="Heading2"/>
        <w:spacing w:before="280" w:after="140"/>
      </w:pPr>
      <w:r>
        <w:rPr>
          <w:rFonts w:ascii="Arial" w:cs="Arial" w:eastAsia="Arial" w:hAnsi="Arial"/>
          <w:b/>
          <w:bCs/>
          <w:color w:val="1A5C2A"/>
          <w:sz w:val="26"/>
          <w:szCs w:val="26"/>
        </w:rPr>
        <w:t xml:space="preserve">4.7 Recommended Print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Recommended Value</w:t>
            </w:r>
          </w:p>
        </w:tc>
        <w:tc>
          <w:tcPr>
            <w:tcW w:type="dxa" w:w="45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Material</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PLA+ for prototyping only — degrades outdoors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of strength and print time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Wall count</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4-6 perimeters</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Critical for torsional strength of scoop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Gyroid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Gyroid pattern provides best torsional rigidity</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Supports</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4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Print scoops vertically — self-supporting geometry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 adhesion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Brim recommended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flat base areas benefit from brim</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5. PERFORMANCE SIMULATION DATA</w:t>
      </w:r>
    </w:p>
    <w:p>
      <w:pPr>
        <w:spacing w:before="80" w:after="120"/>
      </w:pPr>
      <w:r>
        <w:rPr>
          <w:rFonts w:ascii="Arial" w:cs="Arial" w:eastAsia="Arial" w:hAnsi="Arial"/>
          <w:sz w:val="22"/>
          <w:szCs w:val="22"/>
        </w:rPr>
        <w:t xml:space="preserve">The following performance data is generated from the physics simulation included in the repository (revolt_simulation.py). Values assume Cp = 0.22 (realistic for 18% overlap Savonius), sea level air density 1.225 kg/m3, single 200mm x 400mm tier.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2200"/>
        <w:gridCol w:w="2160"/>
      </w:tblGrid>
      <w:tr>
        <w:trPr>
          <w:tblHeader/>
        </w:trPr>
        <w:tc>
          <w:tcPr>
            <w:tcW w:type="dxa" w:w="1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Wind Speed (mph)</w:t>
            </w:r>
          </w:p>
        </w:tc>
        <w:tc>
          <w:tcPr>
            <w:tcW w:type="dxa" w:w="1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Wind Speed (m/s)</w:t>
            </w:r>
          </w:p>
        </w:tc>
        <w:tc>
          <w:tcPr>
            <w:tcW w:type="dxa" w:w="1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RPM</w:t>
            </w:r>
          </w:p>
        </w:tc>
        <w:tc>
          <w:tcPr>
            <w:tcW w:type="dxa" w:w="22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Power per Tier (W)</w:t>
            </w:r>
          </w:p>
        </w:tc>
        <w:tc>
          <w:tcPr>
            <w:tcW w:type="dxa" w:w="21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Torque (Nm)</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2.24</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213</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0.12</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0.0054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0.0215</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6.71</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640</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3.25</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0.0485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0.0862</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11.18</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1067</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15.05</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0.1346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0.1939</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17.88</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1708</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61.64</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0.3447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0.5386</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6. CLAIMS — Prior Art Disclosure</w:t>
      </w:r>
    </w:p>
    <w:p>
      <w:pPr>
        <w:spacing w:before="80" w:after="120"/>
      </w:pPr>
      <w:r>
        <w:rPr>
          <w:rFonts w:ascii="Arial" w:cs="Arial" w:eastAsia="Arial" w:hAnsi="Arial"/>
          <w:sz w:val="22"/>
          <w:szCs w:val="22"/>
        </w:rPr>
        <w:t xml:space="preserve">The following claims define inventive concepts placed into the public domain by this disclosure:</w:t>
      </w:r>
    </w:p>
    <w:p>
      <w:r>
        <w:rPr>
          <w:sz w:val="22"/>
          <w:szCs w:val="22"/>
        </w:rPr>
        <w:t xml:space="preserve"/>
      </w:r>
    </w:p>
    <w:p>
      <w:pPr>
        <w:pStyle w:val="ListParagraph"/>
        <w:numPr>
          <w:ilvl w:val="0"/>
          <w:numId w:val="3"/>
        </w:numPr>
        <w:spacing w:before="80" w:after="80"/>
      </w:pPr>
      <w:r>
        <w:rPr>
          <w:rFonts w:ascii="Arial" w:cs="Arial" w:eastAsia="Arial" w:hAnsi="Arial"/>
          <w:sz w:val="22"/>
          <w:szCs w:val="22"/>
        </w:rPr>
        <w:t xml:space="preserve">A modular Savonius-style vertical axis wind turbine constructed from fused deposition modeled polymer components, wherein each rotor blade is a semi-circular drag surface printable without support structures when oriented vertically.</w:t>
      </w:r>
    </w:p>
    <w:p>
      <w:pPr>
        <w:pStyle w:val="ListParagraph"/>
        <w:numPr>
          <w:ilvl w:val="0"/>
          <w:numId w:val="3"/>
        </w:numPr>
        <w:spacing w:before="80" w:after="80"/>
      </w:pPr>
      <w:r>
        <w:rPr>
          <w:rFonts w:ascii="Arial" w:cs="Arial" w:eastAsia="Arial" w:hAnsi="Arial"/>
          <w:sz w:val="22"/>
          <w:szCs w:val="22"/>
        </w:rPr>
        <w:t xml:space="preserve">The turbine of Claim 1, wherein two rotor blades are offset at the central hub by 15-20% of the total rotor diameter to create a venting gap that reduces returning-blade drag and prevents aerodynamic stall.</w:t>
      </w:r>
    </w:p>
    <w:p>
      <w:pPr>
        <w:pStyle w:val="ListParagraph"/>
        <w:numPr>
          <w:ilvl w:val="0"/>
          <w:numId w:val="3"/>
        </w:numPr>
        <w:spacing w:before="80" w:after="80"/>
      </w:pPr>
      <w:r>
        <w:rPr>
          <w:rFonts w:ascii="Arial" w:cs="Arial" w:eastAsia="Arial" w:hAnsi="Arial"/>
          <w:sz w:val="22"/>
          <w:szCs w:val="22"/>
        </w:rPr>
        <w:t xml:space="preserve">The turbine of Claim 1, wherein the central hub incorporates a keyed snap-fit interface allowing multiple rotor tiers to be stacked on a common shaft to scale swept area and power output without tools or adhesive.</w:t>
      </w:r>
    </w:p>
    <w:p>
      <w:pPr>
        <w:pStyle w:val="ListParagraph"/>
        <w:numPr>
          <w:ilvl w:val="0"/>
          <w:numId w:val="3"/>
        </w:numPr>
        <w:spacing w:before="80" w:after="80"/>
      </w:pPr>
      <w:r>
        <w:rPr>
          <w:rFonts w:ascii="Arial" w:cs="Arial" w:eastAsia="Arial" w:hAnsi="Arial"/>
          <w:sz w:val="22"/>
          <w:szCs w:val="22"/>
        </w:rPr>
        <w:t xml:space="preserve">The turbine of Claim 3, wherein any rotor tier may be inverted 180 degrees on the vertical axis to reverse the direction of rotation, enabled by the geometric symmetry of the semi-circular blade profile.</w:t>
      </w:r>
    </w:p>
    <w:p>
      <w:pPr>
        <w:pStyle w:val="ListParagraph"/>
        <w:numPr>
          <w:ilvl w:val="0"/>
          <w:numId w:val="3"/>
        </w:numPr>
        <w:spacing w:before="80" w:after="80"/>
      </w:pPr>
      <w:r>
        <w:rPr>
          <w:rFonts w:ascii="Arial" w:cs="Arial" w:eastAsia="Arial" w:hAnsi="Arial"/>
          <w:sz w:val="22"/>
          <w:szCs w:val="22"/>
        </w:rPr>
        <w:t xml:space="preserve">An axial flux permanent magnet generator integrated into the base assembly of the turbine of Claim 1, comprising a 3D-printed rotating magnet disc and a 3D-printed stationary coil disc, wherein all structural components are manufacturable on a standard FDM 3D printer.</w:t>
      </w:r>
    </w:p>
    <w:p>
      <w:pPr>
        <w:pStyle w:val="ListParagraph"/>
        <w:numPr>
          <w:ilvl w:val="0"/>
          <w:numId w:val="3"/>
        </w:numPr>
        <w:spacing w:before="80" w:after="80"/>
      </w:pPr>
      <w:r>
        <w:rPr>
          <w:rFonts w:ascii="Arial" w:cs="Arial" w:eastAsia="Arial" w:hAnsi="Arial"/>
          <w:sz w:val="22"/>
          <w:szCs w:val="22"/>
        </w:rPr>
        <w:t xml:space="preserve">A manual overdrive hand crank attachment that engages the generator shaft of the turbine of Claim 1 via the same hub interface used by rotor tiers, enabling human-powered electrical generation independent of wind conditions.</w:t>
      </w:r>
    </w:p>
    <w:p>
      <w:pPr>
        <w:pStyle w:val="ListParagraph"/>
        <w:numPr>
          <w:ilvl w:val="0"/>
          <w:numId w:val="3"/>
        </w:numPr>
        <w:spacing w:before="80" w:after="80"/>
      </w:pPr>
      <w:r>
        <w:rPr>
          <w:rFonts w:ascii="Arial" w:cs="Arial" w:eastAsia="Arial" w:hAnsi="Arial"/>
          <w:sz w:val="22"/>
          <w:szCs w:val="22"/>
        </w:rPr>
        <w:t xml:space="preserve">A universal base mount providing attachment interfaces for nominal 1-inch PVC pipe, T-posts, vehicle roof racks, and standard camera tripod studs, all from a single 3D-printed component.</w:t>
      </w:r>
    </w:p>
    <w:p>
      <w:pPr>
        <w:pStyle w:val="ListParagraph"/>
        <w:numPr>
          <w:ilvl w:val="0"/>
          <w:numId w:val="3"/>
        </w:numPr>
        <w:spacing w:before="80" w:after="80"/>
      </w:pPr>
      <w:r>
        <w:rPr>
          <w:rFonts w:ascii="Arial" w:cs="Arial" w:eastAsia="Arial" w:hAnsi="Arial"/>
          <w:sz w:val="22"/>
          <w:szCs w:val="22"/>
        </w:rPr>
        <w:t xml:space="preserve">A field validation methodology for small-scale VAWT systems using a moving vehicle as a controlled-velocity wind source, comprising mounting the turbine to the vehicle exterior and recording power output at discrete vehicle speeds corresponding to equivalent wind velocities.</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7. PUBLIC DOMAIN DECLARATION</w:t>
      </w:r>
    </w:p>
    <w:p>
      <w:r>
        <w:rPr>
          <w:sz w:val="22"/>
          <w:szCs w:val="22"/>
        </w:rPr>
        <w:t xml:space="preserve"/>
      </w:r>
    </w:p>
    <w:p>
      <w:pPr>
        <w:pBdr>
          <w:top w:val="single" w:color="CCCCCC" w:sz="1"/>
          <w:bottom w:val="single" w:color="CCCCCC" w:sz="1"/>
          <w:left w:val="single" w:color="1A5C2A" w:sz="12"/>
          <w:right w:val="single" w:color="CCCCCC" w:sz="1"/>
        </w:pBdr>
        <w:shd w:fill="E8F5E9" w:val="clear"/>
        <w:spacing w:before="80" w:after="200"/>
      </w:pPr>
      <w:r>
        <w:rPr>
          <w:rFonts w:ascii="Arial" w:cs="Arial" w:eastAsia="Arial" w:hAnsi="Arial"/>
          <w:i/>
          <w:iCs/>
          <w:sz w:val="22"/>
          <w:szCs w:val="22"/>
        </w:rPr>
        <w:t xml:space="preserve">This disclosure is made with the explicit intent of placing all described inventive concepts into the public domain under the Creative Commons Zero (CC0) license. The originator expressly waives all patent rights. Any person, company, or institution worldwide is free to manufacture, distribute, modify, or build upon these designs without restriction, royalty, or attribution requirement.</w:t>
      </w:r>
    </w:p>
    <w:p>
      <w:r>
        <w:rPr>
          <w:sz w:val="22"/>
          <w:szCs w:val="22"/>
        </w:rPr>
        <w:t xml:space="preserve"/>
      </w:r>
    </w:p>
    <w:p>
      <w:pPr>
        <w:spacing w:before="80" w:after="120"/>
      </w:pPr>
      <w:r>
        <w:rPr>
          <w:rFonts w:ascii="Arial" w:cs="Arial" w:eastAsia="Arial" w:hAnsi="Arial"/>
          <w:sz w:val="22"/>
          <w:szCs w:val="22"/>
        </w:rPr>
        <w:t xml:space="preserve">Publication of this document establishes prior art under 35 U.S.C. § 102 (United States) and equivalent international statutes. No entity may obtain valid patent protection for the concepts described herein after the date of this publication.</w:t>
      </w:r>
    </w:p>
    <w:p>
      <w:r>
        <w:rPr>
          <w:sz w:val="22"/>
          <w:szCs w:val="22"/>
        </w:rPr>
        <w:t xml:space="preserve"/>
      </w:r>
    </w:p>
    <w:p>
      <w:pPr>
        <w:spacing w:before="80" w:after="120"/>
      </w:pPr>
      <w:r>
        <w:rPr>
          <w:rFonts w:ascii="Arial" w:cs="Arial" w:eastAsia="Arial" w:hAnsi="Arial"/>
          <w:i/>
          <w:iCs/>
          <w:color w:val="666666"/>
          <w:sz w:val="22"/>
          <w:szCs w:val="22"/>
        </w:rPr>
        <w:t xml:space="preserve">DISCLAIMER: This is a conceptual engineering disclosure. Builders are responsible for their own safety validation, local electrical code compliance, and structural testing.</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2"/>
          <w:szCs w:val="32"/>
        </w:rPr>
        <w:t xml:space="preserve">8. ORIGINATOR &amp;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Information</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Originator</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Disclosure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3, 2026</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github.com/OpenSourcePatents/REVOLT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 1.0 Universal — Public Domain Dedication</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X (Twitter): @OpnSorcePatents  |  #OpenSourceEnergy #REVOLT</w:t>
            </w:r>
          </w:p>
        </w:tc>
      </w:tr>
    </w:tbl>
    <w:p>
      <w:r>
        <w:rPr>
          <w:sz w:val="22"/>
          <w:szCs w:val="22"/>
        </w:rPr>
        <w:t xml:space="preserve"/>
      </w:r>
    </w:p>
    <w:p>
      <w:r>
        <w:rPr>
          <w:sz w:val="22"/>
          <w:szCs w:val="22"/>
        </w:rPr>
        <w:t xml:space="preserve"/>
      </w:r>
    </w:p>
    <w:p>
      <w:pPr>
        <w:jc w:val="center"/>
      </w:pPr>
      <w:r>
        <w:rPr>
          <w:rFonts w:ascii="Arial" w:cs="Arial" w:eastAsia="Arial" w:hAnsi="Arial"/>
          <w:b/>
          <w:bCs/>
          <w:color w:val="1A3A1A"/>
          <w:sz w:val="24"/>
          <w:szCs w:val="24"/>
        </w:rPr>
        <w:t xml:space="preserve">— END OF DISCLOSURE —</w:t>
      </w:r>
    </w:p>
    <w:p>
      <w:pPr>
        <w:jc w:val="center"/>
      </w:pPr>
      <w:r>
        <w:rPr>
          <w:rFonts w:ascii="Arial" w:cs="Arial" w:eastAsia="Arial" w:hAnsi="Arial"/>
          <w:i/>
          <w:iCs/>
          <w:color w:val="555555"/>
          <w:sz w:val="20"/>
          <w:szCs w:val="20"/>
        </w:rPr>
        <w:t xml:space="preserve">REVOLT System | Remote Energy Via Optimized Load Turbine | Open Source Energy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1A" w:sz="4" w:space="1"/>
      </w:pBdr>
      <w:tabs>
        <w:tab w:val="right" w:pos="9360"/>
      </w:tabs>
    </w:pPr>
    <w:r>
      <w:rPr>
        <w:rFonts w:ascii="Arial" w:cs="Arial" w:eastAsia="Arial" w:hAnsi="Arial"/>
        <w:color w:val="777777"/>
        <w:sz w:val="18"/>
        <w:szCs w:val="18"/>
      </w:rPr>
      <w:t xml:space="preserve">Released to the Public Domain — CC0 License — No Patent Restrictions</w:t>
    </w:r>
    <w:r>
      <w:rPr>
        <w:rFonts w:ascii="Arial" w:cs="Arial" w:eastAsia="Arial" w:hAnsi="Arial"/>
        <w:color w:val="777777"/>
        <w:sz w:val="18"/>
        <w:szCs w:val="18"/>
      </w:rPr>
      <w:t xml:space="preserve">	Page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1A" w:sz="6" w:space="1"/>
      </w:pBdr>
    </w:pPr>
    <w:r>
      <w:rPr>
        <w:rFonts w:ascii="Arial" w:cs="Arial" w:eastAsia="Arial" w:hAnsi="Arial"/>
        <w:color w:val="555555"/>
        <w:sz w:val="18"/>
        <w:szCs w:val="18"/>
      </w:rPr>
      <w:t xml:space="preserve">REVOLT SYSTEM  |  REMOTE ENERGY VIA OPTIMIZED LOAD TURBINE  |  OPEN SOURCE PRIOR ART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2026-03-03T18:16:29.592Z</dcterms:created>
  <dcterms:modified xsi:type="dcterms:W3CDTF">2026-03-03T18:16:29.592Z</dcterms:modified>
</cp:coreProperties>
</file>

<file path=docProps/custom.xml><?xml version="1.0" encoding="utf-8"?>
<Properties xmlns="http://schemas.openxmlformats.org/officeDocument/2006/custom-properties" xmlns:vt="http://schemas.openxmlformats.org/officeDocument/2006/docPropsVTypes"/>
</file>