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3600"/>
      </w:pPr>
    </w:p>
    <w:p>
      <w:pPr>
        <w:spacing w:after="80"/>
        <w:jc w:val="center"/>
      </w:pPr>
      <w:r>
        <w:rPr>
          <w:rFonts w:ascii="Arial" w:cs="Arial" w:eastAsia="Arial" w:hAnsi="Arial"/>
          <w:b/>
          <w:bCs/>
          <w:color w:val="C5972C"/>
          <w:spacing w:val="300"/>
          <w:sz w:val="22"/>
          <w:szCs w:val="22"/>
        </w:rPr>
        <w:t xml:space="preserve">CONCEPT PAPER</w:t>
      </w:r>
    </w:p>
    <w:p>
      <w:pPr>
        <w:pBdr>
          <w:bottom w:val="single" w:color="C5972C" w:sz="6" w:space="12"/>
        </w:pBdr>
        <w:spacing w:after="40"/>
        <w:jc w:val="center"/>
      </w:pPr>
    </w:p>
    <w:p>
      <w:pPr>
        <w:spacing w:after="0" w:before="200"/>
      </w:pPr>
    </w:p>
    <w:p>
      <w:pPr>
        <w:spacing w:after="120"/>
        <w:jc w:val="center"/>
      </w:pPr>
      <w:r>
        <w:rPr>
          <w:rFonts w:ascii="Arial" w:cs="Arial" w:eastAsia="Arial" w:hAnsi="Arial"/>
          <w:b/>
          <w:bCs/>
          <w:color w:val="1B2A4A"/>
          <w:sz w:val="56"/>
          <w:szCs w:val="56"/>
        </w:rPr>
        <w:t xml:space="preserve">SENTINEL</w:t>
      </w:r>
    </w:p>
    <w:p>
      <w:pPr>
        <w:spacing w:after="200"/>
        <w:jc w:val="center"/>
      </w:pPr>
      <w:r>
        <w:rPr>
          <w:rFonts w:ascii="Arial" w:cs="Arial" w:eastAsia="Arial" w:hAnsi="Arial"/>
          <w:color w:val="3D5A80"/>
          <w:sz w:val="24"/>
          <w:szCs w:val="24"/>
        </w:rPr>
        <w:t xml:space="preserve">Systemic Enforcement Network for Transparency,
Institutional Notification, and Escalated Liability</w:t>
      </w:r>
    </w:p>
    <w:p>
      <w:pPr>
        <w:spacing w:after="0" w:before="120"/>
      </w:pPr>
    </w:p>
    <w:p>
      <w:pPr>
        <w:spacing w:after="80"/>
        <w:jc w:val="center"/>
      </w:pPr>
      <w:r>
        <w:rPr>
          <w:rFonts w:ascii="Arial" w:cs="Arial" w:eastAsia="Arial" w:hAnsi="Arial"/>
          <w:i/>
          <w:iCs/>
          <w:color w:val="666666"/>
          <w:sz w:val="22"/>
          <w:szCs w:val="22"/>
        </w:rPr>
        <w:t xml:space="preserve">A Framework for Automated Government Accountability</w:t>
      </w:r>
    </w:p>
    <w:p>
      <w:pPr>
        <w:spacing w:after="0" w:before="600"/>
      </w:pPr>
    </w:p>
    <w:p>
      <w:pPr>
        <w:pBdr>
          <w:top w:val="single" w:color="CCCCCC" w:sz="2" w:space="12"/>
        </w:pBdr>
        <w:spacing w:after="60" w:before="200"/>
        <w:jc w:val="center"/>
      </w:pPr>
      <w:r>
        <w:rPr>
          <w:rFonts w:ascii="Arial" w:cs="Arial" w:eastAsia="Arial" w:hAnsi="Arial"/>
          <w:b/>
          <w:bCs/>
          <w:color w:val="1B2A4A"/>
          <w:sz w:val="22"/>
          <w:szCs w:val="22"/>
        </w:rPr>
        <w:t xml:space="preserve">Open Source Patents Initiative</w:t>
      </w:r>
    </w:p>
    <w:p>
      <w:pPr>
        <w:spacing w:after="60"/>
        <w:jc w:val="center"/>
      </w:pPr>
      <w:r>
        <w:rPr>
          <w:rFonts w:ascii="Arial" w:cs="Arial" w:eastAsia="Arial" w:hAnsi="Arial"/>
          <w:color w:val="666666"/>
          <w:sz w:val="20"/>
          <w:szCs w:val="20"/>
        </w:rPr>
        <w:t xml:space="preserve">Author: Charles Walter Dowd Jr.</w:t>
      </w:r>
    </w:p>
    <w:p>
      <w:pPr>
        <w:spacing w:after="60"/>
        <w:jc w:val="center"/>
      </w:pPr>
      <w:r>
        <w:rPr>
          <w:rFonts w:ascii="Arial" w:cs="Arial" w:eastAsia="Arial" w:hAnsi="Arial"/>
          <w:color w:val="3D5A80"/>
          <w:sz w:val="20"/>
          <w:szCs w:val="20"/>
        </w:rPr>
        <w:t xml:space="preserve">github.com/OpenSourcePatents</w:t>
      </w:r>
    </w:p>
    <w:p>
      <w:pPr>
        <w:spacing w:after="60"/>
        <w:jc w:val="center"/>
      </w:pPr>
      <w:r>
        <w:rPr>
          <w:rFonts w:ascii="Arial" w:cs="Arial" w:eastAsia="Arial" w:hAnsi="Arial"/>
          <w:color w:val="666666"/>
          <w:sz w:val="20"/>
          <w:szCs w:val="20"/>
        </w:rPr>
        <w:t xml:space="preserve">March 2026</w:t>
      </w:r>
    </w:p>
    <w:p>
      <w:pPr>
        <w:spacing w:after="60"/>
        <w:jc w:val="center"/>
      </w:pPr>
      <w:r>
        <w:rPr>
          <w:rFonts w:ascii="Arial" w:cs="Arial" w:eastAsia="Arial" w:hAnsi="Arial"/>
          <w:i/>
          <w:iCs/>
          <w:color w:val="666666"/>
          <w:sz w:val="18"/>
          <w:szCs w:val="18"/>
        </w:rPr>
        <w:t xml:space="preserve">PUBLIC DOMAIN  —  This work is released for the common good.</w:t>
      </w:r>
    </w:p>
    <w:p>
      <w:pPr>
        <w:sectPr>
          <w:pgSz w:w="12240" w:h="15840" w:orient="portrait"/>
          <w:pgMar w:top="1440" w:right="1440" w:bottom="1440" w:left="1440" w:header="708" w:footer="708" w:gutter="0"/>
          <w:pgNumType/>
          <w:docGrid w:linePitch="360"/>
        </w:sectPr>
      </w:pPr>
    </w:p>
    <w:p>
      <w:pPr>
        <w:pBdr>
          <w:bottom w:val="single" w:color="C5972C" w:sz="4" w:space="6"/>
        </w:pBdr>
        <w:spacing w:after="160" w:before="360"/>
      </w:pPr>
      <w:r>
        <w:rPr>
          <w:rFonts w:ascii="Arial" w:cs="Arial" w:eastAsia="Arial" w:hAnsi="Arial"/>
          <w:b/>
          <w:bCs/>
          <w:color w:val="1B2A4A"/>
          <w:sz w:val="26"/>
          <w:szCs w:val="26"/>
        </w:rPr>
        <w:t xml:space="preserve">EXECUTIVE SUMMARY</w:t>
      </w:r>
    </w:p>
    <w:p>
      <w:pPr>
        <w:spacing w:after="80" w:before="80"/>
        <w:jc w:val="both"/>
      </w:pPr>
      <w:r>
        <w:rPr>
          <w:rFonts w:ascii="Arial" w:cs="Arial" w:eastAsia="Arial" w:hAnsi="Arial"/>
          <w:color w:val="333333"/>
          <w:sz w:val="21"/>
          <w:szCs w:val="21"/>
        </w:rPr>
        <w:t xml:space="preserve">The United States faces an institutional accountability crisis. Public trust in government has declined to historic lows, yet the mechanisms available for identifying, reporting, and resolving corruption remain fragmented, slow, and structurally biased toward institutional self-protection. Whistleblowers face retaliation. Oversight agencies are underfunded and politically constrained. Citizens lack the tools to hold officials accountable in real time.</w:t>
      </w:r>
    </w:p>
    <w:p>
      <w:pPr>
        <w:spacing w:after="80" w:before="80"/>
        <w:jc w:val="both"/>
      </w:pPr>
      <w:r>
        <w:rPr>
          <w:rFonts w:ascii="Arial" w:cs="Arial" w:eastAsia="Arial" w:hAnsi="Arial"/>
          <w:color w:val="333333"/>
          <w:sz w:val="21"/>
          <w:szCs w:val="21"/>
        </w:rPr>
        <w:t xml:space="preserve">SENTINEL proposes a unified digital framework that detects anomalous government behavior through automated analysis of public data, routes verified findings directly to responsible authorities under structured confidentiality, imposes a defined resolution timeline, and—if that timeline expires without adequate response—automatically declassifies findings for public access and civic action.</w:t>
      </w:r>
    </w:p>
    <w:p>
      <w:pPr>
        <w:spacing w:after="80" w:before="80"/>
        <w:jc w:val="both"/>
      </w:pPr>
      <w:r>
        <w:rPr>
          <w:rFonts w:ascii="Arial" w:cs="Arial" w:eastAsia="Arial" w:hAnsi="Arial"/>
          <w:color w:val="333333"/>
          <w:sz w:val="21"/>
          <w:szCs w:val="21"/>
        </w:rPr>
        <w:t xml:space="preserve">This is not a surveillance tool. It is an accountability clock. The system does not watch people. It watches patterns, disclosures, votes, spending, and conflicts of interest—all drawn from data that is already legally public. The innovation is not the data itself, but the structure: automated detection, mandatory routing, time-bound confidentiality, and citizen-triggered enforcement.</w:t>
      </w:r>
    </w:p>
    <w:p>
      <w:pPr>
        <w:pBdr>
          <w:bottom w:val="single" w:color="C5972C" w:sz="4" w:space="6"/>
        </w:pBdr>
        <w:spacing w:after="160" w:before="360"/>
      </w:pPr>
      <w:r>
        <w:rPr>
          <w:rFonts w:ascii="Arial" w:cs="Arial" w:eastAsia="Arial" w:hAnsi="Arial"/>
          <w:b/>
          <w:bCs/>
          <w:color w:val="1B2A4A"/>
          <w:sz w:val="26"/>
          <w:szCs w:val="26"/>
        </w:rPr>
        <w:t xml:space="preserve">I. THE PROBLEM</w:t>
      </w:r>
    </w:p>
    <w:p>
      <w:pPr>
        <w:spacing w:after="120" w:before="240"/>
      </w:pPr>
      <w:r>
        <w:rPr>
          <w:rFonts w:ascii="Arial" w:cs="Arial" w:eastAsia="Arial" w:hAnsi="Arial"/>
          <w:b/>
          <w:bCs/>
          <w:color w:val="3D5A80"/>
          <w:sz w:val="22"/>
          <w:szCs w:val="22"/>
        </w:rPr>
        <w:t xml:space="preserve">1.1  Structural Failure of Existing Accountability</w:t>
      </w:r>
    </w:p>
    <w:p>
      <w:pPr>
        <w:spacing w:after="80" w:before="80"/>
        <w:jc w:val="both"/>
      </w:pPr>
      <w:r>
        <w:rPr>
          <w:rFonts w:ascii="Arial" w:cs="Arial" w:eastAsia="Arial" w:hAnsi="Arial"/>
          <w:color w:val="333333"/>
          <w:sz w:val="21"/>
          <w:szCs w:val="21"/>
        </w:rPr>
        <w:t xml:space="preserve">The current American accountability infrastructure suffers from three compounding failures that render it incapable of addressing systemic corruption at scale.</w:t>
      </w:r>
    </w:p>
    <w:p>
      <w:pPr>
        <w:spacing w:after="80" w:before="80"/>
        <w:jc w:val="both"/>
      </w:pPr>
      <w:r>
        <w:rPr>
          <w:rFonts w:ascii="Arial" w:cs="Arial" w:eastAsia="Arial" w:hAnsi="Arial"/>
          <w:b/>
          <w:bCs/>
          <w:color w:val="1B2A4A"/>
          <w:sz w:val="21"/>
          <w:szCs w:val="21"/>
        </w:rPr>
        <w:t xml:space="preserve">Fragmentation. </w:t>
      </w:r>
      <w:r>
        <w:rPr>
          <w:rFonts w:ascii="Arial" w:cs="Arial" w:eastAsia="Arial" w:hAnsi="Arial"/>
          <w:color w:val="333333"/>
          <w:sz w:val="21"/>
          <w:szCs w:val="21"/>
        </w:rPr>
        <w:t xml:space="preserve">Oversight responsibilities are scattered across dozens of inspectors general, ethics committees, the Government Accountability Office, the Office of Government Ethics, state-level equivalents, and the judiciary. No single system aggregates signals or detects patterns across jurisdictions. A senator who trades stocks ahead of committee action, a governor who steers contracts to donors, and a federal administrator who buries inconvenient audit findings may all operate in parallel without any system connecting the dots.</w:t>
      </w:r>
    </w:p>
    <w:p>
      <w:pPr>
        <w:spacing w:after="80" w:before="80"/>
        <w:jc w:val="both"/>
      </w:pPr>
      <w:r>
        <w:rPr>
          <w:rFonts w:ascii="Arial" w:cs="Arial" w:eastAsia="Arial" w:hAnsi="Arial"/>
          <w:b/>
          <w:bCs/>
          <w:color w:val="1B2A4A"/>
          <w:sz w:val="21"/>
          <w:szCs w:val="21"/>
        </w:rPr>
        <w:t xml:space="preserve">Asymmetric Risk. </w:t>
      </w:r>
      <w:r>
        <w:rPr>
          <w:rFonts w:ascii="Arial" w:cs="Arial" w:eastAsia="Arial" w:hAnsi="Arial"/>
          <w:color w:val="333333"/>
          <w:sz w:val="21"/>
          <w:szCs w:val="21"/>
        </w:rPr>
        <w:t xml:space="preserve">The individual who reports corruption bears nearly all the risk. Despite statutory whistleblower protections, retaliation remains the norm. Careers are destroyed, security clearances revoked, and legal fees mount—while the institutions under scrutiny control the investigative timeline and the definition of resolution. The incentive structure is inverted: silence is rewarded, transparency is punished.</w:t>
      </w:r>
    </w:p>
    <w:p>
      <w:pPr>
        <w:spacing w:after="80" w:before="80"/>
        <w:jc w:val="both"/>
      </w:pPr>
      <w:r>
        <w:rPr>
          <w:rFonts w:ascii="Arial" w:cs="Arial" w:eastAsia="Arial" w:hAnsi="Arial"/>
          <w:b/>
          <w:bCs/>
          <w:color w:val="1B2A4A"/>
          <w:sz w:val="21"/>
          <w:szCs w:val="21"/>
        </w:rPr>
        <w:t xml:space="preserve">Temporal Advantage. </w:t>
      </w:r>
      <w:r>
        <w:rPr>
          <w:rFonts w:ascii="Arial" w:cs="Arial" w:eastAsia="Arial" w:hAnsi="Arial"/>
          <w:color w:val="333333"/>
          <w:sz w:val="21"/>
          <w:szCs w:val="21"/>
        </w:rPr>
        <w:t xml:space="preserve">Institutions control the clock. Investigations can be stalled, redirected, or buried through procedural delays. By the time findings emerge—if they emerge at all—the responsible officials have retired, been promoted, or moved to the private sector. Accountability deferred is accountability denied.</w:t>
      </w:r>
    </w:p>
    <w:p>
      <w:pPr>
        <w:spacing w:after="120" w:before="240"/>
      </w:pPr>
      <w:r>
        <w:rPr>
          <w:rFonts w:ascii="Arial" w:cs="Arial" w:eastAsia="Arial" w:hAnsi="Arial"/>
          <w:b/>
          <w:bCs/>
          <w:color w:val="3D5A80"/>
          <w:sz w:val="22"/>
          <w:szCs w:val="22"/>
        </w:rPr>
        <w:t xml:space="preserve">1.2  The Trust Deficit</w:t>
      </w:r>
    </w:p>
    <w:p>
      <w:pPr>
        <w:spacing w:after="80" w:before="80"/>
        <w:jc w:val="both"/>
      </w:pPr>
      <w:r>
        <w:rPr>
          <w:rFonts w:ascii="Arial" w:cs="Arial" w:eastAsia="Arial" w:hAnsi="Arial"/>
          <w:color w:val="333333"/>
          <w:sz w:val="21"/>
          <w:szCs w:val="21"/>
        </w:rPr>
        <w:t xml:space="preserve">According to Pew Research Center and Gallup data spanning the last two decades, public trust in the federal government to do the right thing has fallen from over 70% in the early 1960s to below 25% in recent years. This is not a partisan phenomenon. Distrust spans ideological lines and reflects a bipartisan recognition that the system as designed cannot police itself.</w:t>
      </w:r>
    </w:p>
    <w:p>
      <w:pPr>
        <w:spacing w:after="80" w:before="80"/>
        <w:jc w:val="both"/>
      </w:pPr>
      <w:r>
        <w:rPr>
          <w:rFonts w:ascii="Arial" w:cs="Arial" w:eastAsia="Arial" w:hAnsi="Arial"/>
          <w:color w:val="333333"/>
          <w:sz w:val="21"/>
          <w:szCs w:val="21"/>
        </w:rPr>
        <w:t xml:space="preserve">The consequence is not merely cynicism. It is democratic erosion. When citizens believe the system is rigged, participation declines, extremism rises, and the social contract frays. SENTINEL addresses this directly: not by asking citizens to trust the system, but by giving them a mechanism to verify it.</w:t>
      </w:r>
    </w:p>
    <w:p>
      <w:pPr>
        <w:pBdr>
          <w:bottom w:val="single" w:color="C5972C" w:sz="4" w:space="6"/>
        </w:pBdr>
        <w:spacing w:after="160" w:before="360"/>
      </w:pPr>
      <w:r>
        <w:rPr>
          <w:rFonts w:ascii="Arial" w:cs="Arial" w:eastAsia="Arial" w:hAnsi="Arial"/>
          <w:b/>
          <w:bCs/>
          <w:color w:val="1B2A4A"/>
          <w:sz w:val="26"/>
          <w:szCs w:val="26"/>
        </w:rPr>
        <w:t xml:space="preserve">II. THE SENTINEL FRAMEWORK</w:t>
      </w:r>
    </w:p>
    <w:p>
      <w:pPr>
        <w:spacing w:after="80" w:before="80"/>
        <w:jc w:val="both"/>
      </w:pPr>
      <w:r>
        <w:rPr>
          <w:rFonts w:ascii="Arial" w:cs="Arial" w:eastAsia="Arial" w:hAnsi="Arial"/>
          <w:color w:val="333333"/>
          <w:sz w:val="21"/>
          <w:szCs w:val="21"/>
        </w:rPr>
        <w:t xml:space="preserve">SENTINEL operates on five interconnected pillars, each designed to address a specific failure point in the current accountability infrastructure.</w:t>
      </w:r>
    </w:p>
    <w:p>
      <w:pPr>
        <w:spacing w:after="120" w:before="240"/>
      </w:pPr>
      <w:r>
        <w:rPr>
          <w:rFonts w:ascii="Arial" w:cs="Arial" w:eastAsia="Arial" w:hAnsi="Arial"/>
          <w:b/>
          <w:bCs/>
          <w:color w:val="3D5A80"/>
          <w:sz w:val="22"/>
          <w:szCs w:val="22"/>
        </w:rPr>
        <w:t xml:space="preserve">Pillar 1: Automated Anomaly Detection</w:t>
      </w:r>
    </w:p>
    <w:p>
      <w:pPr>
        <w:spacing w:after="80" w:before="80"/>
        <w:jc w:val="both"/>
      </w:pPr>
      <w:r>
        <w:rPr>
          <w:rFonts w:ascii="Arial" w:cs="Arial" w:eastAsia="Arial" w:hAnsi="Arial"/>
          <w:color w:val="333333"/>
          <w:sz w:val="21"/>
          <w:szCs w:val="21"/>
        </w:rPr>
        <w:t xml:space="preserve">The system continuously monitors publicly available government data streams, including financial disclosures, voting records, contract awards, lobbying registrations, campaign contributions, personnel actions, and regulatory filings. Machine learning models score patterns against historical baselines and flag statistical anomalies—not opinions, not accusations, but measurable deviations from expected behavior.</w:t>
      </w:r>
    </w:p>
    <w:p>
      <w:pPr>
        <w:spacing w:after="80" w:before="80"/>
        <w:jc w:val="both"/>
      </w:pPr>
      <w:r>
        <w:rPr>
          <w:rFonts w:ascii="Arial" w:cs="Arial" w:eastAsia="Arial" w:hAnsi="Arial"/>
          <w:color w:val="333333"/>
          <w:sz w:val="21"/>
          <w:szCs w:val="21"/>
        </w:rPr>
        <w:t xml:space="preserve">Examples of detectable patterns include: a legislator whose committee votes correlate with recent campaign contributions above a threshold confidence interval; a procurement official who awards contracts disproportionately to a small set of vendors; a regulator whose enforcement actions drop sharply after meeting with industry lobbyists; or a state official whose personal financial disclosures diverge from expected income patterns.</w:t>
      </w:r>
    </w:p>
    <w:p>
      <w:pPr>
        <w:spacing w:after="80" w:before="80"/>
        <w:jc w:val="both"/>
      </w:pPr>
      <w:r>
        <w:rPr>
          <w:rFonts w:ascii="Arial" w:cs="Arial" w:eastAsia="Arial" w:hAnsi="Arial"/>
          <w:color w:val="333333"/>
          <w:sz w:val="21"/>
          <w:szCs w:val="21"/>
        </w:rPr>
        <w:t xml:space="preserve">The detection layer does not determine guilt. It identifies signals that warrant human attention and institutional response.</w:t>
      </w:r>
    </w:p>
    <w:p>
      <w:pPr>
        <w:spacing w:after="120" w:before="240"/>
      </w:pPr>
      <w:r>
        <w:rPr>
          <w:rFonts w:ascii="Arial" w:cs="Arial" w:eastAsia="Arial" w:hAnsi="Arial"/>
          <w:b/>
          <w:bCs/>
          <w:color w:val="3D5A80"/>
          <w:sz w:val="22"/>
          <w:szCs w:val="22"/>
        </w:rPr>
        <w:t xml:space="preserve">Pillar 2: Verified Reporting Pipeline</w:t>
      </w:r>
    </w:p>
    <w:p>
      <w:pPr>
        <w:spacing w:after="80" w:before="80"/>
        <w:jc w:val="both"/>
      </w:pPr>
      <w:r>
        <w:rPr>
          <w:rFonts w:ascii="Arial" w:cs="Arial" w:eastAsia="Arial" w:hAnsi="Arial"/>
          <w:color w:val="333333"/>
          <w:sz w:val="21"/>
          <w:szCs w:val="21"/>
        </w:rPr>
        <w:t xml:space="preserve">When the system identifies an anomaly that exceeds a defined severity threshold, it generates a structured report. This report includes the raw data, the analytical methodology, the confidence score, and a plain-language summary. Reports are cryptographically timestamped and immutably logged to prevent retroactive alteration.</w:t>
      </w:r>
    </w:p>
    <w:p>
      <w:pPr>
        <w:spacing w:after="80" w:before="80"/>
        <w:jc w:val="both"/>
      </w:pPr>
      <w:r>
        <w:rPr>
          <w:rFonts w:ascii="Arial" w:cs="Arial" w:eastAsia="Arial" w:hAnsi="Arial"/>
          <w:color w:val="333333"/>
          <w:sz w:val="21"/>
          <w:szCs w:val="21"/>
        </w:rPr>
        <w:t xml:space="preserve">The system also accepts structured input from human reporters—citizens, journalists, government employees—who can submit tips through a secure, anonymized portal. Human-sourced reports undergo the same analytical pipeline and are scored against the same evidence standards before entering the notification queue.</w:t>
      </w:r>
    </w:p>
    <w:p>
      <w:pPr>
        <w:spacing w:after="120" w:before="240"/>
      </w:pPr>
      <w:r>
        <w:rPr>
          <w:rFonts w:ascii="Arial" w:cs="Arial" w:eastAsia="Arial" w:hAnsi="Arial"/>
          <w:b/>
          <w:bCs/>
          <w:color w:val="3D5A80"/>
          <w:sz w:val="22"/>
          <w:szCs w:val="22"/>
        </w:rPr>
        <w:t xml:space="preserve">Pillar 3: Mandatory Institutional Routing</w:t>
      </w:r>
    </w:p>
    <w:p>
      <w:pPr>
        <w:spacing w:after="80" w:before="80"/>
        <w:jc w:val="both"/>
      </w:pPr>
      <w:r>
        <w:rPr>
          <w:rFonts w:ascii="Arial" w:cs="Arial" w:eastAsia="Arial" w:hAnsi="Arial"/>
          <w:color w:val="333333"/>
          <w:sz w:val="21"/>
          <w:szCs w:val="21"/>
        </w:rPr>
        <w:t xml:space="preserve">Verified reports are automatically routed to the relevant authorities. Routing follows a tiered structure based on the severity and jurisdiction of the finding: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5972C" w:sz="8"/>
              <w:bottom w:val="single" w:color="CCCCCC" w:sz="1"/>
              <w:right w:val="single" w:color="CCCCCC" w:sz="1"/>
            </w:tcBorders>
            <w:shd w:fill="F2F4F7" w:val="clear"/>
            <w:tcMar>
              <w:top w:type="dxa" w:w="160"/>
              <w:left w:type="dxa" w:w="240"/>
              <w:bottom w:type="dxa" w:w="160"/>
              <w:right w:type="dxa" w:w="240"/>
            </w:tcMar>
          </w:tcPr>
          <w:p>
            <w:pPr>
              <w:spacing w:after="80" w:before="40"/>
            </w:pPr>
            <w:r>
              <w:rPr>
                <w:rFonts w:ascii="Arial" w:cs="Arial" w:eastAsia="Arial" w:hAnsi="Arial"/>
                <w:b/>
                <w:bCs/>
                <w:color w:val="1B2A4A"/>
                <w:sz w:val="20"/>
                <w:szCs w:val="20"/>
              </w:rPr>
              <w:t xml:space="preserve">ROUTING TIERS</w:t>
            </w:r>
          </w:p>
          <w:p>
            <w:pPr>
              <w:spacing w:after="40" w:before="40"/>
            </w:pPr>
            <w:r>
              <w:rPr>
                <w:rFonts w:ascii="Arial" w:cs="Arial" w:eastAsia="Arial" w:hAnsi="Arial"/>
                <w:b/>
                <w:bCs/>
                <w:color w:val="3D5A80"/>
                <w:sz w:val="20"/>
                <w:szCs w:val="20"/>
              </w:rPr>
              <w:t xml:space="preserve">Tier 1 — Departmental: </w:t>
            </w:r>
            <w:r>
              <w:rPr>
                <w:rFonts w:ascii="Arial" w:cs="Arial" w:eastAsia="Arial" w:hAnsi="Arial"/>
                <w:color w:val="333333"/>
                <w:sz w:val="20"/>
                <w:szCs w:val="20"/>
              </w:rPr>
              <w:t xml:space="preserve">Routed to the relevant agency head and inspector general. Resolution window: 90 days.</w:t>
            </w:r>
          </w:p>
          <w:p>
            <w:pPr>
              <w:spacing w:after="40" w:before="40"/>
            </w:pPr>
            <w:r>
              <w:rPr>
                <w:rFonts w:ascii="Arial" w:cs="Arial" w:eastAsia="Arial" w:hAnsi="Arial"/>
                <w:b/>
                <w:bCs/>
                <w:color w:val="3D5A80"/>
                <w:sz w:val="20"/>
                <w:szCs w:val="20"/>
              </w:rPr>
              <w:t xml:space="preserve">Tier 2 — Executive: </w:t>
            </w:r>
            <w:r>
              <w:rPr>
                <w:rFonts w:ascii="Arial" w:cs="Arial" w:eastAsia="Arial" w:hAnsi="Arial"/>
                <w:color w:val="333333"/>
                <w:sz w:val="20"/>
                <w:szCs w:val="20"/>
              </w:rPr>
              <w:t xml:space="preserve">Escalated to POTUS, VPOTUS, and relevant oversight committee chairs. Resolution window: 60 additional days.</w:t>
            </w:r>
          </w:p>
          <w:p>
            <w:pPr>
              <w:spacing w:after="40" w:before="40"/>
            </w:pPr>
            <w:r>
              <w:rPr>
                <w:rFonts w:ascii="Arial" w:cs="Arial" w:eastAsia="Arial" w:hAnsi="Arial"/>
                <w:b/>
                <w:bCs/>
                <w:color w:val="3D5A80"/>
                <w:sz w:val="20"/>
                <w:szCs w:val="20"/>
              </w:rPr>
              <w:t xml:space="preserve">Tier 3 — Media &amp; Public: </w:t>
            </w:r>
            <w:r>
              <w:rPr>
                <w:rFonts w:ascii="Arial" w:cs="Arial" w:eastAsia="Arial" w:hAnsi="Arial"/>
                <w:color w:val="333333"/>
                <w:sz w:val="20"/>
                <w:szCs w:val="20"/>
              </w:rPr>
              <w:t xml:space="preserve">Released to pre-registered media organizations under NDA contingency (see Pillar 4). Resolution window: 30 additional days.</w:t>
            </w:r>
          </w:p>
          <w:p>
            <w:pPr>
              <w:spacing w:after="40" w:before="40"/>
            </w:pPr>
            <w:r>
              <w:rPr>
                <w:rFonts w:ascii="Arial" w:cs="Arial" w:eastAsia="Arial" w:hAnsi="Arial"/>
                <w:b/>
                <w:bCs/>
                <w:color w:val="3D5A80"/>
                <w:sz w:val="20"/>
                <w:szCs w:val="20"/>
              </w:rPr>
              <w:t xml:space="preserve">Tier 4 — Public Disclosure: </w:t>
            </w:r>
            <w:r>
              <w:rPr>
                <w:rFonts w:ascii="Arial" w:cs="Arial" w:eastAsia="Arial" w:hAnsi="Arial"/>
                <w:color w:val="333333"/>
                <w:sz w:val="20"/>
                <w:szCs w:val="20"/>
              </w:rPr>
              <w:t xml:space="preserve">Full public release with all supporting evidence. Citizen action mechanisms activated.</w:t>
            </w:r>
          </w:p>
        </w:tc>
      </w:tr>
    </w:tbl>
    <w:p>
      <w:pPr>
        <w:spacing w:after="0" w:before="80"/>
      </w:pPr>
    </w:p>
    <w:p>
      <w:pPr>
        <w:spacing w:after="80" w:before="80"/>
        <w:jc w:val="both"/>
      </w:pPr>
      <w:r>
        <w:rPr>
          <w:rFonts w:ascii="Arial" w:cs="Arial" w:eastAsia="Arial" w:hAnsi="Arial"/>
          <w:color w:val="333333"/>
          <w:sz w:val="21"/>
          <w:szCs w:val="21"/>
        </w:rPr>
        <w:t xml:space="preserve">At each tier, the receiving authority must formally acknowledge receipt and provide a substantive response—not merely a procedural acknowledgment—within the defined window. The system distinguishes between genuine investigation and performative delay through response analysis and milestone tracking.</w:t>
      </w:r>
    </w:p>
    <w:p>
      <w:pPr>
        <w:spacing w:after="120" w:before="240"/>
      </w:pPr>
      <w:r>
        <w:rPr>
          <w:rFonts w:ascii="Arial" w:cs="Arial" w:eastAsia="Arial" w:hAnsi="Arial"/>
          <w:b/>
          <w:bCs/>
          <w:color w:val="3D5A80"/>
          <w:sz w:val="22"/>
          <w:szCs w:val="22"/>
        </w:rPr>
        <w:t xml:space="preserve">Pillar 4: NDA Contingency Protocol</w:t>
      </w:r>
    </w:p>
    <w:p>
      <w:pPr>
        <w:spacing w:after="80" w:before="80"/>
        <w:jc w:val="both"/>
      </w:pPr>
      <w:r>
        <w:rPr>
          <w:rFonts w:ascii="Arial" w:cs="Arial" w:eastAsia="Arial" w:hAnsi="Arial"/>
          <w:color w:val="333333"/>
          <w:sz w:val="21"/>
          <w:szCs w:val="21"/>
        </w:rPr>
        <w:t xml:space="preserve">The media routing layer (Tier 3) operates under what this paper terms the NDA Contingency Protocol. Participating media organizations are pre-registered and agree to a structured embargo: they receive findings under confidentiality, with the understanding that the embargo lifts automatically if the resolution window expires without adequate institutional response.</w:t>
      </w:r>
    </w:p>
    <w:p>
      <w:pPr>
        <w:spacing w:after="80" w:before="80"/>
        <w:jc w:val="both"/>
      </w:pPr>
      <w:r>
        <w:rPr>
          <w:rFonts w:ascii="Arial" w:cs="Arial" w:eastAsia="Arial" w:hAnsi="Arial"/>
          <w:color w:val="333333"/>
          <w:sz w:val="21"/>
          <w:szCs w:val="21"/>
        </w:rPr>
        <w:t xml:space="preserve">This creates a powerful incentive structure. Institutions know that unresolved findings will not merely sit in a database—they will be published, with full evidentiary context, by credible media outlets who have had time to independently verify the claims. The NDA is not a gag order; it is a ticking clock with a public audience.</w:t>
      </w:r>
    </w:p>
    <w:p>
      <w:pPr>
        <w:spacing w:after="80" w:before="80"/>
        <w:jc w:val="both"/>
      </w:pPr>
      <w:r>
        <w:rPr>
          <w:rFonts w:ascii="Arial" w:cs="Arial" w:eastAsia="Arial" w:hAnsi="Arial"/>
          <w:color w:val="333333"/>
          <w:sz w:val="21"/>
          <w:szCs w:val="21"/>
        </w:rPr>
        <w:t xml:space="preserve">Media organizations benefit from early access and preparation time. The public benefits from verified, contextualized reporting rather than raw data dumps. Institutions benefit from a genuine window to address problems before they become front-page stories. The incentives are aligned for resolution, not for spectacle.</w:t>
      </w:r>
    </w:p>
    <w:p>
      <w:pPr>
        <w:spacing w:after="120" w:before="240"/>
      </w:pPr>
      <w:r>
        <w:rPr>
          <w:rFonts w:ascii="Arial" w:cs="Arial" w:eastAsia="Arial" w:hAnsi="Arial"/>
          <w:b/>
          <w:bCs/>
          <w:color w:val="3D5A80"/>
          <w:sz w:val="22"/>
          <w:szCs w:val="22"/>
        </w:rPr>
        <w:t xml:space="preserve">Pillar 5: Citizen Enforcement Mechanism</w:t>
      </w:r>
    </w:p>
    <w:p>
      <w:pPr>
        <w:spacing w:after="80" w:before="80"/>
        <w:jc w:val="both"/>
      </w:pPr>
      <w:r>
        <w:rPr>
          <w:rFonts w:ascii="Arial" w:cs="Arial" w:eastAsia="Arial" w:hAnsi="Arial"/>
          <w:color w:val="333333"/>
          <w:sz w:val="21"/>
          <w:szCs w:val="21"/>
        </w:rPr>
        <w:t xml:space="preserve">If all institutional tiers fail—if the finding escalates through departments, executive leadership, and media embargo without resolution—the system activates Tier 4: full public disclosure with citizen enforcement tools.</w:t>
      </w:r>
    </w:p>
    <w:p>
      <w:pPr>
        <w:spacing w:after="80" w:before="80"/>
        <w:jc w:val="both"/>
      </w:pPr>
      <w:r>
        <w:rPr>
          <w:rFonts w:ascii="Arial" w:cs="Arial" w:eastAsia="Arial" w:hAnsi="Arial"/>
          <w:color w:val="333333"/>
          <w:sz w:val="21"/>
          <w:szCs w:val="21"/>
        </w:rPr>
        <w:t xml:space="preserve">This layer provides citizens with structured pathways to act on verified findings, including: petition mechanisms tied to existing recall and referendum processes where state law permits; organized contact tools for representatives; support for formal complaints to inspectors general, the Office of Government Ethics, or state equivalents; and integration with existing FOIA request infrastructure to enable follow-up investigation.</w:t>
      </w:r>
    </w:p>
    <w:p>
      <w:pPr>
        <w:spacing w:after="80" w:before="80"/>
        <w:jc w:val="both"/>
      </w:pPr>
      <w:r>
        <w:rPr>
          <w:rFonts w:ascii="Arial" w:cs="Arial" w:eastAsia="Arial" w:hAnsi="Arial"/>
          <w:color w:val="333333"/>
          <w:sz w:val="21"/>
          <w:szCs w:val="21"/>
        </w:rPr>
        <w:t xml:space="preserve">The citizen layer does not create new legal authorities. It operationalizes existing ones by reducing the friction between knowledge and action. When a verified finding is public, the system provides not just the evidence but the roadmap for what citizens can legally do about it.</w:t>
      </w:r>
    </w:p>
    <w:p>
      <w:pPr>
        <w:pBdr>
          <w:bottom w:val="single" w:color="C5972C" w:sz="4" w:space="6"/>
        </w:pBdr>
        <w:spacing w:after="160" w:before="360"/>
      </w:pPr>
      <w:r>
        <w:rPr>
          <w:rFonts w:ascii="Arial" w:cs="Arial" w:eastAsia="Arial" w:hAnsi="Arial"/>
          <w:b/>
          <w:bCs/>
          <w:color w:val="1B2A4A"/>
          <w:sz w:val="26"/>
          <w:szCs w:val="26"/>
        </w:rPr>
        <w:t xml:space="preserve">III. LEGAL AND CONSTITUTIONAL CONSIDERATIONS</w:t>
      </w:r>
    </w:p>
    <w:p>
      <w:pPr>
        <w:spacing w:after="120" w:before="240"/>
      </w:pPr>
      <w:r>
        <w:rPr>
          <w:rFonts w:ascii="Arial" w:cs="Arial" w:eastAsia="Arial" w:hAnsi="Arial"/>
          <w:b/>
          <w:bCs/>
          <w:color w:val="3D5A80"/>
          <w:sz w:val="22"/>
          <w:szCs w:val="22"/>
        </w:rPr>
        <w:t xml:space="preserve">3.1  First Amendment Foundation</w:t>
      </w:r>
    </w:p>
    <w:p>
      <w:pPr>
        <w:spacing w:after="80" w:before="80"/>
        <w:jc w:val="both"/>
      </w:pPr>
      <w:r>
        <w:rPr>
          <w:rFonts w:ascii="Arial" w:cs="Arial" w:eastAsia="Arial" w:hAnsi="Arial"/>
          <w:color w:val="333333"/>
          <w:sz w:val="21"/>
          <w:szCs w:val="21"/>
        </w:rPr>
        <w:t xml:space="preserve">SENTINEL operates entirely on publicly available data and constitutionally protected speech. The analysis of public records, the publication of findings, and the facilitation of citizen petitions are all activities protected under the First Amendment. The system does not surveil private communications, access classified materials, or conduct investigations requiring legal process.</w:t>
      </w:r>
    </w:p>
    <w:p>
      <w:pPr>
        <w:spacing w:after="120" w:before="240"/>
      </w:pPr>
      <w:r>
        <w:rPr>
          <w:rFonts w:ascii="Arial" w:cs="Arial" w:eastAsia="Arial" w:hAnsi="Arial"/>
          <w:b/>
          <w:bCs/>
          <w:color w:val="3D5A80"/>
          <w:sz w:val="22"/>
          <w:szCs w:val="22"/>
        </w:rPr>
        <w:t xml:space="preserve">3.2  Due Process Protections</w:t>
      </w:r>
    </w:p>
    <w:p>
      <w:pPr>
        <w:spacing w:after="80" w:before="80"/>
        <w:jc w:val="both"/>
      </w:pPr>
      <w:r>
        <w:rPr>
          <w:rFonts w:ascii="Arial" w:cs="Arial" w:eastAsia="Arial" w:hAnsi="Arial"/>
          <w:color w:val="333333"/>
          <w:sz w:val="21"/>
          <w:szCs w:val="21"/>
        </w:rPr>
        <w:t xml:space="preserve">The tiered escalation structure is designed to respect due process. No finding is made public without a meaningful institutional response window. The system distinguishes between anomaly detection (automated) and accusation (never automated). Reports identify patterns and invite response; they do not render verdicts. The confidentiality windows at each tier provide the accused institution or individual with genuine opportunity to investigate and respond before public disclosure.</w:t>
      </w:r>
    </w:p>
    <w:p>
      <w:pPr>
        <w:spacing w:after="120" w:before="240"/>
      </w:pPr>
      <w:r>
        <w:rPr>
          <w:rFonts w:ascii="Arial" w:cs="Arial" w:eastAsia="Arial" w:hAnsi="Arial"/>
          <w:b/>
          <w:bCs/>
          <w:color w:val="3D5A80"/>
          <w:sz w:val="22"/>
          <w:szCs w:val="22"/>
        </w:rPr>
        <w:t xml:space="preserve">3.3  Anti-Retaliation Architecture</w:t>
      </w:r>
    </w:p>
    <w:p>
      <w:pPr>
        <w:spacing w:after="80" w:before="80"/>
        <w:jc w:val="both"/>
      </w:pPr>
      <w:r>
        <w:rPr>
          <w:rFonts w:ascii="Arial" w:cs="Arial" w:eastAsia="Arial" w:hAnsi="Arial"/>
          <w:color w:val="333333"/>
          <w:sz w:val="21"/>
          <w:szCs w:val="21"/>
        </w:rPr>
        <w:t xml:space="preserve">The anonymized reporting pipeline, cryptographic timestamping, and automated routing are designed to eliminate the single point of failure that destroys most whistleblowers: the moment a human being must personally deliver bad news to the institution responsible for the problem. SENTINEL removes the messenger from the chain. The system delivers the finding. The system tracks the response. The system escalates on the clock. No individual bears the institutional weight of disclosure.</w:t>
      </w:r>
    </w:p>
    <w:p>
      <w:pPr>
        <w:spacing w:after="120" w:before="240"/>
      </w:pPr>
      <w:r>
        <w:rPr>
          <w:rFonts w:ascii="Arial" w:cs="Arial" w:eastAsia="Arial" w:hAnsi="Arial"/>
          <w:b/>
          <w:bCs/>
          <w:color w:val="3D5A80"/>
          <w:sz w:val="22"/>
          <w:szCs w:val="22"/>
        </w:rPr>
        <w:t xml:space="preserve">3.4  Federal vs. State Jurisdictional Design</w:t>
      </w:r>
    </w:p>
    <w:p>
      <w:pPr>
        <w:spacing w:after="80" w:before="80"/>
        <w:jc w:val="both"/>
      </w:pPr>
      <w:r>
        <w:rPr>
          <w:rFonts w:ascii="Arial" w:cs="Arial" w:eastAsia="Arial" w:hAnsi="Arial"/>
          <w:color w:val="333333"/>
          <w:sz w:val="21"/>
          <w:szCs w:val="21"/>
        </w:rPr>
        <w:t xml:space="preserve">The framework is designed for dual-track operation. Federal-level findings follow the federal routing tiers (department heads, executive branch, congressional oversight). State-level findings follow parallel state-specific routing (governor, attorney general, state legislature, state media). Cross-jurisdictional findings—such as federal funds misused at the state level—trigger both tracks simultaneously. The system respects federalism by routing to the appropriate sovereign authority while maintaining the universal escalation timeline.</w:t>
      </w:r>
    </w:p>
    <w:p>
      <w:pPr>
        <w:pBdr>
          <w:bottom w:val="single" w:color="C5972C" w:sz="4" w:space="6"/>
        </w:pBdr>
        <w:spacing w:after="160" w:before="360"/>
      </w:pPr>
      <w:r>
        <w:rPr>
          <w:rFonts w:ascii="Arial" w:cs="Arial" w:eastAsia="Arial" w:hAnsi="Arial"/>
          <w:b/>
          <w:bCs/>
          <w:color w:val="1B2A4A"/>
          <w:sz w:val="26"/>
          <w:szCs w:val="26"/>
        </w:rPr>
        <w:t xml:space="preserve">IV. DIFFERENTIATION FROM EXISTING SYSTEMS</w:t>
      </w:r>
    </w:p>
    <w:p>
      <w:pPr>
        <w:spacing w:after="80" w:before="80"/>
        <w:jc w:val="both"/>
      </w:pPr>
      <w:r>
        <w:rPr>
          <w:rFonts w:ascii="Arial" w:cs="Arial" w:eastAsia="Arial" w:hAnsi="Arial"/>
          <w:color w:val="333333"/>
          <w:sz w:val="21"/>
          <w:szCs w:val="21"/>
        </w:rPr>
        <w:t xml:space="preserve">SENTINEL is not the first proposal for government transparency technology. It builds on and differs from existing systems in specific, structural ways.</w:t>
      </w:r>
    </w:p>
    <w:p>
      <w:pPr>
        <w:spacing w:after="80" w:before="80"/>
        <w:jc w:val="both"/>
      </w:pPr>
      <w:r>
        <w:rPr>
          <w:rFonts w:ascii="Arial" w:cs="Arial" w:eastAsia="Arial" w:hAnsi="Arial"/>
          <w:b/>
          <w:bCs/>
          <w:color w:val="1B2A4A"/>
          <w:sz w:val="21"/>
          <w:szCs w:val="21"/>
        </w:rPr>
        <w:t xml:space="preserve">vs. FOIA: </w:t>
      </w:r>
      <w:r>
        <w:rPr>
          <w:rFonts w:ascii="Arial" w:cs="Arial" w:eastAsia="Arial" w:hAnsi="Arial"/>
          <w:color w:val="333333"/>
          <w:sz w:val="21"/>
          <w:szCs w:val="21"/>
        </w:rPr>
        <w:t xml:space="preserve">The Freedom of Information Act is reactive, slow, and easily obstructed through redaction and delay. SENTINEL is proactive: it monitors continuously and identifies patterns before anyone files a request. FOIA requires you to know what to ask for. SENTINEL tells you what to look at.</w:t>
      </w:r>
    </w:p>
    <w:p>
      <w:pPr>
        <w:spacing w:after="80" w:before="80"/>
        <w:jc w:val="both"/>
      </w:pPr>
      <w:r>
        <w:rPr>
          <w:rFonts w:ascii="Arial" w:cs="Arial" w:eastAsia="Arial" w:hAnsi="Arial"/>
          <w:b/>
          <w:bCs/>
          <w:color w:val="1B2A4A"/>
          <w:sz w:val="21"/>
          <w:szCs w:val="21"/>
        </w:rPr>
        <w:t xml:space="preserve">vs. Inspectors General: </w:t>
      </w:r>
      <w:r>
        <w:rPr>
          <w:rFonts w:ascii="Arial" w:cs="Arial" w:eastAsia="Arial" w:hAnsi="Arial"/>
          <w:color w:val="333333"/>
          <w:sz w:val="21"/>
          <w:szCs w:val="21"/>
        </w:rPr>
        <w:t xml:space="preserve">IGs are institutionally housed within the agencies they oversee, creating inherent conflicts of interest. They can be fired, defunded, or sidelined by the very officials they investigate. SENTINEL operates outside institutional control with automated, non-discretionary escalation.</w:t>
      </w:r>
    </w:p>
    <w:p>
      <w:pPr>
        <w:spacing w:after="80" w:before="80"/>
        <w:jc w:val="both"/>
      </w:pPr>
      <w:r>
        <w:rPr>
          <w:rFonts w:ascii="Arial" w:cs="Arial" w:eastAsia="Arial" w:hAnsi="Arial"/>
          <w:b/>
          <w:bCs/>
          <w:color w:val="1B2A4A"/>
          <w:sz w:val="21"/>
          <w:szCs w:val="21"/>
        </w:rPr>
        <w:t xml:space="preserve">vs. Whistleblower Hotlines: </w:t>
      </w:r>
      <w:r>
        <w:rPr>
          <w:rFonts w:ascii="Arial" w:cs="Arial" w:eastAsia="Arial" w:hAnsi="Arial"/>
          <w:color w:val="333333"/>
          <w:sz w:val="21"/>
          <w:szCs w:val="21"/>
        </w:rPr>
        <w:t xml:space="preserve">Existing hotlines require a human to make a report, identify themselves (at least internally), and trust that the receiving institution will act in good faith. SENTINEL accepts anonymous input and guarantees escalation regardless of institutional response.</w:t>
      </w:r>
    </w:p>
    <w:p>
      <w:pPr>
        <w:spacing w:after="80" w:before="80"/>
        <w:jc w:val="both"/>
      </w:pPr>
      <w:r>
        <w:rPr>
          <w:rFonts w:ascii="Arial" w:cs="Arial" w:eastAsia="Arial" w:hAnsi="Arial"/>
          <w:b/>
          <w:bCs/>
          <w:color w:val="1B2A4A"/>
          <w:sz w:val="21"/>
          <w:szCs w:val="21"/>
        </w:rPr>
        <w:t xml:space="preserve">vs. Investigative Journalism: </w:t>
      </w:r>
      <w:r>
        <w:rPr>
          <w:rFonts w:ascii="Arial" w:cs="Arial" w:eastAsia="Arial" w:hAnsi="Arial"/>
          <w:color w:val="333333"/>
          <w:sz w:val="21"/>
          <w:szCs w:val="21"/>
        </w:rPr>
        <w:t xml:space="preserve">Journalism is essential but resource-constrained, subject to editorial discretion, and operates on institutional timelines. SENTINEL provides journalists with pre-analyzed, evidence-backed findings on a guaranteed timeline—it augments journalism rather than replacing it.</w:t>
      </w:r>
    </w:p>
    <w:p>
      <w:pPr>
        <w:spacing w:after="80" w:before="80"/>
        <w:jc w:val="both"/>
      </w:pPr>
      <w:r>
        <w:rPr>
          <w:rFonts w:ascii="Arial" w:cs="Arial" w:eastAsia="Arial" w:hAnsi="Arial"/>
          <w:b/>
          <w:bCs/>
          <w:color w:val="1B2A4A"/>
          <w:sz w:val="21"/>
          <w:szCs w:val="21"/>
        </w:rPr>
        <w:t xml:space="preserve">vs. CongressWatch: </w:t>
      </w:r>
      <w:r>
        <w:rPr>
          <w:rFonts w:ascii="Arial" w:cs="Arial" w:eastAsia="Arial" w:hAnsi="Arial"/>
          <w:color w:val="333333"/>
          <w:sz w:val="21"/>
          <w:szCs w:val="21"/>
        </w:rPr>
        <w:t xml:space="preserve">The author’s existing CongressWatch project scores congressional anomalies but operates as a public dashboard without institutional routing or enforcement mechanisms. SENTINEL subsumes and extends CongressWatch’s detection capabilities within a full accountability pipeline.</w:t>
      </w:r>
    </w:p>
    <w:p>
      <w:pPr>
        <w:pBdr>
          <w:bottom w:val="single" w:color="C5972C" w:sz="4" w:space="6"/>
        </w:pBdr>
        <w:spacing w:after="160" w:before="360"/>
      </w:pPr>
      <w:r>
        <w:rPr>
          <w:rFonts w:ascii="Arial" w:cs="Arial" w:eastAsia="Arial" w:hAnsi="Arial"/>
          <w:b/>
          <w:bCs/>
          <w:color w:val="1B2A4A"/>
          <w:sz w:val="26"/>
          <w:szCs w:val="26"/>
        </w:rPr>
        <w:t xml:space="preserve">V. RISKS, LIMITATIONS, AND HONEST CONSTRAINTS</w:t>
      </w:r>
    </w:p>
    <w:p>
      <w:pPr>
        <w:spacing w:after="80" w:before="80"/>
        <w:jc w:val="both"/>
      </w:pPr>
      <w:r>
        <w:rPr>
          <w:rFonts w:ascii="Arial" w:cs="Arial" w:eastAsia="Arial" w:hAnsi="Arial"/>
          <w:color w:val="333333"/>
          <w:sz w:val="21"/>
          <w:szCs w:val="21"/>
        </w:rPr>
        <w:t xml:space="preserve">Intellectual honesty requires acknowledging what SENTINEL cannot do and what risks it creates.</w:t>
      </w:r>
    </w:p>
    <w:p>
      <w:pPr>
        <w:spacing w:after="80" w:before="80"/>
        <w:jc w:val="both"/>
      </w:pPr>
      <w:r>
        <w:rPr>
          <w:rFonts w:ascii="Arial" w:cs="Arial" w:eastAsia="Arial" w:hAnsi="Arial"/>
          <w:b/>
          <w:bCs/>
          <w:color w:val="1B2A4A"/>
          <w:sz w:val="21"/>
          <w:szCs w:val="21"/>
        </w:rPr>
        <w:t xml:space="preserve">False Positives. </w:t>
      </w:r>
      <w:r>
        <w:rPr>
          <w:rFonts w:ascii="Arial" w:cs="Arial" w:eastAsia="Arial" w:hAnsi="Arial"/>
          <w:color w:val="333333"/>
          <w:sz w:val="21"/>
          <w:szCs w:val="21"/>
        </w:rPr>
        <w:t xml:space="preserve">Anomaly detection will produce false positives. A statistical deviation is not proof of corruption—it may reflect legitimate policy change, emergency spending, or data entry errors. The tiered response system mitigates this by giving institutions the opportunity to explain anomalies before escalation. However, the reputational risk of being flagged—even if cleared—is real and must be addressed through clear public communication that a SENTINEL finding is an inquiry trigger, not a verdict.</w:t>
      </w:r>
    </w:p>
    <w:p>
      <w:pPr>
        <w:spacing w:after="80" w:before="80"/>
        <w:jc w:val="both"/>
      </w:pPr>
      <w:r>
        <w:rPr>
          <w:rFonts w:ascii="Arial" w:cs="Arial" w:eastAsia="Arial" w:hAnsi="Arial"/>
          <w:b/>
          <w:bCs/>
          <w:color w:val="1B2A4A"/>
          <w:sz w:val="21"/>
          <w:szCs w:val="21"/>
        </w:rPr>
        <w:t xml:space="preserve">Weaponization. </w:t>
      </w:r>
      <w:r>
        <w:rPr>
          <w:rFonts w:ascii="Arial" w:cs="Arial" w:eastAsia="Arial" w:hAnsi="Arial"/>
          <w:color w:val="333333"/>
          <w:sz w:val="21"/>
          <w:szCs w:val="21"/>
        </w:rPr>
        <w:t xml:space="preserve">Any transparency tool can be weaponized for political purposes. Bad actors could attempt to flood the system with frivolous reports targeting political opponents. Mitigation requires rigorous evidence thresholds for human-sourced reports, weighting of automated detection over human tips, and transparent methodology that allows third-party audit of the scoring models.</w:t>
      </w:r>
    </w:p>
    <w:p>
      <w:pPr>
        <w:spacing w:after="80" w:before="80"/>
        <w:jc w:val="both"/>
      </w:pPr>
      <w:r>
        <w:rPr>
          <w:rFonts w:ascii="Arial" w:cs="Arial" w:eastAsia="Arial" w:hAnsi="Arial"/>
          <w:b/>
          <w:bCs/>
          <w:color w:val="1B2A4A"/>
          <w:sz w:val="21"/>
          <w:szCs w:val="21"/>
        </w:rPr>
        <w:t xml:space="preserve">Institutional Resistance. </w:t>
      </w:r>
      <w:r>
        <w:rPr>
          <w:rFonts w:ascii="Arial" w:cs="Arial" w:eastAsia="Arial" w:hAnsi="Arial"/>
          <w:color w:val="333333"/>
          <w:sz w:val="21"/>
          <w:szCs w:val="21"/>
        </w:rPr>
        <w:t xml:space="preserve">Government institutions will resist automated accountability. This is predictable and should be planned for. SENTINEL’s design assumes non-cooperation as the default and builds escalation into the architecture rather than relying on institutional goodwill.</w:t>
      </w:r>
    </w:p>
    <w:p>
      <w:pPr>
        <w:spacing w:after="80" w:before="80"/>
        <w:jc w:val="both"/>
      </w:pPr>
      <w:r>
        <w:rPr>
          <w:rFonts w:ascii="Arial" w:cs="Arial" w:eastAsia="Arial" w:hAnsi="Arial"/>
          <w:b/>
          <w:bCs/>
          <w:color w:val="1B2A4A"/>
          <w:sz w:val="21"/>
          <w:szCs w:val="21"/>
        </w:rPr>
        <w:t xml:space="preserve">Legal Challenge. </w:t>
      </w:r>
      <w:r>
        <w:rPr>
          <w:rFonts w:ascii="Arial" w:cs="Arial" w:eastAsia="Arial" w:hAnsi="Arial"/>
          <w:color w:val="333333"/>
          <w:sz w:val="21"/>
          <w:szCs w:val="21"/>
        </w:rPr>
        <w:t xml:space="preserve">State or federal officials may attempt to enjoin SENTINEL’s operations through litigation. The system’s reliance on public data and protected speech provides a strong First Amendment defense, but legal challenges will consume resources and create delay. A robust legal defense fund and pro bono partnerships should be established before launch.</w:t>
      </w:r>
    </w:p>
    <w:p>
      <w:pPr>
        <w:spacing w:after="80" w:before="80"/>
        <w:jc w:val="both"/>
      </w:pPr>
      <w:r>
        <w:rPr>
          <w:rFonts w:ascii="Arial" w:cs="Arial" w:eastAsia="Arial" w:hAnsi="Arial"/>
          <w:b/>
          <w:bCs/>
          <w:color w:val="1B2A4A"/>
          <w:sz w:val="21"/>
          <w:szCs w:val="21"/>
        </w:rPr>
        <w:t xml:space="preserve">Data Quality. </w:t>
      </w:r>
      <w:r>
        <w:rPr>
          <w:rFonts w:ascii="Arial" w:cs="Arial" w:eastAsia="Arial" w:hAnsi="Arial"/>
          <w:color w:val="333333"/>
          <w:sz w:val="21"/>
          <w:szCs w:val="21"/>
        </w:rPr>
        <w:t xml:space="preserve">The system is only as good as the public data it ingests. Government agencies that publish incomplete, delayed, or obfuscated data will degrade detection accuracy. This limitation is itself a finding: agencies that resist transparency should be scored for that resistance as an independent accountability metric.</w:t>
      </w:r>
    </w:p>
    <w:p>
      <w:pPr>
        <w:pBdr>
          <w:bottom w:val="single" w:color="C5972C" w:sz="4" w:space="6"/>
        </w:pBdr>
        <w:spacing w:after="160" w:before="360"/>
      </w:pPr>
      <w:r>
        <w:rPr>
          <w:rFonts w:ascii="Arial" w:cs="Arial" w:eastAsia="Arial" w:hAnsi="Arial"/>
          <w:b/>
          <w:bCs/>
          <w:color w:val="1B2A4A"/>
          <w:sz w:val="26"/>
          <w:szCs w:val="26"/>
        </w:rPr>
        <w:t xml:space="preserve">VI. PROPOSED IMPLEMENTATION ROADMAP</w:t>
      </w:r>
    </w:p>
    <w:p>
      <w:pPr>
        <w:spacing w:after="80" w:before="120"/>
      </w:pPr>
      <w:r>
        <w:rPr>
          <w:rFonts w:ascii="Arial" w:cs="Arial" w:eastAsia="Arial" w:hAnsi="Arial"/>
          <w:b/>
          <w:bCs/>
          <w:color w:val="1B2A4A"/>
          <w:sz w:val="22"/>
          <w:szCs w:val="22"/>
        </w:rPr>
        <w:t xml:space="preserve">Phase 1 — Foundation (Months 1–6)</w:t>
      </w:r>
    </w:p>
    <w:p>
      <w:pPr>
        <w:pStyle w:val="ListParagraph"/>
        <w:numPr>
          <w:ilvl w:val="0"/>
          <w:numId w:val="2"/>
        </w:numPr>
        <w:spacing w:after="60" w:before="60"/>
      </w:pPr>
      <w:r>
        <w:rPr>
          <w:rFonts w:ascii="Arial" w:cs="Arial" w:eastAsia="Arial" w:hAnsi="Arial"/>
          <w:color w:val="333333"/>
          <w:sz w:val="21"/>
          <w:szCs w:val="21"/>
        </w:rPr>
        <w:t xml:space="preserve">Publish SENTINEL as an open-source framework under the Open Source Patents initiative</w:t>
      </w:r>
    </w:p>
    <w:p>
      <w:pPr>
        <w:pStyle w:val="ListParagraph"/>
        <w:numPr>
          <w:ilvl w:val="0"/>
          <w:numId w:val="2"/>
        </w:numPr>
        <w:spacing w:after="60" w:before="60"/>
      </w:pPr>
      <w:r>
        <w:rPr>
          <w:rFonts w:ascii="Arial" w:cs="Arial" w:eastAsia="Arial" w:hAnsi="Arial"/>
          <w:color w:val="333333"/>
          <w:sz w:val="21"/>
          <w:szCs w:val="21"/>
        </w:rPr>
        <w:t xml:space="preserve">Develop and validate the anomaly detection models against historical public data</w:t>
      </w:r>
    </w:p>
    <w:p>
      <w:pPr>
        <w:pStyle w:val="ListParagraph"/>
        <w:numPr>
          <w:ilvl w:val="0"/>
          <w:numId w:val="2"/>
        </w:numPr>
        <w:spacing w:after="60" w:before="60"/>
      </w:pPr>
      <w:r>
        <w:rPr>
          <w:rFonts w:ascii="Arial" w:cs="Arial" w:eastAsia="Arial" w:hAnsi="Arial"/>
          <w:color w:val="333333"/>
          <w:sz w:val="21"/>
          <w:szCs w:val="21"/>
        </w:rPr>
        <w:t xml:space="preserve">Establish legal structure (nonprofit entity or public benefit corporation)</w:t>
      </w:r>
    </w:p>
    <w:p>
      <w:pPr>
        <w:pStyle w:val="ListParagraph"/>
        <w:numPr>
          <w:ilvl w:val="0"/>
          <w:numId w:val="2"/>
        </w:numPr>
        <w:spacing w:after="60" w:before="60"/>
      </w:pPr>
      <w:r>
        <w:rPr>
          <w:rFonts w:ascii="Arial" w:cs="Arial" w:eastAsia="Arial" w:hAnsi="Arial"/>
          <w:color w:val="333333"/>
          <w:sz w:val="21"/>
          <w:szCs w:val="21"/>
        </w:rPr>
        <w:t xml:space="preserve">Build secure, anonymized reporting pipeline</w:t>
      </w:r>
    </w:p>
    <w:p>
      <w:pPr>
        <w:pStyle w:val="ListParagraph"/>
        <w:numPr>
          <w:ilvl w:val="0"/>
          <w:numId w:val="2"/>
        </w:numPr>
        <w:spacing w:after="60" w:before="60"/>
      </w:pPr>
      <w:r>
        <w:rPr>
          <w:rFonts w:ascii="Arial" w:cs="Arial" w:eastAsia="Arial" w:hAnsi="Arial"/>
          <w:color w:val="333333"/>
          <w:sz w:val="21"/>
          <w:szCs w:val="21"/>
        </w:rPr>
        <w:t xml:space="preserve">Integrate and extend existing CongressWatch detection capabilities</w:t>
      </w:r>
    </w:p>
    <w:p>
      <w:pPr>
        <w:spacing w:after="80" w:before="200"/>
      </w:pPr>
      <w:r>
        <w:rPr>
          <w:rFonts w:ascii="Arial" w:cs="Arial" w:eastAsia="Arial" w:hAnsi="Arial"/>
          <w:b/>
          <w:bCs/>
          <w:color w:val="1B2A4A"/>
          <w:sz w:val="22"/>
          <w:szCs w:val="22"/>
        </w:rPr>
        <w:t xml:space="preserve">Phase 2 — Institutional Engagement (Months 6–12)</w:t>
      </w:r>
    </w:p>
    <w:p>
      <w:pPr>
        <w:pStyle w:val="ListParagraph"/>
        <w:numPr>
          <w:ilvl w:val="0"/>
          <w:numId w:val="2"/>
        </w:numPr>
        <w:spacing w:after="60" w:before="60"/>
      </w:pPr>
      <w:r>
        <w:rPr>
          <w:rFonts w:ascii="Arial" w:cs="Arial" w:eastAsia="Arial" w:hAnsi="Arial"/>
          <w:color w:val="333333"/>
          <w:sz w:val="21"/>
          <w:szCs w:val="21"/>
        </w:rPr>
        <w:t xml:space="preserve">Establish NDA contingency agreements with credible media organizations</w:t>
      </w:r>
    </w:p>
    <w:p>
      <w:pPr>
        <w:pStyle w:val="ListParagraph"/>
        <w:numPr>
          <w:ilvl w:val="0"/>
          <w:numId w:val="2"/>
        </w:numPr>
        <w:spacing w:after="60" w:before="60"/>
      </w:pPr>
      <w:r>
        <w:rPr>
          <w:rFonts w:ascii="Arial" w:cs="Arial" w:eastAsia="Arial" w:hAnsi="Arial"/>
          <w:color w:val="333333"/>
          <w:sz w:val="21"/>
          <w:szCs w:val="21"/>
        </w:rPr>
        <w:t xml:space="preserve">Engage congressional allies for legislative support of automated notification requirements</w:t>
      </w:r>
    </w:p>
    <w:p>
      <w:pPr>
        <w:pStyle w:val="ListParagraph"/>
        <w:numPr>
          <w:ilvl w:val="0"/>
          <w:numId w:val="2"/>
        </w:numPr>
        <w:spacing w:after="60" w:before="60"/>
      </w:pPr>
      <w:r>
        <w:rPr>
          <w:rFonts w:ascii="Arial" w:cs="Arial" w:eastAsia="Arial" w:hAnsi="Arial"/>
          <w:color w:val="333333"/>
          <w:sz w:val="21"/>
          <w:szCs w:val="21"/>
        </w:rPr>
        <w:t xml:space="preserve">Pilot the routing system with willing oversight bodies (e.g., cooperative IGs)</w:t>
      </w:r>
    </w:p>
    <w:p>
      <w:pPr>
        <w:pStyle w:val="ListParagraph"/>
        <w:numPr>
          <w:ilvl w:val="0"/>
          <w:numId w:val="2"/>
        </w:numPr>
        <w:spacing w:after="60" w:before="60"/>
      </w:pPr>
      <w:r>
        <w:rPr>
          <w:rFonts w:ascii="Arial" w:cs="Arial" w:eastAsia="Arial" w:hAnsi="Arial"/>
          <w:color w:val="333333"/>
          <w:sz w:val="21"/>
          <w:szCs w:val="21"/>
        </w:rPr>
        <w:t xml:space="preserve">Publish methodology white papers for academic and public review</w:t>
      </w:r>
    </w:p>
    <w:p>
      <w:pPr>
        <w:spacing w:after="80" w:before="200"/>
      </w:pPr>
      <w:r>
        <w:rPr>
          <w:rFonts w:ascii="Arial" w:cs="Arial" w:eastAsia="Arial" w:hAnsi="Arial"/>
          <w:b/>
          <w:bCs/>
          <w:color w:val="1B2A4A"/>
          <w:sz w:val="22"/>
          <w:szCs w:val="22"/>
        </w:rPr>
        <w:t xml:space="preserve">Phase 3 — Operational Launch (Months 12–18)</w:t>
      </w:r>
    </w:p>
    <w:p>
      <w:pPr>
        <w:pStyle w:val="ListParagraph"/>
        <w:numPr>
          <w:ilvl w:val="0"/>
          <w:numId w:val="2"/>
        </w:numPr>
        <w:spacing w:after="60" w:before="60"/>
      </w:pPr>
      <w:r>
        <w:rPr>
          <w:rFonts w:ascii="Arial" w:cs="Arial" w:eastAsia="Arial" w:hAnsi="Arial"/>
          <w:color w:val="333333"/>
          <w:sz w:val="21"/>
          <w:szCs w:val="21"/>
        </w:rPr>
        <w:t xml:space="preserve">Activate full federal-level detection and routing pipeline</w:t>
      </w:r>
    </w:p>
    <w:p>
      <w:pPr>
        <w:pStyle w:val="ListParagraph"/>
        <w:numPr>
          <w:ilvl w:val="0"/>
          <w:numId w:val="2"/>
        </w:numPr>
        <w:spacing w:after="60" w:before="60"/>
      </w:pPr>
      <w:r>
        <w:rPr>
          <w:rFonts w:ascii="Arial" w:cs="Arial" w:eastAsia="Arial" w:hAnsi="Arial"/>
          <w:color w:val="333333"/>
          <w:sz w:val="21"/>
          <w:szCs w:val="21"/>
        </w:rPr>
        <w:t xml:space="preserve">Begin state-level expansion with initial target states</w:t>
      </w:r>
    </w:p>
    <w:p>
      <w:pPr>
        <w:pStyle w:val="ListParagraph"/>
        <w:numPr>
          <w:ilvl w:val="0"/>
          <w:numId w:val="2"/>
        </w:numPr>
        <w:spacing w:after="60" w:before="60"/>
      </w:pPr>
      <w:r>
        <w:rPr>
          <w:rFonts w:ascii="Arial" w:cs="Arial" w:eastAsia="Arial" w:hAnsi="Arial"/>
          <w:color w:val="333333"/>
          <w:sz w:val="21"/>
          <w:szCs w:val="21"/>
        </w:rPr>
        <w:t xml:space="preserve">Launch citizen enforcement portal with structured action pathways</w:t>
      </w:r>
    </w:p>
    <w:p>
      <w:pPr>
        <w:pStyle w:val="ListParagraph"/>
        <w:numPr>
          <w:ilvl w:val="0"/>
          <w:numId w:val="2"/>
        </w:numPr>
        <w:spacing w:after="60" w:before="60"/>
      </w:pPr>
      <w:r>
        <w:rPr>
          <w:rFonts w:ascii="Arial" w:cs="Arial" w:eastAsia="Arial" w:hAnsi="Arial"/>
          <w:color w:val="333333"/>
          <w:sz w:val="21"/>
          <w:szCs w:val="21"/>
        </w:rPr>
        <w:t xml:space="preserve">Establish independent audit and methodology review board</w:t>
      </w:r>
    </w:p>
    <w:p>
      <w:pPr>
        <w:spacing w:after="80" w:before="200"/>
      </w:pPr>
      <w:r>
        <w:rPr>
          <w:rFonts w:ascii="Arial" w:cs="Arial" w:eastAsia="Arial" w:hAnsi="Arial"/>
          <w:b/>
          <w:bCs/>
          <w:color w:val="1B2A4A"/>
          <w:sz w:val="22"/>
          <w:szCs w:val="22"/>
        </w:rPr>
        <w:t xml:space="preserve">Phase 4 — Scale and Sustain (Months 18+)</w:t>
      </w:r>
    </w:p>
    <w:p>
      <w:pPr>
        <w:pStyle w:val="ListParagraph"/>
        <w:numPr>
          <w:ilvl w:val="0"/>
          <w:numId w:val="2"/>
        </w:numPr>
        <w:spacing w:after="60" w:before="60"/>
      </w:pPr>
      <w:r>
        <w:rPr>
          <w:rFonts w:ascii="Arial" w:cs="Arial" w:eastAsia="Arial" w:hAnsi="Arial"/>
          <w:color w:val="333333"/>
          <w:sz w:val="21"/>
          <w:szCs w:val="21"/>
        </w:rPr>
        <w:t xml:space="preserve">Expand to all 50 states</w:t>
      </w:r>
    </w:p>
    <w:p>
      <w:pPr>
        <w:pStyle w:val="ListParagraph"/>
        <w:numPr>
          <w:ilvl w:val="0"/>
          <w:numId w:val="2"/>
        </w:numPr>
        <w:spacing w:after="60" w:before="60"/>
      </w:pPr>
      <w:r>
        <w:rPr>
          <w:rFonts w:ascii="Arial" w:cs="Arial" w:eastAsia="Arial" w:hAnsi="Arial"/>
          <w:color w:val="333333"/>
          <w:sz w:val="21"/>
          <w:szCs w:val="21"/>
        </w:rPr>
        <w:t xml:space="preserve">Develop cross-jurisdictional detection capabilities</w:t>
      </w:r>
    </w:p>
    <w:p>
      <w:pPr>
        <w:pStyle w:val="ListParagraph"/>
        <w:numPr>
          <w:ilvl w:val="0"/>
          <w:numId w:val="2"/>
        </w:numPr>
        <w:spacing w:after="60" w:before="60"/>
      </w:pPr>
      <w:r>
        <w:rPr>
          <w:rFonts w:ascii="Arial" w:cs="Arial" w:eastAsia="Arial" w:hAnsi="Arial"/>
          <w:color w:val="333333"/>
          <w:sz w:val="21"/>
          <w:szCs w:val="21"/>
        </w:rPr>
        <w:t xml:space="preserve">Establish sustainable funding model (public donation, foundation grants, institutional partnerships)</w:t>
      </w:r>
    </w:p>
    <w:p>
      <w:pPr>
        <w:pStyle w:val="ListParagraph"/>
        <w:numPr>
          <w:ilvl w:val="0"/>
          <w:numId w:val="2"/>
        </w:numPr>
        <w:spacing w:after="60" w:before="60"/>
      </w:pPr>
      <w:r>
        <w:rPr>
          <w:rFonts w:ascii="Arial" w:cs="Arial" w:eastAsia="Arial" w:hAnsi="Arial"/>
          <w:color w:val="333333"/>
          <w:sz w:val="21"/>
          <w:szCs w:val="21"/>
        </w:rPr>
        <w:t xml:space="preserve">Pursue legislative codification of automated notification requirements</w:t>
      </w:r>
    </w:p>
    <w:p>
      <w:pPr>
        <w:pBdr>
          <w:bottom w:val="single" w:color="C5972C" w:sz="4" w:space="6"/>
        </w:pBdr>
        <w:spacing w:after="160" w:before="360"/>
      </w:pPr>
      <w:r>
        <w:rPr>
          <w:rFonts w:ascii="Arial" w:cs="Arial" w:eastAsia="Arial" w:hAnsi="Arial"/>
          <w:b/>
          <w:bCs/>
          <w:color w:val="1B2A4A"/>
          <w:sz w:val="26"/>
          <w:szCs w:val="26"/>
        </w:rPr>
        <w:t xml:space="preserve">VII. RELATIONSHIP TO GUARDIAN AND EXISTING WORK</w:t>
      </w:r>
    </w:p>
    <w:p>
      <w:pPr>
        <w:spacing w:after="80" w:before="80"/>
        <w:jc w:val="both"/>
      </w:pPr>
      <w:r>
        <w:rPr>
          <w:rFonts w:ascii="Arial" w:cs="Arial" w:eastAsia="Arial" w:hAnsi="Arial"/>
          <w:color w:val="333333"/>
          <w:sz w:val="21"/>
          <w:szCs w:val="21"/>
        </w:rPr>
        <w:t xml:space="preserve">SENTINEL builds directly on the conceptual foundation established in the author’s prior open-source disclosure, GUARDIAN (a permissioned inter-agency ledger for institutional accountability). Where GUARDIAN defines the immutable record-keeping layer—ensuring that institutional actions, responses, and failures to respond are permanently and verifiably logged—SENTINEL provides the detection, routing, and enforcement architecture that feeds into and draws from that ledger.</w:t>
      </w:r>
    </w:p>
    <w:p>
      <w:pPr>
        <w:spacing w:after="80" w:before="80"/>
        <w:jc w:val="both"/>
      </w:pPr>
      <w:r>
        <w:rPr>
          <w:rFonts w:ascii="Arial" w:cs="Arial" w:eastAsia="Arial" w:hAnsi="Arial"/>
          <w:color w:val="333333"/>
          <w:sz w:val="21"/>
          <w:szCs w:val="21"/>
        </w:rPr>
        <w:t xml:space="preserve">The two systems are complementary: GUARDIAN ensures the record cannot be altered; SENTINEL ensures the record cannot be ignored. Together, they form a closed loop in which corruption is detected, documented, routed, time-bound, and—if unresolved—publicly disclosed with an immutable evidentiary chain.</w:t>
      </w:r>
    </w:p>
    <w:p>
      <w:pPr>
        <w:spacing w:after="80" w:before="80"/>
        <w:jc w:val="both"/>
      </w:pPr>
      <w:r>
        <w:rPr>
          <w:rFonts w:ascii="Arial" w:cs="Arial" w:eastAsia="Arial" w:hAnsi="Arial"/>
          <w:color w:val="333333"/>
          <w:sz w:val="21"/>
          <w:szCs w:val="21"/>
        </w:rPr>
        <w:t xml:space="preserve">CongressWatch, the author’s existing congressional anomaly scoring application, serves as a proof-of-concept for SENTINEL’s Pillar 1 detection capabilities and will be integrated as a module within the broader framework.</w:t>
      </w:r>
    </w:p>
    <w:p>
      <w:pPr>
        <w:pBdr>
          <w:bottom w:val="single" w:color="C5972C" w:sz="4" w:space="6"/>
        </w:pBdr>
        <w:spacing w:after="160" w:before="360"/>
      </w:pPr>
      <w:r>
        <w:rPr>
          <w:rFonts w:ascii="Arial" w:cs="Arial" w:eastAsia="Arial" w:hAnsi="Arial"/>
          <w:b/>
          <w:bCs/>
          <w:color w:val="1B2A4A"/>
          <w:sz w:val="26"/>
          <w:szCs w:val="26"/>
        </w:rPr>
        <w:t xml:space="preserve">VIII. CLOSING STATEMENT</w:t>
      </w:r>
    </w:p>
    <w:p>
      <w:pPr>
        <w:spacing w:after="80" w:before="80"/>
        <w:jc w:val="both"/>
      </w:pPr>
      <w:r>
        <w:rPr>
          <w:rFonts w:ascii="Arial" w:cs="Arial" w:eastAsia="Arial" w:hAnsi="Arial"/>
          <w:color w:val="333333"/>
          <w:sz w:val="21"/>
          <w:szCs w:val="21"/>
        </w:rPr>
        <w:t xml:space="preserve">The premise of SENTINEL is simple: sunlight is the best disinfectant, but only if someone turns on the light and keeps it on.</w:t>
      </w:r>
    </w:p>
    <w:p>
      <w:pPr>
        <w:spacing w:after="80" w:before="80"/>
        <w:jc w:val="both"/>
      </w:pPr>
      <w:r>
        <w:rPr>
          <w:rFonts w:ascii="Arial" w:cs="Arial" w:eastAsia="Arial" w:hAnsi="Arial"/>
          <w:color w:val="333333"/>
          <w:sz w:val="21"/>
          <w:szCs w:val="21"/>
        </w:rPr>
        <w:t xml:space="preserve">The current system relies on individual courage—whistleblowers, investigative journalists, concerned citizens—to surface problems that institutions have every incentive to conceal. SENTINEL does not replace that courage. It removes the requirement for it. The system detects, the system routes, the system escalates, and the system discloses. No single individual bears the risk. No single institution controls the timeline. No single actor can bury the finding.</w:t>
      </w:r>
    </w:p>
    <w:p>
      <w:pPr>
        <w:spacing w:after="80" w:before="80"/>
        <w:jc w:val="both"/>
      </w:pPr>
      <w:r>
        <w:rPr>
          <w:rFonts w:ascii="Arial" w:cs="Arial" w:eastAsia="Arial" w:hAnsi="Arial"/>
          <w:color w:val="333333"/>
          <w:sz w:val="21"/>
          <w:szCs w:val="21"/>
        </w:rPr>
        <w:t xml:space="preserve">This paper is released to the public domain under the Open Source Patents initiative because accountability infrastructure should not be proprietary. The code, the methodology, and the framework are offered freely to anyone who believes that a government of the people should be accountable to the people—not on the government’s timeline, but on ours.</w:t>
      </w:r>
    </w:p>
    <w:p>
      <w:pPr>
        <w:spacing w:after="0" w:before="400"/>
      </w:pPr>
    </w:p>
    <w:p>
      <w:pPr>
        <w:pBdr>
          <w:top w:val="single" w:color="CCCCCC" w:sz="2" w:space="12"/>
        </w:pBdr>
        <w:spacing w:after="40" w:before="200"/>
        <w:jc w:val="center"/>
      </w:pPr>
      <w:r>
        <w:rPr>
          <w:rFonts w:ascii="Arial" w:cs="Arial" w:eastAsia="Arial" w:hAnsi="Arial"/>
          <w:b/>
          <w:bCs/>
          <w:color w:val="666666"/>
          <w:sz w:val="20"/>
          <w:szCs w:val="20"/>
        </w:rPr>
        <w:t xml:space="preserve">— END —</w:t>
      </w:r>
    </w:p>
    <w:p>
      <w:pPr>
        <w:spacing w:after="40" w:before="80"/>
        <w:jc w:val="center"/>
      </w:pPr>
      <w:r>
        <w:rPr>
          <w:rFonts w:ascii="Arial" w:cs="Arial" w:eastAsia="Arial" w:hAnsi="Arial"/>
          <w:color w:val="3D5A80"/>
          <w:sz w:val="18"/>
          <w:szCs w:val="18"/>
        </w:rPr>
        <w:t xml:space="preserve">Charles Walter Dowd Jr.  |  Open Source Patents  |  github.com/OpenSourcePatents</w:t>
      </w:r>
    </w:p>
    <w:p>
      <w:pPr>
        <w:spacing w:after="40" w:before="40"/>
        <w:jc w:val="center"/>
      </w:pPr>
      <w:r>
        <w:rPr>
          <w:rFonts w:ascii="Arial" w:cs="Arial" w:eastAsia="Arial" w:hAnsi="Arial"/>
          <w:i/>
          <w:iCs/>
          <w:color w:val="666666"/>
          <w:sz w:val="18"/>
          <w:szCs w:val="18"/>
        </w:rPr>
        <w:t xml:space="preserve">This work is released to the public domain. No rights reserved.</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2" w:space="4"/>
      </w:pBdr>
      <w:jc w:val="center"/>
    </w:pPr>
    <w:r>
      <w:rPr>
        <w:rFonts w:ascii="Arial" w:cs="Arial" w:eastAsia="Arial" w:hAnsi="Arial"/>
        <w:color w:val="666666"/>
        <w:sz w:val="16"/>
        <w:szCs w:val="16"/>
      </w:rPr>
      <w:t xml:space="preserve">Page </w:t>
    </w:r>
    <w:r>
      <w:rPr>
        <w:rFonts w:ascii="Arial" w:cs="Arial" w:eastAsia="Arial" w:hAnsi="Arial"/>
        <w:color w:val="666666"/>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2" w:space="4"/>
      </w:pBdr>
      <w:jc w:val="right"/>
    </w:pPr>
    <w:r>
      <w:rPr>
        <w:rFonts w:ascii="Arial" w:cs="Arial" w:eastAsia="Arial" w:hAnsi="Arial"/>
        <w:color w:val="666666"/>
        <w:sz w:val="16"/>
        <w:szCs w:val="16"/>
      </w:rPr>
      <w:t xml:space="preserve">SENTINEL  |  Concept Paper  |  Open Source Patents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upperRoman"/>
      <w:lvlText w:val="%1."/>
      <w:lvlJc w:val="left"/>
      <w:pPr>
        <w:ind w:left="720" w:hanging="360"/>
      </w:pPr>
    </w:lvl>
  </w:abstractNum>
  <w:abstractNum w:abstractNumId="5" w15:restartNumberingAfterBreak="0">
    <w:multiLevelType w:val="hybridMultilevel"/>
    <w:lvl w:ilvl="0" w15:tentative="1">
      <w:start w:val="1"/>
      <w:numFmt w:val="lowerLetter"/>
      <w:lvlText w:val="%1)"/>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2026-03-16T14:45:02.289Z</dcterms:created>
  <dcterms:modified xsi:type="dcterms:W3CDTF">2026-03-16T14:45:02.291Z</dcterms:modified>
</cp:coreProperties>
</file>

<file path=docProps/custom.xml><?xml version="1.0" encoding="utf-8"?>
<Properties xmlns="http://schemas.openxmlformats.org/officeDocument/2006/custom-properties" xmlns:vt="http://schemas.openxmlformats.org/officeDocument/2006/docPropsVTypes"/>
</file>